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1FF" w:rsidRPr="00300B71" w:rsidRDefault="001441FF" w:rsidP="00492783">
      <w:pPr>
        <w:spacing w:after="0" w:line="240" w:lineRule="auto"/>
        <w:ind w:left="142"/>
        <w:rPr>
          <w:rFonts w:ascii="Cambria" w:hAnsi="Cambria"/>
          <w:szCs w:val="24"/>
        </w:rPr>
      </w:pPr>
      <w:bookmarkStart w:id="0" w:name="_GoBack"/>
      <w:bookmarkEnd w:id="0"/>
    </w:p>
    <w:p w:rsidR="001441FF" w:rsidRPr="00300B71" w:rsidRDefault="001441FF" w:rsidP="00492783">
      <w:pPr>
        <w:spacing w:after="0" w:line="240" w:lineRule="auto"/>
        <w:ind w:left="142"/>
        <w:rPr>
          <w:rFonts w:ascii="Cambria" w:hAnsi="Cambria"/>
          <w:szCs w:val="24"/>
        </w:rPr>
      </w:pPr>
    </w:p>
    <w:p w:rsidR="002B688A" w:rsidRPr="00300B71" w:rsidRDefault="003D23C9" w:rsidP="0059662F">
      <w:pPr>
        <w:spacing w:after="0" w:line="240" w:lineRule="auto"/>
        <w:ind w:left="0"/>
        <w:jc w:val="center"/>
        <w:rPr>
          <w:rFonts w:ascii="Cambria" w:hAnsi="Cambria"/>
          <w:b/>
          <w:szCs w:val="24"/>
        </w:rPr>
      </w:pPr>
      <w:r w:rsidRPr="00300B71">
        <w:rPr>
          <w:rFonts w:ascii="Cambria" w:hAnsi="Cambria"/>
          <w:b/>
          <w:szCs w:val="24"/>
        </w:rPr>
        <w:t xml:space="preserve">2014-2020 </w:t>
      </w:r>
      <w:r w:rsidR="001441FF" w:rsidRPr="00300B71">
        <w:rPr>
          <w:rFonts w:ascii="Cambria" w:hAnsi="Cambria"/>
          <w:b/>
          <w:szCs w:val="24"/>
        </w:rPr>
        <w:t>Regional Aid Guidelines</w:t>
      </w:r>
      <w:r w:rsidRPr="00300B71">
        <w:rPr>
          <w:rFonts w:ascii="Cambria" w:hAnsi="Cambria"/>
          <w:b/>
          <w:szCs w:val="24"/>
        </w:rPr>
        <w:t>. Clarification</w:t>
      </w:r>
      <w:r w:rsidR="001441FF" w:rsidRPr="00300B71">
        <w:rPr>
          <w:rFonts w:ascii="Cambria" w:hAnsi="Cambria"/>
          <w:b/>
          <w:szCs w:val="24"/>
        </w:rPr>
        <w:t xml:space="preserve"> Que</w:t>
      </w:r>
      <w:r w:rsidR="00850F19" w:rsidRPr="00300B71">
        <w:rPr>
          <w:rFonts w:ascii="Cambria" w:hAnsi="Cambria"/>
          <w:b/>
          <w:szCs w:val="24"/>
        </w:rPr>
        <w:t xml:space="preserve">stions from </w:t>
      </w:r>
      <w:r w:rsidR="00D02719" w:rsidRPr="00300B71">
        <w:rPr>
          <w:rFonts w:ascii="Cambria" w:hAnsi="Cambria"/>
          <w:b/>
          <w:szCs w:val="24"/>
        </w:rPr>
        <w:t>Ireland</w:t>
      </w:r>
    </w:p>
    <w:p w:rsidR="00492783" w:rsidRPr="00300B71" w:rsidRDefault="00492783" w:rsidP="00492783">
      <w:pPr>
        <w:spacing w:after="0" w:line="240" w:lineRule="auto"/>
        <w:ind w:left="0"/>
        <w:rPr>
          <w:rFonts w:ascii="Cambria" w:hAnsi="Cambria"/>
          <w:szCs w:val="24"/>
        </w:rPr>
      </w:pPr>
    </w:p>
    <w:p w:rsidR="00492783" w:rsidRPr="00300B71" w:rsidRDefault="00492783" w:rsidP="00492783">
      <w:pPr>
        <w:pStyle w:val="Default"/>
        <w:rPr>
          <w:rFonts w:ascii="Cambria" w:hAnsi="Cambria"/>
          <w:b/>
          <w:szCs w:val="20"/>
        </w:rPr>
      </w:pPr>
      <w:r w:rsidRPr="00300B71">
        <w:rPr>
          <w:rFonts w:ascii="Cambria" w:hAnsi="Cambria"/>
          <w:b/>
          <w:szCs w:val="20"/>
        </w:rPr>
        <w:t>Questions on New/Initial Activities:</w:t>
      </w:r>
    </w:p>
    <w:p w:rsidR="00492783" w:rsidRPr="00300B71" w:rsidRDefault="00492783" w:rsidP="00492783">
      <w:pPr>
        <w:pStyle w:val="Default"/>
        <w:rPr>
          <w:rFonts w:ascii="Cambria" w:hAnsi="Cambria"/>
          <w:szCs w:val="20"/>
        </w:rPr>
      </w:pPr>
    </w:p>
    <w:p w:rsidR="00893BD2" w:rsidRPr="00300B71" w:rsidRDefault="00492783" w:rsidP="00893BD2">
      <w:pPr>
        <w:pStyle w:val="Default"/>
        <w:numPr>
          <w:ilvl w:val="0"/>
          <w:numId w:val="10"/>
        </w:numPr>
        <w:rPr>
          <w:rFonts w:ascii="Cambria" w:hAnsi="Cambria"/>
          <w:szCs w:val="13"/>
        </w:rPr>
      </w:pPr>
      <w:r w:rsidRPr="00300B71">
        <w:rPr>
          <w:rFonts w:ascii="Cambria" w:hAnsi="Cambria"/>
          <w:szCs w:val="20"/>
        </w:rPr>
        <w:t>Under the Draft GBER, ‘aid to large enterprises shall only be granted for “initial investment in favour of new activity”, within the meaning of this Regulation, in the area concerned’.</w:t>
      </w:r>
      <w:r w:rsidRPr="00300B71">
        <w:rPr>
          <w:rFonts w:ascii="Cambria" w:hAnsi="Cambria"/>
          <w:szCs w:val="13"/>
        </w:rPr>
        <w:t xml:space="preserve"> </w:t>
      </w:r>
    </w:p>
    <w:p w:rsidR="00893BD2" w:rsidRPr="00300B71" w:rsidRDefault="00893BD2" w:rsidP="00492783">
      <w:pPr>
        <w:pStyle w:val="Default"/>
        <w:rPr>
          <w:rFonts w:ascii="Cambria" w:hAnsi="Cambria"/>
          <w:szCs w:val="13"/>
        </w:rPr>
      </w:pPr>
    </w:p>
    <w:p w:rsidR="00893BD2" w:rsidRPr="00300B71" w:rsidRDefault="00492783" w:rsidP="009357D7">
      <w:pPr>
        <w:pStyle w:val="Default"/>
        <w:ind w:left="720"/>
        <w:rPr>
          <w:rFonts w:ascii="Cambria" w:hAnsi="Cambria"/>
          <w:szCs w:val="13"/>
        </w:rPr>
      </w:pPr>
      <w:r w:rsidRPr="00300B71">
        <w:rPr>
          <w:rFonts w:ascii="Cambria" w:hAnsi="Cambria"/>
          <w:szCs w:val="20"/>
        </w:rPr>
        <w:t>In the Draft GBER this is defined as either (i) setting up a new establishment in a different NUTS 3 region from any existing operations of the firm; or (ii) diversifying the activity of an establishment to one that is ‘not the same or similar’ to that previously performed.</w:t>
      </w:r>
      <w:r w:rsidRPr="00300B71">
        <w:rPr>
          <w:rFonts w:ascii="Cambria" w:hAnsi="Cambria"/>
          <w:szCs w:val="13"/>
        </w:rPr>
        <w:t xml:space="preserve"> </w:t>
      </w:r>
    </w:p>
    <w:p w:rsidR="00893BD2" w:rsidRPr="00300B71" w:rsidRDefault="00893BD2" w:rsidP="00492783">
      <w:pPr>
        <w:pStyle w:val="Default"/>
        <w:rPr>
          <w:rFonts w:ascii="Cambria" w:hAnsi="Cambria"/>
          <w:szCs w:val="13"/>
        </w:rPr>
      </w:pPr>
    </w:p>
    <w:p w:rsidR="00492783" w:rsidRPr="00300B71" w:rsidRDefault="00492783" w:rsidP="009357D7">
      <w:pPr>
        <w:pStyle w:val="Default"/>
        <w:ind w:left="720"/>
        <w:rPr>
          <w:rFonts w:ascii="Cambria" w:hAnsi="Cambria"/>
          <w:szCs w:val="20"/>
        </w:rPr>
      </w:pPr>
      <w:r w:rsidRPr="00300B71">
        <w:rPr>
          <w:rFonts w:ascii="Cambria" w:hAnsi="Cambria"/>
          <w:szCs w:val="20"/>
        </w:rPr>
        <w:t>The ‘same or similar activity’ means one falling within the same four-digit NACE code of economic activities.</w:t>
      </w:r>
      <w:r w:rsidRPr="00300B71">
        <w:rPr>
          <w:rFonts w:ascii="Cambria" w:hAnsi="Cambria"/>
          <w:szCs w:val="13"/>
        </w:rPr>
        <w:t xml:space="preserve"> </w:t>
      </w:r>
      <w:r w:rsidRPr="00300B71">
        <w:rPr>
          <w:rFonts w:ascii="Cambria" w:hAnsi="Cambria"/>
          <w:szCs w:val="20"/>
        </w:rPr>
        <w:t xml:space="preserve">Broadly, this appears to mean that in order to escape notification, aid to large firms must either involve a new investment in a different </w:t>
      </w:r>
      <w:r w:rsidR="00893BD2" w:rsidRPr="00300B71">
        <w:rPr>
          <w:rFonts w:ascii="Cambria" w:hAnsi="Cambria"/>
          <w:szCs w:val="20"/>
        </w:rPr>
        <w:t xml:space="preserve">NUTS 3 </w:t>
      </w:r>
      <w:r w:rsidRPr="00300B71">
        <w:rPr>
          <w:rFonts w:ascii="Cambria" w:hAnsi="Cambria"/>
          <w:szCs w:val="20"/>
        </w:rPr>
        <w:t xml:space="preserve">region or a different activity in the same region. </w:t>
      </w:r>
      <w:r w:rsidR="00893BD2" w:rsidRPr="00300B71">
        <w:rPr>
          <w:rFonts w:ascii="Cambria" w:hAnsi="Cambria"/>
          <w:szCs w:val="20"/>
        </w:rPr>
        <w:t>Can you please clarify?</w:t>
      </w:r>
    </w:p>
    <w:p w:rsidR="00D51BC5" w:rsidRPr="00300B71" w:rsidRDefault="00D51BC5" w:rsidP="009357D7">
      <w:pPr>
        <w:pStyle w:val="Default"/>
        <w:ind w:left="720"/>
        <w:rPr>
          <w:rFonts w:ascii="Cambria" w:hAnsi="Cambria"/>
          <w:szCs w:val="20"/>
        </w:rPr>
      </w:pPr>
    </w:p>
    <w:p w:rsidR="00D51BC5" w:rsidRPr="00300B71" w:rsidRDefault="00D51BC5" w:rsidP="00D51BC5">
      <w:pPr>
        <w:pStyle w:val="ListParagraph"/>
        <w:numPr>
          <w:ilvl w:val="0"/>
          <w:numId w:val="10"/>
        </w:numPr>
        <w:spacing w:after="0" w:line="240" w:lineRule="auto"/>
        <w:rPr>
          <w:rFonts w:ascii="Cambria" w:hAnsi="Cambria"/>
          <w:color w:val="auto"/>
          <w:szCs w:val="22"/>
          <w:lang w:val="en-GB" w:eastAsia="en-IE" w:bidi="ar-SA"/>
        </w:rPr>
      </w:pPr>
      <w:r w:rsidRPr="00300B71">
        <w:rPr>
          <w:rFonts w:ascii="Cambria" w:hAnsi="Cambria"/>
          <w:color w:val="auto"/>
          <w:szCs w:val="22"/>
          <w:lang w:val="en-GB" w:eastAsia="en-IE" w:bidi="ar-SA"/>
        </w:rPr>
        <w:t>Under the definition ‘</w:t>
      </w:r>
      <w:r w:rsidRPr="00300B71">
        <w:rPr>
          <w:rFonts w:ascii="Cambria" w:hAnsi="Cambria"/>
          <w:iCs/>
          <w:color w:val="auto"/>
          <w:szCs w:val="22"/>
          <w:lang w:val="en-GB" w:bidi="ar-SA"/>
        </w:rPr>
        <w:t>initial investment in favour of new economic activity</w:t>
      </w:r>
      <w:r w:rsidRPr="00300B71">
        <w:rPr>
          <w:rFonts w:ascii="Cambria" w:hAnsi="Cambria"/>
          <w:color w:val="auto"/>
          <w:szCs w:val="22"/>
          <w:lang w:val="en-GB" w:bidi="ar-SA"/>
        </w:rPr>
        <w:t xml:space="preserve">’; does the investment have to be in a new NUTS 3 region if a company already has a plant in a certain Member State? Or can it be </w:t>
      </w:r>
      <w:r w:rsidR="00D02719" w:rsidRPr="00300B71">
        <w:rPr>
          <w:rFonts w:ascii="Cambria" w:hAnsi="Cambria"/>
          <w:color w:val="auto"/>
          <w:szCs w:val="22"/>
          <w:lang w:val="en-GB" w:bidi="ar-SA"/>
        </w:rPr>
        <w:t>a new building</w:t>
      </w:r>
      <w:r w:rsidRPr="00300B71">
        <w:rPr>
          <w:rFonts w:ascii="Cambria" w:hAnsi="Cambria"/>
          <w:color w:val="auto"/>
          <w:szCs w:val="22"/>
          <w:lang w:val="en-GB" w:bidi="ar-SA"/>
        </w:rPr>
        <w:t xml:space="preserve"> in the same Region?  </w:t>
      </w:r>
    </w:p>
    <w:p w:rsidR="00D51BC5" w:rsidRPr="00300B71" w:rsidRDefault="00D51BC5" w:rsidP="009357D7">
      <w:pPr>
        <w:pStyle w:val="Default"/>
        <w:ind w:left="720"/>
        <w:rPr>
          <w:rFonts w:ascii="Cambria" w:hAnsi="Cambria"/>
          <w:szCs w:val="20"/>
        </w:rPr>
      </w:pPr>
    </w:p>
    <w:p w:rsidR="00492783" w:rsidRPr="00300B71" w:rsidRDefault="00492783" w:rsidP="009357D7">
      <w:pPr>
        <w:pStyle w:val="Default"/>
        <w:ind w:left="360"/>
        <w:rPr>
          <w:rFonts w:ascii="Cambria" w:hAnsi="Cambria"/>
          <w:szCs w:val="20"/>
        </w:rPr>
      </w:pPr>
    </w:p>
    <w:p w:rsidR="00492783" w:rsidRPr="00300B71" w:rsidRDefault="00D51BC5" w:rsidP="00D51BC5">
      <w:pPr>
        <w:pStyle w:val="ListParagraph"/>
        <w:numPr>
          <w:ilvl w:val="0"/>
          <w:numId w:val="10"/>
        </w:numPr>
        <w:spacing w:after="0" w:line="240" w:lineRule="auto"/>
        <w:rPr>
          <w:rFonts w:ascii="Cambria" w:hAnsi="Cambria" w:cs="Arial"/>
          <w:color w:val="auto"/>
          <w:lang w:val="en-GB" w:eastAsia="en-IE" w:bidi="ar-SA"/>
        </w:rPr>
      </w:pPr>
      <w:r w:rsidRPr="00300B71">
        <w:rPr>
          <w:rFonts w:ascii="Cambria" w:hAnsi="Cambria" w:cs="Arial"/>
          <w:color w:val="auto"/>
          <w:lang w:val="en-GB" w:eastAsia="en-IE" w:bidi="ar-SA"/>
        </w:rPr>
        <w:t>C</w:t>
      </w:r>
      <w:r w:rsidR="00492783" w:rsidRPr="00300B71">
        <w:rPr>
          <w:rFonts w:ascii="Cambria" w:hAnsi="Cambria" w:cs="Arial"/>
          <w:color w:val="auto"/>
          <w:lang w:val="en-GB" w:eastAsia="en-IE" w:bidi="ar-SA"/>
        </w:rPr>
        <w:t xml:space="preserve">an a similar manufacturer who is new to a country use an empty facility previously used in </w:t>
      </w:r>
      <w:r w:rsidRPr="00300B71">
        <w:rPr>
          <w:rFonts w:ascii="Cambria" w:hAnsi="Cambria" w:cs="Arial"/>
          <w:color w:val="auto"/>
          <w:lang w:val="en-GB" w:eastAsia="en-IE" w:bidi="ar-SA"/>
        </w:rPr>
        <w:t xml:space="preserve">the </w:t>
      </w:r>
      <w:r w:rsidR="00492783" w:rsidRPr="00300B71">
        <w:rPr>
          <w:rFonts w:ascii="Cambria" w:hAnsi="Cambria" w:cs="Arial"/>
          <w:color w:val="auto"/>
          <w:lang w:val="en-GB" w:eastAsia="en-IE" w:bidi="ar-SA"/>
        </w:rPr>
        <w:t xml:space="preserve">same sector </w:t>
      </w:r>
      <w:r w:rsidR="00D02719" w:rsidRPr="00300B71">
        <w:rPr>
          <w:rFonts w:ascii="Cambria" w:hAnsi="Cambria" w:cs="Arial"/>
          <w:color w:val="auto"/>
          <w:lang w:val="en-GB" w:eastAsia="en-IE" w:bidi="ar-SA"/>
        </w:rPr>
        <w:t>e.g.</w:t>
      </w:r>
      <w:r w:rsidR="00492783" w:rsidRPr="00300B71">
        <w:rPr>
          <w:rFonts w:ascii="Cambria" w:hAnsi="Cambria" w:cs="Arial"/>
          <w:color w:val="auto"/>
          <w:lang w:val="en-GB" w:eastAsia="en-IE" w:bidi="ar-SA"/>
        </w:rPr>
        <w:t xml:space="preserve"> previously used for yogurt, now to be used for </w:t>
      </w:r>
      <w:r w:rsidR="00D02719" w:rsidRPr="00300B71">
        <w:rPr>
          <w:rFonts w:ascii="Cambria" w:hAnsi="Cambria" w:cs="Arial"/>
          <w:color w:val="auto"/>
          <w:lang w:val="en-GB" w:eastAsia="en-IE" w:bidi="ar-SA"/>
        </w:rPr>
        <w:t xml:space="preserve">cheese? </w:t>
      </w:r>
    </w:p>
    <w:p w:rsidR="00492783" w:rsidRPr="00300B71" w:rsidRDefault="00492783" w:rsidP="00D51BC5">
      <w:pPr>
        <w:spacing w:after="0" w:line="240" w:lineRule="auto"/>
        <w:ind w:left="0"/>
        <w:rPr>
          <w:rFonts w:ascii="Cambria" w:eastAsia="Times New Roman" w:hAnsi="Cambria" w:cs="Arial"/>
          <w:color w:val="auto"/>
          <w:lang w:val="en-GB" w:eastAsia="en-IE" w:bidi="ar-SA"/>
        </w:rPr>
      </w:pPr>
    </w:p>
    <w:p w:rsidR="00492783" w:rsidRPr="00300B71" w:rsidRDefault="00492783" w:rsidP="00893BD2">
      <w:pPr>
        <w:pStyle w:val="ListParagraph"/>
        <w:numPr>
          <w:ilvl w:val="0"/>
          <w:numId w:val="10"/>
        </w:numPr>
        <w:spacing w:after="0" w:line="240" w:lineRule="auto"/>
        <w:rPr>
          <w:rFonts w:ascii="Cambria" w:hAnsi="Cambria" w:cs="Arial"/>
          <w:color w:val="auto"/>
          <w:lang w:val="en-GB" w:eastAsia="en-IE" w:bidi="ar-SA"/>
        </w:rPr>
      </w:pPr>
      <w:r w:rsidRPr="00300B71">
        <w:rPr>
          <w:rFonts w:ascii="Cambria" w:hAnsi="Cambria" w:cs="Arial"/>
          <w:color w:val="auto"/>
          <w:lang w:val="en-GB" w:eastAsia="en-IE" w:bidi="ar-SA"/>
        </w:rPr>
        <w:t>Will both categories ( A and B) under (h) ‘initial investment’ always have to be notified?</w:t>
      </w:r>
    </w:p>
    <w:p w:rsidR="00425C4E" w:rsidRPr="00300B71" w:rsidRDefault="00425C4E" w:rsidP="00425C4E">
      <w:pPr>
        <w:spacing w:after="0" w:line="240" w:lineRule="auto"/>
        <w:ind w:left="0"/>
        <w:rPr>
          <w:rFonts w:ascii="Cambria" w:eastAsia="Times New Roman" w:hAnsi="Cambria" w:cs="Arial"/>
          <w:color w:val="auto"/>
          <w:lang w:val="en-GB" w:eastAsia="en-IE" w:bidi="ar-SA"/>
        </w:rPr>
      </w:pPr>
    </w:p>
    <w:p w:rsidR="00492783" w:rsidRPr="00300B71" w:rsidRDefault="00492783" w:rsidP="00893BD2">
      <w:pPr>
        <w:pStyle w:val="ListParagraph"/>
        <w:numPr>
          <w:ilvl w:val="0"/>
          <w:numId w:val="10"/>
        </w:numPr>
        <w:spacing w:after="0" w:line="240" w:lineRule="auto"/>
        <w:rPr>
          <w:rFonts w:ascii="Cambria" w:hAnsi="Cambria" w:cs="Arial"/>
          <w:color w:val="auto"/>
          <w:lang w:val="en-GB" w:eastAsia="en-IE" w:bidi="ar-SA"/>
        </w:rPr>
      </w:pPr>
      <w:r w:rsidRPr="00300B71">
        <w:rPr>
          <w:rFonts w:ascii="Cambria" w:hAnsi="Cambria" w:cs="Arial"/>
          <w:color w:val="auto"/>
          <w:lang w:val="en-GB" w:eastAsia="en-IE" w:bidi="ar-SA"/>
        </w:rPr>
        <w:t>Will both categories ( A and B) under (i) ‘initial investment in favour of new economic activity’ always have to be notified?</w:t>
      </w:r>
    </w:p>
    <w:p w:rsidR="00492783" w:rsidRPr="00300B71" w:rsidRDefault="00492783" w:rsidP="00492783">
      <w:pPr>
        <w:spacing w:after="0" w:line="240" w:lineRule="auto"/>
        <w:ind w:left="720"/>
        <w:rPr>
          <w:rFonts w:ascii="Cambria" w:eastAsia="Times New Roman" w:hAnsi="Cambria" w:cs="Arial"/>
          <w:color w:val="auto"/>
          <w:lang w:val="en-GB" w:eastAsia="en-IE" w:bidi="ar-SA"/>
        </w:rPr>
      </w:pPr>
    </w:p>
    <w:p w:rsidR="00492783" w:rsidRPr="00300B71" w:rsidRDefault="00492783" w:rsidP="00492783">
      <w:pPr>
        <w:spacing w:after="0" w:line="240" w:lineRule="auto"/>
        <w:ind w:left="720"/>
        <w:rPr>
          <w:rFonts w:ascii="Cambria" w:eastAsia="Times New Roman" w:hAnsi="Cambria" w:cs="Arial"/>
          <w:color w:val="auto"/>
          <w:lang w:val="en-GB" w:eastAsia="en-IE" w:bidi="ar-SA"/>
        </w:rPr>
      </w:pPr>
    </w:p>
    <w:p w:rsidR="00492783" w:rsidRPr="00300B71" w:rsidRDefault="00492783" w:rsidP="0002174A">
      <w:pPr>
        <w:pStyle w:val="ListParagraph"/>
        <w:numPr>
          <w:ilvl w:val="0"/>
          <w:numId w:val="10"/>
        </w:numPr>
        <w:spacing w:after="0" w:line="240" w:lineRule="auto"/>
        <w:rPr>
          <w:rFonts w:ascii="Cambria" w:hAnsi="Cambria" w:cs="Arial"/>
          <w:color w:val="auto"/>
          <w:lang w:val="en-GB" w:eastAsia="en-IE" w:bidi="ar-SA"/>
        </w:rPr>
      </w:pPr>
      <w:r w:rsidRPr="00300B71">
        <w:rPr>
          <w:rFonts w:ascii="Cambria" w:hAnsi="Cambria" w:cs="Arial"/>
          <w:color w:val="auto"/>
          <w:lang w:val="en-GB" w:eastAsia="en-IE" w:bidi="ar-SA"/>
        </w:rPr>
        <w:t xml:space="preserve">What is a new economic activity in context of </w:t>
      </w:r>
      <w:r w:rsidR="00D02719" w:rsidRPr="00300B71">
        <w:rPr>
          <w:rFonts w:ascii="Cambria" w:hAnsi="Cambria" w:cs="Arial"/>
          <w:color w:val="auto"/>
          <w:lang w:val="en-GB" w:eastAsia="en-IE" w:bidi="ar-SA"/>
        </w:rPr>
        <w:t>definition (</w:t>
      </w:r>
      <w:r w:rsidRPr="00300B71">
        <w:rPr>
          <w:rFonts w:ascii="Cambria" w:hAnsi="Cambria" w:cs="Arial"/>
          <w:color w:val="auto"/>
          <w:lang w:val="en-GB" w:eastAsia="en-IE" w:bidi="ar-SA"/>
        </w:rPr>
        <w:t>(i) and how does it relate to diversification as per paragraph [15].?</w:t>
      </w:r>
      <w:r w:rsidRPr="00300B71">
        <w:rPr>
          <w:rFonts w:ascii="Cambria" w:hAnsi="Cambria"/>
          <w:color w:val="auto"/>
          <w:szCs w:val="24"/>
          <w:lang w:val="en-GB" w:eastAsia="en-IE" w:bidi="ar-SA"/>
        </w:rPr>
        <w:t xml:space="preserve"> </w:t>
      </w:r>
    </w:p>
    <w:p w:rsidR="00492783" w:rsidRPr="00300B71" w:rsidRDefault="00492783" w:rsidP="00492783">
      <w:pPr>
        <w:pStyle w:val="Default"/>
        <w:rPr>
          <w:rFonts w:ascii="Cambria" w:hAnsi="Cambria"/>
          <w:szCs w:val="20"/>
        </w:rPr>
      </w:pPr>
    </w:p>
    <w:p w:rsidR="00492783" w:rsidRPr="00300B71" w:rsidRDefault="00492783" w:rsidP="0002174A">
      <w:pPr>
        <w:pStyle w:val="ListParagraph"/>
        <w:numPr>
          <w:ilvl w:val="0"/>
          <w:numId w:val="10"/>
        </w:numPr>
        <w:spacing w:after="0" w:line="240" w:lineRule="auto"/>
        <w:rPr>
          <w:rFonts w:ascii="Cambria" w:hAnsi="Cambria"/>
          <w:color w:val="auto"/>
          <w:szCs w:val="22"/>
          <w:lang w:val="en-GB" w:eastAsia="en-IE" w:bidi="ar-SA"/>
        </w:rPr>
      </w:pPr>
      <w:r w:rsidRPr="00300B71">
        <w:rPr>
          <w:rFonts w:ascii="Cambria" w:hAnsi="Cambria"/>
          <w:color w:val="auto"/>
          <w:szCs w:val="22"/>
          <w:lang w:val="en-GB" w:eastAsia="en-IE" w:bidi="ar-SA"/>
        </w:rPr>
        <w:t>Will notified individual aid criteria (3.2.2) apply to all expansions (new products and new process innovations)? How long is it expected to take to get</w:t>
      </w:r>
      <w:r w:rsidR="003D23C9" w:rsidRPr="00300B71">
        <w:rPr>
          <w:rFonts w:ascii="Cambria" w:hAnsi="Cambria"/>
          <w:color w:val="auto"/>
          <w:szCs w:val="22"/>
          <w:lang w:val="en-GB" w:eastAsia="en-IE" w:bidi="ar-SA"/>
        </w:rPr>
        <w:t xml:space="preserve"> a Commission response on this? W</w:t>
      </w:r>
      <w:r w:rsidRPr="00300B71">
        <w:rPr>
          <w:rFonts w:ascii="Cambria" w:hAnsi="Cambria"/>
          <w:color w:val="auto"/>
          <w:szCs w:val="22"/>
          <w:lang w:val="en-GB" w:eastAsia="en-IE" w:bidi="ar-SA"/>
        </w:rPr>
        <w:t xml:space="preserve">ill the Commission commit to responding within a certain amount of days? Will the Commission provide examples of best practice on notified individual </w:t>
      </w:r>
      <w:r w:rsidR="00D02719" w:rsidRPr="00300B71">
        <w:rPr>
          <w:rFonts w:ascii="Cambria" w:hAnsi="Cambria"/>
          <w:color w:val="auto"/>
          <w:szCs w:val="22"/>
          <w:lang w:val="en-GB" w:eastAsia="en-IE" w:bidi="ar-SA"/>
        </w:rPr>
        <w:t>aid for</w:t>
      </w:r>
      <w:r w:rsidRPr="00300B71">
        <w:rPr>
          <w:rFonts w:ascii="Cambria" w:hAnsi="Cambria"/>
          <w:color w:val="auto"/>
          <w:szCs w:val="22"/>
          <w:lang w:val="en-GB" w:eastAsia="en-IE" w:bidi="ar-SA"/>
        </w:rPr>
        <w:t xml:space="preserve"> expansions as we do not have previous experience in doing </w:t>
      </w:r>
      <w:r w:rsidR="00D02719" w:rsidRPr="00300B71">
        <w:rPr>
          <w:rFonts w:ascii="Cambria" w:hAnsi="Cambria"/>
          <w:color w:val="auto"/>
          <w:szCs w:val="22"/>
          <w:lang w:val="en-GB" w:eastAsia="en-IE" w:bidi="ar-SA"/>
        </w:rPr>
        <w:t>this?</w:t>
      </w:r>
      <w:r w:rsidRPr="00300B71">
        <w:rPr>
          <w:rFonts w:ascii="Cambria" w:hAnsi="Cambria"/>
          <w:color w:val="auto"/>
          <w:szCs w:val="22"/>
          <w:lang w:val="en-GB" w:eastAsia="en-IE" w:bidi="ar-SA"/>
        </w:rPr>
        <w:t xml:space="preserve"> It would also help to understand what can and cannot be included. </w:t>
      </w:r>
    </w:p>
    <w:p w:rsidR="00425C4E" w:rsidRPr="00300B71" w:rsidRDefault="00425C4E" w:rsidP="00425C4E">
      <w:pPr>
        <w:spacing w:after="0" w:line="240" w:lineRule="auto"/>
        <w:ind w:left="360"/>
        <w:rPr>
          <w:rFonts w:ascii="Cambria" w:eastAsia="Times New Roman" w:hAnsi="Cambria"/>
          <w:color w:val="auto"/>
          <w:szCs w:val="22"/>
          <w:lang w:val="en-GB" w:eastAsia="en-IE" w:bidi="ar-SA"/>
        </w:rPr>
      </w:pPr>
    </w:p>
    <w:p w:rsidR="00300B71" w:rsidRDefault="00492783" w:rsidP="00300B71">
      <w:pPr>
        <w:pStyle w:val="ListParagraph"/>
        <w:numPr>
          <w:ilvl w:val="0"/>
          <w:numId w:val="10"/>
        </w:numPr>
        <w:spacing w:after="0" w:line="240" w:lineRule="auto"/>
        <w:rPr>
          <w:rFonts w:ascii="Cambria" w:hAnsi="Cambria"/>
          <w:color w:val="auto"/>
          <w:szCs w:val="22"/>
          <w:lang w:val="en-GB" w:eastAsia="en-IE" w:bidi="ar-SA"/>
        </w:rPr>
      </w:pPr>
      <w:r w:rsidRPr="00300B71">
        <w:rPr>
          <w:rFonts w:ascii="Cambria" w:hAnsi="Cambria"/>
          <w:color w:val="auto"/>
          <w:szCs w:val="22"/>
          <w:lang w:val="en-GB" w:eastAsia="en-IE" w:bidi="ar-SA"/>
        </w:rPr>
        <w:t xml:space="preserve">How is </w:t>
      </w:r>
      <w:r w:rsidRPr="00300B71">
        <w:rPr>
          <w:rFonts w:ascii="Cambria" w:hAnsi="Cambria"/>
          <w:color w:val="auto"/>
          <w:szCs w:val="22"/>
          <w:lang w:val="en-GB" w:bidi="ar-SA"/>
        </w:rPr>
        <w:t xml:space="preserve">new process innovations (1.1 (15)) defined for the purposes of Regional Aid; is it the same as for R&amp;D in the GBER? </w:t>
      </w:r>
    </w:p>
    <w:p w:rsidR="00300B71" w:rsidRPr="00300B71" w:rsidRDefault="00300B71" w:rsidP="00300B71">
      <w:pPr>
        <w:pStyle w:val="ListParagraph"/>
        <w:rPr>
          <w:rFonts w:ascii="Cambria" w:hAnsi="Cambria"/>
          <w:b/>
          <w:szCs w:val="24"/>
        </w:rPr>
      </w:pPr>
    </w:p>
    <w:p w:rsidR="00492783" w:rsidRPr="00300B71" w:rsidRDefault="00492783" w:rsidP="00300B71">
      <w:pPr>
        <w:spacing w:after="0" w:line="240" w:lineRule="auto"/>
        <w:ind w:left="0"/>
        <w:rPr>
          <w:rFonts w:ascii="Cambria" w:hAnsi="Cambria"/>
          <w:color w:val="auto"/>
          <w:szCs w:val="22"/>
          <w:lang w:val="en-GB" w:eastAsia="en-IE" w:bidi="ar-SA"/>
        </w:rPr>
      </w:pPr>
      <w:r w:rsidRPr="00300B71">
        <w:rPr>
          <w:rFonts w:ascii="Cambria" w:hAnsi="Cambria"/>
          <w:b/>
          <w:szCs w:val="24"/>
        </w:rPr>
        <w:lastRenderedPageBreak/>
        <w:t>NACE code questions:</w:t>
      </w:r>
      <w:r w:rsidRPr="00300B71">
        <w:rPr>
          <w:rFonts w:ascii="Cambria" w:hAnsi="Cambria"/>
          <w:b/>
          <w:szCs w:val="24"/>
        </w:rPr>
        <w:br/>
      </w:r>
    </w:p>
    <w:p w:rsidR="00893BD2" w:rsidRPr="00300B71" w:rsidRDefault="00893BD2" w:rsidP="0002174A">
      <w:pPr>
        <w:pStyle w:val="ListParagraph"/>
        <w:numPr>
          <w:ilvl w:val="0"/>
          <w:numId w:val="10"/>
        </w:numPr>
        <w:spacing w:after="0" w:line="240" w:lineRule="auto"/>
        <w:rPr>
          <w:rFonts w:ascii="Cambria" w:hAnsi="Cambria"/>
          <w:color w:val="auto"/>
          <w:szCs w:val="22"/>
          <w:lang w:val="en-GB" w:eastAsia="en-IE" w:bidi="ar-SA"/>
        </w:rPr>
      </w:pPr>
      <w:r w:rsidRPr="00300B71">
        <w:rPr>
          <w:rFonts w:ascii="Cambria" w:hAnsi="Cambria"/>
          <w:szCs w:val="24"/>
        </w:rPr>
        <w:t xml:space="preserve">The use of Nace 4 digit codes in the recently adopted Regional Aid Guidelines is far too stringent and will prevent, for example, any grant aid for the development of new agri-food products within the same processing sector.  </w:t>
      </w:r>
    </w:p>
    <w:p w:rsidR="00893BD2" w:rsidRPr="00300B71" w:rsidRDefault="00893BD2" w:rsidP="00492783">
      <w:pPr>
        <w:spacing w:after="0" w:line="240" w:lineRule="auto"/>
        <w:ind w:left="0"/>
        <w:rPr>
          <w:rFonts w:ascii="Cambria" w:hAnsi="Cambria"/>
          <w:szCs w:val="24"/>
        </w:rPr>
      </w:pPr>
    </w:p>
    <w:p w:rsidR="00492783" w:rsidRPr="00300B71" w:rsidRDefault="00893BD2" w:rsidP="00300B71">
      <w:pPr>
        <w:spacing w:after="0" w:line="240" w:lineRule="auto"/>
        <w:ind w:left="720"/>
        <w:rPr>
          <w:rFonts w:ascii="Cambria" w:hAnsi="Cambria"/>
          <w:szCs w:val="24"/>
        </w:rPr>
      </w:pPr>
      <w:r w:rsidRPr="00300B71">
        <w:rPr>
          <w:rFonts w:ascii="Cambria" w:hAnsi="Cambria"/>
          <w:szCs w:val="24"/>
        </w:rPr>
        <w:t>By way of example, w</w:t>
      </w:r>
      <w:r w:rsidR="00492783" w:rsidRPr="00300B71">
        <w:rPr>
          <w:rFonts w:ascii="Cambria" w:hAnsi="Cambria"/>
          <w:szCs w:val="24"/>
        </w:rPr>
        <w:t xml:space="preserve">ithin the agri-food sector, innovation and development usually takes place within the same sector e.g. companies with expertise in the dairy business usually continue to expand and develop this rather than get into a different sector such as meat.  Therefore new products would invariably still be classified in the same Nace classification.  </w:t>
      </w:r>
      <w:r w:rsidR="00492783" w:rsidRPr="00300B71">
        <w:rPr>
          <w:rFonts w:ascii="Cambria" w:hAnsi="Cambria"/>
          <w:szCs w:val="24"/>
        </w:rPr>
        <w:br/>
      </w:r>
    </w:p>
    <w:p w:rsidR="00492783" w:rsidRPr="00300B71" w:rsidRDefault="00492783" w:rsidP="0002174A">
      <w:pPr>
        <w:spacing w:after="0" w:line="240" w:lineRule="auto"/>
        <w:ind w:left="720"/>
        <w:rPr>
          <w:rFonts w:ascii="Cambria" w:hAnsi="Cambria"/>
          <w:szCs w:val="24"/>
        </w:rPr>
      </w:pPr>
      <w:r w:rsidRPr="00300B71">
        <w:rPr>
          <w:rFonts w:ascii="Cambria" w:hAnsi="Cambria"/>
          <w:szCs w:val="24"/>
        </w:rPr>
        <w:t>Will there be some room for pragmatism and flexibility in this area when a company is clearl</w:t>
      </w:r>
      <w:r w:rsidR="00893BD2" w:rsidRPr="00300B71">
        <w:rPr>
          <w:rFonts w:ascii="Cambria" w:hAnsi="Cambria"/>
          <w:szCs w:val="24"/>
        </w:rPr>
        <w:t>y moving into new product areas?</w:t>
      </w:r>
    </w:p>
    <w:p w:rsidR="00492783" w:rsidRPr="00300B71" w:rsidRDefault="00492783" w:rsidP="00492783">
      <w:pPr>
        <w:spacing w:after="0" w:line="240" w:lineRule="auto"/>
        <w:ind w:left="0"/>
        <w:rPr>
          <w:rFonts w:ascii="Cambria" w:hAnsi="Cambria"/>
          <w:szCs w:val="24"/>
        </w:rPr>
      </w:pPr>
    </w:p>
    <w:p w:rsidR="00425C4E" w:rsidRPr="00300B71" w:rsidRDefault="00425C4E" w:rsidP="00425C4E">
      <w:pPr>
        <w:spacing w:after="0" w:line="240" w:lineRule="auto"/>
        <w:ind w:left="0"/>
        <w:rPr>
          <w:rFonts w:ascii="Cambria" w:eastAsia="Times New Roman" w:hAnsi="Cambria"/>
          <w:color w:val="auto"/>
          <w:szCs w:val="22"/>
          <w:lang w:val="en-GB" w:eastAsia="en-IE" w:bidi="ar-SA"/>
        </w:rPr>
      </w:pPr>
    </w:p>
    <w:p w:rsidR="00AF47C8" w:rsidRPr="00300B71" w:rsidRDefault="00AF47C8" w:rsidP="00893BD2">
      <w:pPr>
        <w:spacing w:after="0" w:line="240" w:lineRule="auto"/>
        <w:ind w:left="0"/>
        <w:rPr>
          <w:rFonts w:ascii="Cambria" w:hAnsi="Cambria"/>
          <w:szCs w:val="24"/>
        </w:rPr>
      </w:pPr>
    </w:p>
    <w:p w:rsidR="00AF47C8" w:rsidRPr="00300B71" w:rsidRDefault="00AF47C8" w:rsidP="00492783">
      <w:pPr>
        <w:spacing w:after="0" w:line="240" w:lineRule="auto"/>
        <w:ind w:left="0"/>
        <w:rPr>
          <w:rFonts w:ascii="Cambria" w:hAnsi="Cambria"/>
          <w:b/>
          <w:szCs w:val="24"/>
        </w:rPr>
      </w:pPr>
      <w:r w:rsidRPr="00300B71">
        <w:rPr>
          <w:rFonts w:ascii="Cambria" w:hAnsi="Cambria"/>
          <w:b/>
          <w:szCs w:val="24"/>
        </w:rPr>
        <w:t>Agriculture</w:t>
      </w:r>
      <w:r w:rsidR="0002174A" w:rsidRPr="00300B71">
        <w:rPr>
          <w:rFonts w:ascii="Cambria" w:hAnsi="Cambria"/>
          <w:b/>
          <w:szCs w:val="24"/>
        </w:rPr>
        <w:t xml:space="preserve"> and Fisheries</w:t>
      </w:r>
      <w:r w:rsidRPr="00300B71">
        <w:rPr>
          <w:rFonts w:ascii="Cambria" w:hAnsi="Cambria"/>
          <w:b/>
          <w:szCs w:val="24"/>
        </w:rPr>
        <w:t xml:space="preserve"> Related Questions:</w:t>
      </w:r>
    </w:p>
    <w:p w:rsidR="001441FF" w:rsidRPr="00300B71" w:rsidRDefault="001441FF" w:rsidP="00492783">
      <w:pPr>
        <w:spacing w:after="0" w:line="240" w:lineRule="auto"/>
        <w:ind w:left="142"/>
        <w:rPr>
          <w:rFonts w:ascii="Cambria" w:hAnsi="Cambria"/>
          <w:szCs w:val="24"/>
        </w:rPr>
      </w:pPr>
    </w:p>
    <w:p w:rsidR="001441FF" w:rsidRPr="00300B71" w:rsidRDefault="001441FF" w:rsidP="00492783">
      <w:pPr>
        <w:spacing w:after="0" w:line="240" w:lineRule="auto"/>
        <w:ind w:left="0"/>
        <w:rPr>
          <w:rFonts w:ascii="Cambria" w:hAnsi="Cambria"/>
          <w:szCs w:val="24"/>
          <w:u w:val="single"/>
        </w:rPr>
      </w:pPr>
      <w:r w:rsidRPr="00300B71">
        <w:rPr>
          <w:rFonts w:ascii="Cambria" w:hAnsi="Cambria"/>
          <w:szCs w:val="24"/>
          <w:u w:val="single"/>
        </w:rPr>
        <w:t>Application of the RAGs to the processing and marketing of agricultural products</w:t>
      </w:r>
    </w:p>
    <w:p w:rsidR="001441FF" w:rsidRPr="00300B71" w:rsidRDefault="001441FF" w:rsidP="00492783">
      <w:pPr>
        <w:pStyle w:val="ListParagraph"/>
        <w:spacing w:after="0" w:line="240" w:lineRule="auto"/>
        <w:ind w:left="502"/>
        <w:rPr>
          <w:rFonts w:ascii="Cambria" w:hAnsi="Cambria"/>
          <w:szCs w:val="24"/>
        </w:rPr>
      </w:pPr>
    </w:p>
    <w:p w:rsidR="001441FF" w:rsidRPr="00300B71" w:rsidRDefault="001441FF" w:rsidP="0002174A">
      <w:pPr>
        <w:pStyle w:val="ListParagraph"/>
        <w:numPr>
          <w:ilvl w:val="0"/>
          <w:numId w:val="10"/>
        </w:numPr>
        <w:spacing w:after="0" w:line="240" w:lineRule="auto"/>
        <w:ind w:left="360"/>
        <w:rPr>
          <w:rFonts w:ascii="Cambria" w:hAnsi="Cambria"/>
          <w:szCs w:val="24"/>
        </w:rPr>
      </w:pPr>
      <w:r w:rsidRPr="00300B71">
        <w:rPr>
          <w:rFonts w:ascii="Cambria" w:hAnsi="Cambria"/>
          <w:szCs w:val="24"/>
        </w:rPr>
        <w:t>The Regional Aid Guidelines (RAGs) state</w:t>
      </w:r>
      <w:r w:rsidR="003D23C9" w:rsidRPr="00300B71">
        <w:rPr>
          <w:rFonts w:ascii="Cambria" w:hAnsi="Cambria"/>
          <w:szCs w:val="24"/>
        </w:rPr>
        <w:t xml:space="preserve"> at 1.1.10 of the </w:t>
      </w:r>
      <w:r w:rsidRPr="00300B71">
        <w:rPr>
          <w:rFonts w:ascii="Cambria" w:hAnsi="Cambria"/>
          <w:szCs w:val="24"/>
        </w:rPr>
        <w:t>Scope and Definitions</w:t>
      </w:r>
      <w:r w:rsidR="003D23C9" w:rsidRPr="00300B71">
        <w:rPr>
          <w:rFonts w:ascii="Cambria" w:hAnsi="Cambria"/>
          <w:szCs w:val="24"/>
        </w:rPr>
        <w:t xml:space="preserve"> section:</w:t>
      </w:r>
      <w:r w:rsidRPr="00300B71">
        <w:rPr>
          <w:rFonts w:ascii="Cambria" w:hAnsi="Cambria"/>
          <w:szCs w:val="24"/>
        </w:rPr>
        <w:t xml:space="preserve"> “the Commission will apply the principles set out in these guidelines to regional aid in all sectors of economic activity apart from the fisheries and aquaculture, agricultural and transport sector which are subject to special rules laid down by specific legal instruments which might derogate partially or totally from these guidelines. The Commission will apply these guidelines for processing and marketing of agricultural production into non- agricultural products.” </w:t>
      </w:r>
    </w:p>
    <w:p w:rsidR="001441FF" w:rsidRPr="00300B71" w:rsidRDefault="001441FF" w:rsidP="0002174A">
      <w:pPr>
        <w:pStyle w:val="ListParagraph"/>
        <w:spacing w:after="0" w:line="240" w:lineRule="auto"/>
        <w:ind w:left="1440"/>
        <w:rPr>
          <w:rFonts w:ascii="Cambria" w:hAnsi="Cambria"/>
          <w:szCs w:val="24"/>
        </w:rPr>
      </w:pPr>
    </w:p>
    <w:p w:rsidR="001441FF" w:rsidRPr="00300B71" w:rsidRDefault="001441FF" w:rsidP="0002174A">
      <w:pPr>
        <w:spacing w:after="0" w:line="240" w:lineRule="auto"/>
        <w:ind w:left="360"/>
        <w:rPr>
          <w:rFonts w:ascii="Cambria" w:hAnsi="Cambria"/>
          <w:szCs w:val="24"/>
        </w:rPr>
      </w:pPr>
      <w:r w:rsidRPr="00300B71">
        <w:rPr>
          <w:rFonts w:ascii="Cambria" w:hAnsi="Cambria"/>
          <w:szCs w:val="24"/>
        </w:rPr>
        <w:t>Footnote 11</w:t>
      </w:r>
      <w:r w:rsidR="003D23C9" w:rsidRPr="00300B71">
        <w:rPr>
          <w:rFonts w:ascii="Cambria" w:hAnsi="Cambria"/>
          <w:szCs w:val="24"/>
        </w:rPr>
        <w:t xml:space="preserve"> states:</w:t>
      </w:r>
      <w:r w:rsidRPr="00300B71">
        <w:rPr>
          <w:rFonts w:ascii="Cambria" w:hAnsi="Cambria"/>
          <w:szCs w:val="24"/>
        </w:rPr>
        <w:t xml:space="preserve"> “State aid for the primary production, processing and marketing of agricultural products resulting in agricultural products listed in Annex 1 to the Treaty and forestry is subject to rules laid down in the Guidelines for State aid in the agricultural sector.”  </w:t>
      </w:r>
    </w:p>
    <w:p w:rsidR="001441FF" w:rsidRPr="00300B71" w:rsidRDefault="001441FF" w:rsidP="0002174A">
      <w:pPr>
        <w:pStyle w:val="ListParagraph"/>
        <w:spacing w:after="0" w:line="240" w:lineRule="auto"/>
        <w:ind w:left="862"/>
        <w:rPr>
          <w:rFonts w:ascii="Cambria" w:hAnsi="Cambria"/>
          <w:szCs w:val="24"/>
        </w:rPr>
      </w:pPr>
    </w:p>
    <w:p w:rsidR="001441FF" w:rsidRPr="00300B71" w:rsidRDefault="001441FF" w:rsidP="0002174A">
      <w:pPr>
        <w:spacing w:after="0" w:line="240" w:lineRule="auto"/>
        <w:ind w:left="360"/>
        <w:rPr>
          <w:rFonts w:ascii="Cambria" w:hAnsi="Cambria"/>
          <w:szCs w:val="24"/>
        </w:rPr>
      </w:pPr>
      <w:r w:rsidRPr="00300B71">
        <w:rPr>
          <w:rFonts w:ascii="Cambria" w:hAnsi="Cambria"/>
          <w:szCs w:val="24"/>
        </w:rPr>
        <w:t>Ireland considers that state aid for secondary processing and marketing of agricultural products which may result in products listed outside Annex 1, or products within Annex 1 are both subject to the Regional Aid Guidelines, and associated de minimus and GBER regimes (currently Regn (EU) 800/2008, Regn (EU) 1998/2006).  This has been the position from 2007 – 2013 and Ireland would appreci</w:t>
      </w:r>
      <w:r w:rsidR="00893BD2" w:rsidRPr="00300B71">
        <w:rPr>
          <w:rFonts w:ascii="Cambria" w:hAnsi="Cambria"/>
          <w:szCs w:val="24"/>
        </w:rPr>
        <w:t>ate clarification on this point</w:t>
      </w:r>
      <w:r w:rsidRPr="00300B71">
        <w:rPr>
          <w:rFonts w:ascii="Cambria" w:hAnsi="Cambria"/>
          <w:szCs w:val="24"/>
        </w:rPr>
        <w:t>.</w:t>
      </w:r>
    </w:p>
    <w:p w:rsidR="001441FF" w:rsidRDefault="001441FF" w:rsidP="00492783">
      <w:pPr>
        <w:pStyle w:val="ListParagraph"/>
        <w:spacing w:after="0" w:line="240" w:lineRule="auto"/>
        <w:ind w:left="502"/>
        <w:rPr>
          <w:rFonts w:ascii="Cambria" w:hAnsi="Cambria"/>
          <w:szCs w:val="24"/>
        </w:rPr>
      </w:pPr>
    </w:p>
    <w:p w:rsidR="00300B71" w:rsidRDefault="00300B71" w:rsidP="00492783">
      <w:pPr>
        <w:pStyle w:val="ListParagraph"/>
        <w:spacing w:after="0" w:line="240" w:lineRule="auto"/>
        <w:ind w:left="502"/>
        <w:rPr>
          <w:rFonts w:ascii="Cambria" w:hAnsi="Cambria"/>
          <w:szCs w:val="24"/>
        </w:rPr>
      </w:pPr>
    </w:p>
    <w:p w:rsidR="00300B71" w:rsidRDefault="00300B71" w:rsidP="00492783">
      <w:pPr>
        <w:pStyle w:val="ListParagraph"/>
        <w:spacing w:after="0" w:line="240" w:lineRule="auto"/>
        <w:ind w:left="502"/>
        <w:rPr>
          <w:rFonts w:ascii="Cambria" w:hAnsi="Cambria"/>
          <w:szCs w:val="24"/>
        </w:rPr>
      </w:pPr>
    </w:p>
    <w:p w:rsidR="00300B71" w:rsidRDefault="00300B71" w:rsidP="00492783">
      <w:pPr>
        <w:pStyle w:val="ListParagraph"/>
        <w:spacing w:after="0" w:line="240" w:lineRule="auto"/>
        <w:ind w:left="502"/>
        <w:rPr>
          <w:rFonts w:ascii="Cambria" w:hAnsi="Cambria"/>
          <w:szCs w:val="24"/>
        </w:rPr>
      </w:pPr>
    </w:p>
    <w:p w:rsidR="00C217EE" w:rsidRDefault="00C217EE" w:rsidP="00492783">
      <w:pPr>
        <w:pStyle w:val="ListParagraph"/>
        <w:spacing w:after="0" w:line="240" w:lineRule="auto"/>
        <w:ind w:left="502"/>
        <w:rPr>
          <w:rFonts w:ascii="Cambria" w:hAnsi="Cambria"/>
          <w:szCs w:val="24"/>
        </w:rPr>
      </w:pPr>
    </w:p>
    <w:p w:rsidR="00C217EE" w:rsidRDefault="00C217EE" w:rsidP="00492783">
      <w:pPr>
        <w:pStyle w:val="ListParagraph"/>
        <w:spacing w:after="0" w:line="240" w:lineRule="auto"/>
        <w:ind w:left="502"/>
        <w:rPr>
          <w:rFonts w:ascii="Cambria" w:hAnsi="Cambria"/>
          <w:szCs w:val="24"/>
        </w:rPr>
      </w:pPr>
    </w:p>
    <w:p w:rsidR="00300B71" w:rsidRDefault="00300B71" w:rsidP="00492783">
      <w:pPr>
        <w:pStyle w:val="ListParagraph"/>
        <w:spacing w:after="0" w:line="240" w:lineRule="auto"/>
        <w:ind w:left="502"/>
        <w:rPr>
          <w:rFonts w:ascii="Cambria" w:hAnsi="Cambria"/>
          <w:szCs w:val="24"/>
        </w:rPr>
      </w:pPr>
    </w:p>
    <w:p w:rsidR="00300B71" w:rsidRPr="00300B71" w:rsidRDefault="00300B71" w:rsidP="00492783">
      <w:pPr>
        <w:pStyle w:val="ListParagraph"/>
        <w:spacing w:after="0" w:line="240" w:lineRule="auto"/>
        <w:ind w:left="502"/>
        <w:rPr>
          <w:rFonts w:ascii="Cambria" w:hAnsi="Cambria"/>
          <w:szCs w:val="24"/>
        </w:rPr>
      </w:pPr>
    </w:p>
    <w:p w:rsidR="001441FF" w:rsidRPr="00300B71" w:rsidRDefault="001441FF" w:rsidP="00492783">
      <w:pPr>
        <w:pStyle w:val="ListParagraph"/>
        <w:spacing w:after="0" w:line="240" w:lineRule="auto"/>
        <w:ind w:left="502"/>
        <w:rPr>
          <w:rFonts w:ascii="Cambria" w:hAnsi="Cambria"/>
          <w:szCs w:val="24"/>
        </w:rPr>
      </w:pPr>
      <w:r w:rsidRPr="00300B71">
        <w:rPr>
          <w:rFonts w:ascii="Cambria" w:hAnsi="Cambria"/>
          <w:szCs w:val="24"/>
        </w:rPr>
        <w:t xml:space="preserve">  </w:t>
      </w:r>
    </w:p>
    <w:p w:rsidR="001441FF" w:rsidRPr="00300B71" w:rsidRDefault="001441FF" w:rsidP="00492783">
      <w:pPr>
        <w:spacing w:after="0" w:line="240" w:lineRule="auto"/>
        <w:ind w:left="0"/>
        <w:rPr>
          <w:rFonts w:ascii="Cambria" w:hAnsi="Cambria"/>
          <w:szCs w:val="24"/>
          <w:u w:val="single"/>
        </w:rPr>
      </w:pPr>
      <w:r w:rsidRPr="00300B71">
        <w:rPr>
          <w:rFonts w:ascii="Cambria" w:hAnsi="Cambria"/>
          <w:szCs w:val="24"/>
          <w:u w:val="single"/>
        </w:rPr>
        <w:lastRenderedPageBreak/>
        <w:t>Application of the RAGs to the Fisheries Sector</w:t>
      </w:r>
    </w:p>
    <w:p w:rsidR="001441FF" w:rsidRPr="00300B71" w:rsidRDefault="001441FF" w:rsidP="00492783">
      <w:pPr>
        <w:pStyle w:val="ListParagraph"/>
        <w:spacing w:after="0" w:line="240" w:lineRule="auto"/>
        <w:ind w:left="502"/>
        <w:rPr>
          <w:rFonts w:ascii="Cambria" w:hAnsi="Cambria"/>
          <w:szCs w:val="24"/>
        </w:rPr>
      </w:pPr>
    </w:p>
    <w:p w:rsidR="001441FF" w:rsidRPr="00300B71" w:rsidRDefault="001441FF" w:rsidP="0002174A">
      <w:pPr>
        <w:pStyle w:val="ListParagraph"/>
        <w:numPr>
          <w:ilvl w:val="0"/>
          <w:numId w:val="10"/>
        </w:numPr>
        <w:spacing w:after="0" w:line="240" w:lineRule="auto"/>
        <w:rPr>
          <w:rFonts w:ascii="Cambria" w:hAnsi="Cambria"/>
          <w:szCs w:val="24"/>
        </w:rPr>
      </w:pPr>
      <w:r w:rsidRPr="00300B71">
        <w:rPr>
          <w:rFonts w:ascii="Cambria" w:hAnsi="Cambria"/>
          <w:szCs w:val="24"/>
        </w:rPr>
        <w:t>Scope and Definitions</w:t>
      </w:r>
    </w:p>
    <w:p w:rsidR="00425C4E" w:rsidRPr="00300B71" w:rsidRDefault="00425C4E" w:rsidP="00425C4E">
      <w:pPr>
        <w:spacing w:after="0" w:line="240" w:lineRule="auto"/>
        <w:ind w:left="0"/>
        <w:rPr>
          <w:rFonts w:ascii="Cambria" w:hAnsi="Cambria"/>
          <w:szCs w:val="24"/>
        </w:rPr>
      </w:pPr>
    </w:p>
    <w:p w:rsidR="001441FF" w:rsidRPr="00300B71" w:rsidRDefault="001441FF" w:rsidP="0002174A">
      <w:pPr>
        <w:spacing w:after="0" w:line="240" w:lineRule="auto"/>
        <w:ind w:left="360"/>
        <w:rPr>
          <w:rFonts w:ascii="Cambria" w:hAnsi="Cambria"/>
          <w:szCs w:val="24"/>
        </w:rPr>
      </w:pPr>
      <w:r w:rsidRPr="00300B71">
        <w:rPr>
          <w:rFonts w:ascii="Cambria" w:hAnsi="Cambria"/>
          <w:szCs w:val="24"/>
        </w:rPr>
        <w:t xml:space="preserve">1.1.10 “the Commission will apply the principles set out in these guidelines to regional aid in all sectors of economic activity apart from the fisheries and aquaculture, agricultural and transport sector which are subject to special rules laid down by specific legal instruments which might derogate partially or totally from these guidelines. “  </w:t>
      </w:r>
    </w:p>
    <w:p w:rsidR="001441FF" w:rsidRPr="00300B71" w:rsidRDefault="001441FF" w:rsidP="0002174A">
      <w:pPr>
        <w:pStyle w:val="ListParagraph"/>
        <w:spacing w:after="0" w:line="240" w:lineRule="auto"/>
        <w:ind w:left="1440"/>
        <w:rPr>
          <w:rFonts w:ascii="Cambria" w:hAnsi="Cambria"/>
          <w:szCs w:val="24"/>
        </w:rPr>
      </w:pPr>
    </w:p>
    <w:p w:rsidR="001441FF" w:rsidRPr="00300B71" w:rsidRDefault="001441FF" w:rsidP="0002174A">
      <w:pPr>
        <w:spacing w:after="0" w:line="240" w:lineRule="auto"/>
        <w:ind w:left="360"/>
        <w:rPr>
          <w:rFonts w:ascii="Cambria" w:hAnsi="Cambria"/>
          <w:szCs w:val="24"/>
        </w:rPr>
      </w:pPr>
      <w:r w:rsidRPr="00300B71">
        <w:rPr>
          <w:rFonts w:ascii="Cambria" w:hAnsi="Cambria"/>
          <w:szCs w:val="24"/>
        </w:rPr>
        <w:t>Footnote 18 refers to fisheries products as defined by Regn (EC) No 104/2000.</w:t>
      </w:r>
    </w:p>
    <w:p w:rsidR="001441FF" w:rsidRPr="00300B71" w:rsidRDefault="001441FF" w:rsidP="0002174A">
      <w:pPr>
        <w:pStyle w:val="ListParagraph"/>
        <w:spacing w:after="0" w:line="240" w:lineRule="auto"/>
        <w:ind w:left="862"/>
        <w:rPr>
          <w:rFonts w:ascii="Cambria" w:hAnsi="Cambria"/>
          <w:szCs w:val="24"/>
        </w:rPr>
      </w:pPr>
    </w:p>
    <w:p w:rsidR="00AF47C8" w:rsidRPr="00300B71" w:rsidRDefault="001441FF" w:rsidP="0002174A">
      <w:pPr>
        <w:spacing w:after="0" w:line="240" w:lineRule="auto"/>
        <w:ind w:left="360"/>
        <w:rPr>
          <w:rFonts w:ascii="Cambria" w:hAnsi="Cambria"/>
          <w:szCs w:val="24"/>
        </w:rPr>
      </w:pPr>
      <w:r w:rsidRPr="00300B71">
        <w:rPr>
          <w:rFonts w:ascii="Cambria" w:hAnsi="Cambria"/>
          <w:szCs w:val="24"/>
        </w:rPr>
        <w:t xml:space="preserve">Ireland has received clarification from the Commission that secondary processing of fish resulting in value added consumer products which are outside the CN codes listing in Regn (EC) No 104/2000 are currently covered under Commission Block Exemption Regulation 800/2008 and the general de minimus Regulation 1998/2006.  We would appreciate clarification that this remains the case in the </w:t>
      </w:r>
      <w:r w:rsidR="00230BA2" w:rsidRPr="00300B71">
        <w:rPr>
          <w:rFonts w:ascii="Cambria" w:hAnsi="Cambria"/>
          <w:szCs w:val="24"/>
        </w:rPr>
        <w:t>upcoming RAGs.</w:t>
      </w:r>
    </w:p>
    <w:p w:rsidR="0002055B" w:rsidRPr="00300B71" w:rsidRDefault="002521B7" w:rsidP="00300B71">
      <w:pPr>
        <w:spacing w:line="240" w:lineRule="auto"/>
        <w:ind w:left="0"/>
        <w:rPr>
          <w:rFonts w:ascii="Cambria" w:hAnsi="Cambria"/>
        </w:rPr>
      </w:pPr>
    </w:p>
    <w:p w:rsidR="00EB37BF" w:rsidRPr="00300B71" w:rsidRDefault="00AF47C8" w:rsidP="00492783">
      <w:pPr>
        <w:spacing w:after="0" w:line="240" w:lineRule="auto"/>
        <w:ind w:left="0"/>
        <w:rPr>
          <w:rFonts w:ascii="Cambria" w:eastAsia="Times New Roman" w:hAnsi="Cambria" w:cs="Arial"/>
          <w:b/>
          <w:color w:val="auto"/>
          <w:lang w:val="en-GB" w:eastAsia="en-IE" w:bidi="ar-SA"/>
        </w:rPr>
      </w:pPr>
      <w:r w:rsidRPr="00300B71">
        <w:rPr>
          <w:rFonts w:ascii="Cambria" w:eastAsia="Times New Roman" w:hAnsi="Cambria" w:cs="Arial"/>
          <w:b/>
          <w:color w:val="auto"/>
          <w:lang w:val="en-GB" w:eastAsia="en-IE" w:bidi="ar-SA"/>
        </w:rPr>
        <w:t>Extension of current RAGS</w:t>
      </w:r>
    </w:p>
    <w:p w:rsidR="00EB37BF" w:rsidRPr="00300B71" w:rsidRDefault="00EB37BF" w:rsidP="00492783">
      <w:pPr>
        <w:spacing w:after="0" w:line="240" w:lineRule="auto"/>
        <w:ind w:left="0"/>
        <w:rPr>
          <w:rFonts w:ascii="Cambria" w:eastAsia="Times New Roman" w:hAnsi="Cambria" w:cs="Arial"/>
          <w:color w:val="000000"/>
          <w:lang w:val="en-GB" w:eastAsia="en-IE" w:bidi="ar-SA"/>
        </w:rPr>
      </w:pPr>
    </w:p>
    <w:p w:rsidR="00BA711E" w:rsidRPr="00300B71" w:rsidRDefault="00BA711E" w:rsidP="0002174A">
      <w:pPr>
        <w:pStyle w:val="ListParagraph"/>
        <w:numPr>
          <w:ilvl w:val="0"/>
          <w:numId w:val="10"/>
        </w:numPr>
        <w:autoSpaceDE w:val="0"/>
        <w:autoSpaceDN w:val="0"/>
        <w:adjustRightInd w:val="0"/>
        <w:spacing w:after="0" w:line="240" w:lineRule="auto"/>
        <w:rPr>
          <w:rFonts w:ascii="Cambria" w:hAnsi="Cambria"/>
          <w:szCs w:val="24"/>
        </w:rPr>
      </w:pPr>
      <w:r w:rsidRPr="00300B71">
        <w:rPr>
          <w:rFonts w:ascii="Cambria" w:hAnsi="Cambria"/>
          <w:szCs w:val="24"/>
        </w:rPr>
        <w:t>The Commission has stated that it will apply the existing r</w:t>
      </w:r>
      <w:r w:rsidR="00425C4E" w:rsidRPr="00300B71">
        <w:rPr>
          <w:rFonts w:ascii="Cambria" w:hAnsi="Cambria"/>
          <w:szCs w:val="24"/>
        </w:rPr>
        <w:t xml:space="preserve">ules to regional aid granted or </w:t>
      </w:r>
      <w:r w:rsidRPr="00300B71">
        <w:rPr>
          <w:rFonts w:ascii="Cambria" w:hAnsi="Cambria"/>
          <w:szCs w:val="24"/>
        </w:rPr>
        <w:t>intended to be granted before 1 July 2014 and the new rules to aid granted or intended to be granted after 30 June 2014.</w:t>
      </w:r>
    </w:p>
    <w:p w:rsidR="00BA711E" w:rsidRPr="00300B71" w:rsidRDefault="00BA711E" w:rsidP="00492783">
      <w:pPr>
        <w:autoSpaceDE w:val="0"/>
        <w:autoSpaceDN w:val="0"/>
        <w:adjustRightInd w:val="0"/>
        <w:spacing w:after="0" w:line="240" w:lineRule="auto"/>
        <w:rPr>
          <w:rFonts w:ascii="Cambria" w:hAnsi="Cambria"/>
          <w:szCs w:val="24"/>
        </w:rPr>
      </w:pPr>
    </w:p>
    <w:p w:rsidR="00BA711E" w:rsidRPr="00300B71" w:rsidRDefault="00BA711E" w:rsidP="0059662F">
      <w:pPr>
        <w:autoSpaceDE w:val="0"/>
        <w:autoSpaceDN w:val="0"/>
        <w:adjustRightInd w:val="0"/>
        <w:spacing w:after="0" w:line="240" w:lineRule="auto"/>
        <w:ind w:left="720"/>
        <w:rPr>
          <w:rFonts w:ascii="Cambria" w:hAnsi="Cambria"/>
          <w:szCs w:val="24"/>
        </w:rPr>
      </w:pPr>
      <w:r w:rsidRPr="00300B71">
        <w:rPr>
          <w:rFonts w:ascii="Cambria" w:hAnsi="Cambria"/>
          <w:szCs w:val="24"/>
        </w:rPr>
        <w:t xml:space="preserve">The Irish </w:t>
      </w:r>
      <w:r w:rsidR="00D02719" w:rsidRPr="00300B71">
        <w:rPr>
          <w:rFonts w:ascii="Cambria" w:hAnsi="Cambria"/>
          <w:szCs w:val="24"/>
        </w:rPr>
        <w:t>Authorities</w:t>
      </w:r>
      <w:r w:rsidRPr="00300B71">
        <w:rPr>
          <w:rFonts w:ascii="Cambria" w:hAnsi="Cambria"/>
          <w:szCs w:val="24"/>
        </w:rPr>
        <w:t xml:space="preserve"> </w:t>
      </w:r>
      <w:r w:rsidR="00D02719" w:rsidRPr="00300B71">
        <w:rPr>
          <w:rFonts w:ascii="Cambria" w:hAnsi="Cambria"/>
          <w:szCs w:val="24"/>
        </w:rPr>
        <w:t>understand</w:t>
      </w:r>
      <w:r w:rsidRPr="00300B71">
        <w:rPr>
          <w:rFonts w:ascii="Cambria" w:hAnsi="Cambria"/>
          <w:szCs w:val="24"/>
        </w:rPr>
        <w:t xml:space="preserve"> that the aid is considered to be granted when the Member State takes a legally binding commitment to award it. Therefore, the relevant moment to establish what rules to apply is the moment of granting the aid and not the disbursement (payment) of it. </w:t>
      </w:r>
    </w:p>
    <w:p w:rsidR="00BA711E" w:rsidRPr="00300B71" w:rsidRDefault="00BA711E" w:rsidP="0059662F">
      <w:pPr>
        <w:autoSpaceDE w:val="0"/>
        <w:autoSpaceDN w:val="0"/>
        <w:adjustRightInd w:val="0"/>
        <w:spacing w:after="0" w:line="240" w:lineRule="auto"/>
        <w:ind w:left="720"/>
        <w:rPr>
          <w:rFonts w:ascii="Cambria" w:hAnsi="Cambria"/>
          <w:szCs w:val="24"/>
        </w:rPr>
      </w:pPr>
    </w:p>
    <w:p w:rsidR="00BA711E" w:rsidRPr="00300B71" w:rsidRDefault="00BA711E" w:rsidP="0059662F">
      <w:pPr>
        <w:autoSpaceDE w:val="0"/>
        <w:autoSpaceDN w:val="0"/>
        <w:adjustRightInd w:val="0"/>
        <w:spacing w:after="0" w:line="240" w:lineRule="auto"/>
        <w:ind w:left="720"/>
        <w:rPr>
          <w:rFonts w:ascii="Cambria" w:hAnsi="Cambria"/>
          <w:szCs w:val="24"/>
        </w:rPr>
      </w:pPr>
      <w:r w:rsidRPr="00300B71">
        <w:rPr>
          <w:rFonts w:ascii="Cambria" w:hAnsi="Cambria"/>
          <w:szCs w:val="24"/>
        </w:rPr>
        <w:t>However, would the legal documents have to be actually signed by both parties in order for the above to apply, or is it the case that if the decision is made by the granting authority, and transmitted to the beneficiary?</w:t>
      </w:r>
    </w:p>
    <w:p w:rsidR="00D02719" w:rsidRDefault="00D02719" w:rsidP="005451BD">
      <w:pPr>
        <w:autoSpaceDE w:val="0"/>
        <w:autoSpaceDN w:val="0"/>
        <w:adjustRightInd w:val="0"/>
        <w:spacing w:after="0" w:line="240" w:lineRule="auto"/>
        <w:ind w:left="0"/>
        <w:rPr>
          <w:rFonts w:ascii="Cambria" w:hAnsi="Cambria"/>
          <w:szCs w:val="24"/>
        </w:rPr>
      </w:pPr>
    </w:p>
    <w:p w:rsidR="00D02719" w:rsidRPr="00300B71" w:rsidRDefault="00D02719" w:rsidP="00492783">
      <w:pPr>
        <w:autoSpaceDE w:val="0"/>
        <w:autoSpaceDN w:val="0"/>
        <w:adjustRightInd w:val="0"/>
        <w:spacing w:after="0" w:line="240" w:lineRule="auto"/>
        <w:ind w:left="720"/>
        <w:rPr>
          <w:rFonts w:ascii="Cambria" w:hAnsi="Cambria"/>
          <w:szCs w:val="24"/>
        </w:rPr>
      </w:pPr>
    </w:p>
    <w:p w:rsidR="00EB37BF" w:rsidRPr="00300B71" w:rsidRDefault="00EB37BF" w:rsidP="00566F92">
      <w:pPr>
        <w:spacing w:line="240" w:lineRule="auto"/>
        <w:ind w:left="0"/>
        <w:rPr>
          <w:rFonts w:ascii="Cambria" w:hAnsi="Cambria"/>
        </w:rPr>
      </w:pPr>
    </w:p>
    <w:p w:rsidR="00EB37BF" w:rsidRPr="00300B71" w:rsidRDefault="00492783" w:rsidP="00492783">
      <w:pPr>
        <w:spacing w:line="240" w:lineRule="auto"/>
        <w:ind w:left="0"/>
        <w:rPr>
          <w:rFonts w:ascii="Cambria" w:hAnsi="Cambria"/>
          <w:b/>
        </w:rPr>
      </w:pPr>
      <w:r w:rsidRPr="00300B71">
        <w:rPr>
          <w:rFonts w:ascii="Cambria" w:hAnsi="Cambria"/>
          <w:b/>
        </w:rPr>
        <w:t xml:space="preserve">Questions on </w:t>
      </w:r>
      <w:r w:rsidR="002B43BA" w:rsidRPr="00300B71">
        <w:rPr>
          <w:rFonts w:ascii="Cambria" w:hAnsi="Cambria"/>
          <w:b/>
        </w:rPr>
        <w:t>Definitions:</w:t>
      </w:r>
    </w:p>
    <w:p w:rsidR="00F20B44" w:rsidRPr="00300B71" w:rsidRDefault="00EB37BF" w:rsidP="0002174A">
      <w:pPr>
        <w:pStyle w:val="ListParagraph"/>
        <w:numPr>
          <w:ilvl w:val="0"/>
          <w:numId w:val="10"/>
        </w:numPr>
        <w:spacing w:before="80" w:after="120" w:line="240" w:lineRule="auto"/>
        <w:rPr>
          <w:rFonts w:ascii="Cambria" w:hAnsi="Cambria"/>
          <w:color w:val="000000"/>
          <w:lang w:val="en-IE" w:eastAsia="en-GB" w:bidi="ar-SA"/>
        </w:rPr>
      </w:pPr>
      <w:r w:rsidRPr="00300B71">
        <w:rPr>
          <w:rFonts w:ascii="Cambria" w:hAnsi="Cambria"/>
          <w:color w:val="000000"/>
          <w:lang w:val="en-IE" w:eastAsia="en-GB" w:bidi="ar-SA"/>
        </w:rPr>
        <w:t>What will be required by the Commission to prove that an area is “undergoing major structural change/ in serious relati</w:t>
      </w:r>
      <w:r w:rsidR="00566F92" w:rsidRPr="00300B71">
        <w:rPr>
          <w:rFonts w:ascii="Cambria" w:hAnsi="Cambria"/>
          <w:color w:val="000000"/>
          <w:lang w:val="en-IE" w:eastAsia="en-GB" w:bidi="ar-SA"/>
        </w:rPr>
        <w:t xml:space="preserve">ve decline” (para 168e of text). </w:t>
      </w:r>
    </w:p>
    <w:p w:rsidR="00893BD2" w:rsidRPr="00300B71" w:rsidRDefault="00893BD2" w:rsidP="00425C4E">
      <w:pPr>
        <w:spacing w:before="80" w:after="120" w:line="240" w:lineRule="auto"/>
        <w:ind w:left="0"/>
        <w:rPr>
          <w:rFonts w:ascii="Cambria" w:eastAsia="Times New Roman" w:hAnsi="Cambria"/>
          <w:color w:val="000000"/>
          <w:lang w:val="en-IE" w:eastAsia="en-GB" w:bidi="ar-SA"/>
        </w:rPr>
      </w:pPr>
    </w:p>
    <w:p w:rsidR="00893BD2" w:rsidRPr="00300B71" w:rsidRDefault="00893BD2" w:rsidP="00893BD2">
      <w:pPr>
        <w:spacing w:after="0" w:line="240" w:lineRule="auto"/>
        <w:ind w:left="0"/>
        <w:rPr>
          <w:rFonts w:ascii="Cambria" w:hAnsi="Cambria"/>
          <w:b/>
          <w:szCs w:val="24"/>
        </w:rPr>
      </w:pPr>
      <w:r w:rsidRPr="00300B71">
        <w:rPr>
          <w:rFonts w:ascii="Cambria" w:hAnsi="Cambria"/>
          <w:b/>
          <w:szCs w:val="24"/>
        </w:rPr>
        <w:t>Broadband:</w:t>
      </w:r>
    </w:p>
    <w:p w:rsidR="00893BD2" w:rsidRPr="00300B71" w:rsidRDefault="00893BD2" w:rsidP="00893BD2">
      <w:pPr>
        <w:pStyle w:val="ListParagraph"/>
        <w:spacing w:after="0" w:line="240" w:lineRule="auto"/>
        <w:rPr>
          <w:rFonts w:ascii="Cambria" w:hAnsi="Cambria"/>
          <w:szCs w:val="24"/>
        </w:rPr>
      </w:pPr>
    </w:p>
    <w:p w:rsidR="00893BD2" w:rsidRPr="00300B71" w:rsidRDefault="00C217EE" w:rsidP="0002174A">
      <w:pPr>
        <w:pStyle w:val="ListParagraph"/>
        <w:numPr>
          <w:ilvl w:val="0"/>
          <w:numId w:val="10"/>
        </w:numPr>
        <w:spacing w:after="0" w:line="240" w:lineRule="auto"/>
        <w:rPr>
          <w:rFonts w:ascii="Cambria" w:hAnsi="Cambria" w:cs="Arial"/>
          <w:bCs/>
          <w:color w:val="auto"/>
          <w:szCs w:val="24"/>
          <w:lang w:val="en-IE" w:eastAsia="en-IE" w:bidi="ar-SA"/>
        </w:rPr>
      </w:pPr>
      <w:r>
        <w:rPr>
          <w:rFonts w:ascii="Cambria" w:hAnsi="Cambria" w:cs="Arial"/>
          <w:bCs/>
          <w:color w:val="auto"/>
          <w:szCs w:val="24"/>
          <w:lang w:val="en-IE" w:eastAsia="en-IE" w:bidi="ar-SA"/>
        </w:rPr>
        <w:t>Could the Commission prepare some kind a summary of what</w:t>
      </w:r>
      <w:r w:rsidR="00893BD2" w:rsidRPr="00300B71">
        <w:rPr>
          <w:rFonts w:ascii="Cambria" w:hAnsi="Cambria" w:cs="Arial"/>
          <w:bCs/>
          <w:color w:val="auto"/>
          <w:szCs w:val="24"/>
          <w:lang w:val="en-IE" w:eastAsia="en-IE" w:bidi="ar-SA"/>
        </w:rPr>
        <w:t xml:space="preserve"> are the impacts </w:t>
      </w:r>
      <w:r>
        <w:rPr>
          <w:rFonts w:ascii="Cambria" w:hAnsi="Cambria" w:cs="Arial"/>
          <w:bCs/>
          <w:color w:val="auto"/>
          <w:szCs w:val="24"/>
          <w:lang w:val="en-IE" w:eastAsia="en-IE" w:bidi="ar-SA"/>
        </w:rPr>
        <w:t>/ implications of the RAGs are for</w:t>
      </w:r>
      <w:r w:rsidR="00893BD2" w:rsidRPr="00300B71">
        <w:rPr>
          <w:rFonts w:ascii="Cambria" w:hAnsi="Cambria" w:cs="Arial"/>
          <w:bCs/>
          <w:color w:val="auto"/>
          <w:szCs w:val="24"/>
          <w:lang w:val="en-IE" w:eastAsia="en-IE" w:bidi="ar-SA"/>
        </w:rPr>
        <w:t xml:space="preserve"> </w:t>
      </w:r>
      <w:r>
        <w:rPr>
          <w:rFonts w:ascii="Cambria" w:hAnsi="Cambria" w:cs="Arial"/>
          <w:bCs/>
          <w:color w:val="auto"/>
          <w:szCs w:val="24"/>
          <w:lang w:val="en-IE" w:eastAsia="en-IE" w:bidi="ar-SA"/>
        </w:rPr>
        <w:t xml:space="preserve">the funding of </w:t>
      </w:r>
      <w:r w:rsidR="00893BD2" w:rsidRPr="00300B71">
        <w:rPr>
          <w:rFonts w:ascii="Cambria" w:hAnsi="Cambria" w:cs="Arial"/>
          <w:bCs/>
          <w:color w:val="auto"/>
          <w:szCs w:val="24"/>
          <w:lang w:val="en-IE" w:eastAsia="en-IE" w:bidi="ar-SA"/>
        </w:rPr>
        <w:t xml:space="preserve">broadband infrastructure related projects?  </w:t>
      </w:r>
    </w:p>
    <w:p w:rsidR="00893BD2" w:rsidRPr="00066DA2" w:rsidRDefault="00893BD2" w:rsidP="00425C4E">
      <w:pPr>
        <w:spacing w:before="80" w:after="120" w:line="240" w:lineRule="auto"/>
        <w:ind w:left="0"/>
      </w:pPr>
    </w:p>
    <w:p w:rsidR="00F20B44" w:rsidRPr="005451BD" w:rsidRDefault="005451BD" w:rsidP="005451BD">
      <w:pPr>
        <w:ind w:left="0"/>
        <w:rPr>
          <w:b/>
        </w:rPr>
      </w:pPr>
      <w:r w:rsidRPr="005451BD">
        <w:rPr>
          <w:b/>
        </w:rPr>
        <w:t>Data to be used.</w:t>
      </w:r>
    </w:p>
    <w:p w:rsidR="00BE28FF" w:rsidRPr="00492A63" w:rsidRDefault="00BE28FF" w:rsidP="0009248D">
      <w:pPr>
        <w:pStyle w:val="ListParagraph"/>
        <w:numPr>
          <w:ilvl w:val="0"/>
          <w:numId w:val="10"/>
        </w:numPr>
        <w:spacing w:after="200" w:line="240" w:lineRule="auto"/>
        <w:jc w:val="both"/>
        <w:rPr>
          <w:rFonts w:ascii="Cambria" w:hAnsi="Cambria" w:cs="TimesNewRoman"/>
          <w:color w:val="000000" w:themeColor="text1"/>
        </w:rPr>
      </w:pPr>
      <w:r w:rsidRPr="00492A63">
        <w:rPr>
          <w:rFonts w:ascii="Cambria" w:hAnsi="Cambria" w:cs="TimesNewRoman"/>
          <w:color w:val="000000" w:themeColor="text1"/>
        </w:rPr>
        <w:t>Regarding GDP</w:t>
      </w:r>
      <w:r w:rsidR="00492A63">
        <w:rPr>
          <w:rFonts w:ascii="Cambria" w:hAnsi="Cambria" w:cs="TimesNewRoman"/>
          <w:color w:val="000000" w:themeColor="text1"/>
        </w:rPr>
        <w:t xml:space="preserve"> to be used</w:t>
      </w:r>
      <w:r w:rsidRPr="00492A63">
        <w:rPr>
          <w:rFonts w:ascii="Cambria" w:hAnsi="Cambria" w:cs="TimesNewRoman"/>
          <w:color w:val="000000" w:themeColor="text1"/>
        </w:rPr>
        <w:t xml:space="preserve">, </w:t>
      </w:r>
      <w:r w:rsidR="0009248D" w:rsidRPr="00492A63">
        <w:rPr>
          <w:rFonts w:ascii="Cambria" w:hAnsi="Cambria" w:cs="TimesNewRoman"/>
          <w:color w:val="000000" w:themeColor="text1"/>
        </w:rPr>
        <w:t>f</w:t>
      </w:r>
      <w:r w:rsidRPr="00492A63">
        <w:rPr>
          <w:rFonts w:ascii="Cambria" w:hAnsi="Cambria" w:cs="TimesNewRoman"/>
          <w:color w:val="000000" w:themeColor="text1"/>
        </w:rPr>
        <w:t xml:space="preserve">ootnote 57 on GDP reads: The data cover the period 2008-2010. In </w:t>
      </w:r>
      <w:r w:rsidRPr="00492A63">
        <w:rPr>
          <w:rFonts w:ascii="Cambria" w:hAnsi="Cambria" w:cs="TimesNewRoman"/>
          <w:color w:val="000000" w:themeColor="text1"/>
          <w:u w:val="single"/>
        </w:rPr>
        <w:t>all subsequent references to GDP</w:t>
      </w:r>
      <w:r w:rsidRPr="00492A63">
        <w:rPr>
          <w:rFonts w:ascii="Cambria" w:hAnsi="Cambria" w:cs="TimesNewRoman"/>
          <w:color w:val="000000" w:themeColor="text1"/>
        </w:rPr>
        <w:t xml:space="preserve"> per capita in relation the EU- 27 average, data are based on the average of Eurostat regional data for 2008-2010.</w:t>
      </w:r>
    </w:p>
    <w:p w:rsidR="00BE28FF" w:rsidRPr="0009248D" w:rsidRDefault="00BE28FF" w:rsidP="0009248D">
      <w:pPr>
        <w:autoSpaceDE w:val="0"/>
        <w:autoSpaceDN w:val="0"/>
        <w:adjustRightInd w:val="0"/>
        <w:spacing w:after="0" w:line="240" w:lineRule="auto"/>
        <w:jc w:val="both"/>
        <w:rPr>
          <w:rFonts w:ascii="Cambria" w:hAnsi="Cambria" w:cs="TimesNewRoman"/>
          <w:color w:val="000000" w:themeColor="text1"/>
        </w:rPr>
      </w:pPr>
    </w:p>
    <w:p w:rsidR="00BE28FF" w:rsidRPr="0009248D" w:rsidRDefault="00BE28FF" w:rsidP="0009248D">
      <w:pPr>
        <w:autoSpaceDE w:val="0"/>
        <w:autoSpaceDN w:val="0"/>
        <w:adjustRightInd w:val="0"/>
        <w:spacing w:after="0" w:line="240" w:lineRule="auto"/>
        <w:ind w:left="720"/>
        <w:jc w:val="both"/>
        <w:rPr>
          <w:rFonts w:ascii="Cambria" w:hAnsi="Cambria" w:cs="TimesNewRoman"/>
          <w:b/>
          <w:color w:val="000000" w:themeColor="text1"/>
          <w:u w:val="single"/>
        </w:rPr>
      </w:pPr>
      <w:r w:rsidRPr="00492A63">
        <w:rPr>
          <w:rFonts w:ascii="Cambria" w:hAnsi="Cambria" w:cs="TimesNewRoman"/>
          <w:color w:val="000000" w:themeColor="text1"/>
          <w:u w:val="single"/>
        </w:rPr>
        <w:t>Therefore</w:t>
      </w:r>
      <w:r w:rsidR="00492A63" w:rsidRPr="00492A63">
        <w:rPr>
          <w:rFonts w:ascii="Cambria" w:hAnsi="Cambria" w:cs="TimesNewRoman"/>
          <w:color w:val="000000" w:themeColor="text1"/>
          <w:u w:val="single"/>
        </w:rPr>
        <w:t xml:space="preserve"> we understand that</w:t>
      </w:r>
      <w:r w:rsidRPr="00492A63">
        <w:rPr>
          <w:rFonts w:ascii="Cambria" w:hAnsi="Cambria" w:cs="TimesNewRoman"/>
          <w:color w:val="000000" w:themeColor="text1"/>
          <w:u w:val="single"/>
        </w:rPr>
        <w:t xml:space="preserve"> all the data re GDP is available at the time of publication of the 2014-2020 RAGs.</w:t>
      </w:r>
      <w:r w:rsidR="00492A63">
        <w:rPr>
          <w:rFonts w:ascii="Cambria" w:hAnsi="Cambria" w:cs="TimesNewRoman"/>
          <w:b/>
          <w:color w:val="000000" w:themeColor="text1"/>
          <w:u w:val="single"/>
        </w:rPr>
        <w:t xml:space="preserve"> Could you please clarify that is the case?</w:t>
      </w:r>
    </w:p>
    <w:p w:rsidR="00BE28FF" w:rsidRPr="0009248D" w:rsidRDefault="00BE28FF" w:rsidP="0009248D">
      <w:pPr>
        <w:autoSpaceDE w:val="0"/>
        <w:autoSpaceDN w:val="0"/>
        <w:adjustRightInd w:val="0"/>
        <w:spacing w:after="0" w:line="240" w:lineRule="auto"/>
        <w:jc w:val="both"/>
        <w:rPr>
          <w:rFonts w:ascii="Cambria" w:hAnsi="Cambria" w:cs="TimesNewRoman"/>
          <w:color w:val="000000" w:themeColor="text1"/>
        </w:rPr>
      </w:pPr>
    </w:p>
    <w:p w:rsidR="00BE28FF" w:rsidRPr="00492A63" w:rsidRDefault="00492A63" w:rsidP="00492A63">
      <w:pPr>
        <w:pStyle w:val="ListParagraph"/>
        <w:numPr>
          <w:ilvl w:val="0"/>
          <w:numId w:val="10"/>
        </w:numPr>
        <w:autoSpaceDE w:val="0"/>
        <w:autoSpaceDN w:val="0"/>
        <w:adjustRightInd w:val="0"/>
        <w:spacing w:after="0" w:line="240" w:lineRule="auto"/>
        <w:jc w:val="both"/>
        <w:rPr>
          <w:rFonts w:ascii="Cambria" w:hAnsi="Cambria" w:cs="TimesNewRoman"/>
          <w:color w:val="000000" w:themeColor="text1"/>
        </w:rPr>
      </w:pPr>
      <w:r>
        <w:rPr>
          <w:rFonts w:ascii="Cambria" w:hAnsi="Cambria" w:cs="TimesNewRoman"/>
          <w:color w:val="000000" w:themeColor="text1"/>
        </w:rPr>
        <w:t>R</w:t>
      </w:r>
      <w:r w:rsidR="00BE28FF" w:rsidRPr="00492A63">
        <w:rPr>
          <w:rFonts w:ascii="Cambria" w:hAnsi="Cambria" w:cs="TimesNewRoman"/>
          <w:color w:val="000000" w:themeColor="text1"/>
        </w:rPr>
        <w:t xml:space="preserve">egarding </w:t>
      </w:r>
      <w:r w:rsidR="00BE28FF" w:rsidRPr="00492A63">
        <w:rPr>
          <w:rFonts w:ascii="Cambria" w:hAnsi="Cambria" w:cs="TimesNewRoman"/>
          <w:b/>
          <w:color w:val="000000" w:themeColor="text1"/>
        </w:rPr>
        <w:t xml:space="preserve">unemployment </w:t>
      </w:r>
      <w:r w:rsidR="00BE28FF" w:rsidRPr="00492A63">
        <w:rPr>
          <w:rFonts w:ascii="Cambria" w:hAnsi="Cambria" w:cs="TimesNewRoman"/>
          <w:color w:val="000000" w:themeColor="text1"/>
        </w:rPr>
        <w:t xml:space="preserve">, given that all of Irelands regions will be </w:t>
      </w:r>
      <w:r w:rsidR="006571D7" w:rsidRPr="00492A63">
        <w:rPr>
          <w:rFonts w:ascii="Cambria" w:hAnsi="Cambria" w:cs="TimesNewRoman"/>
          <w:color w:val="000000" w:themeColor="text1"/>
        </w:rPr>
        <w:t xml:space="preserve">non </w:t>
      </w:r>
      <w:r w:rsidR="00BE28FF" w:rsidRPr="00492A63">
        <w:rPr>
          <w:rFonts w:ascii="Cambria" w:hAnsi="Cambria" w:cs="TimesNewRoman"/>
          <w:color w:val="000000" w:themeColor="text1"/>
        </w:rPr>
        <w:t xml:space="preserve">predefined ‘C’ areas, </w:t>
      </w:r>
      <w:r>
        <w:rPr>
          <w:rFonts w:ascii="Cambria" w:hAnsi="Cambria" w:cs="TimesNewRoman"/>
          <w:color w:val="000000" w:themeColor="text1"/>
        </w:rPr>
        <w:t xml:space="preserve">we understand that </w:t>
      </w:r>
      <w:r w:rsidR="00BE28FF" w:rsidRPr="00492A63">
        <w:rPr>
          <w:rFonts w:ascii="Cambria" w:hAnsi="Cambria" w:cs="TimesNewRoman"/>
          <w:color w:val="000000" w:themeColor="text1"/>
        </w:rPr>
        <w:t xml:space="preserve">the </w:t>
      </w:r>
      <w:r w:rsidR="00BE28FF" w:rsidRPr="00492A63">
        <w:rPr>
          <w:rFonts w:ascii="Cambria" w:hAnsi="Cambria" w:cs="TimesNewRoman"/>
          <w:b/>
          <w:color w:val="000000" w:themeColor="text1"/>
        </w:rPr>
        <w:t>relevant footnote is 68</w:t>
      </w:r>
      <w:r w:rsidR="00BE28FF" w:rsidRPr="00492A63">
        <w:rPr>
          <w:rFonts w:ascii="Cambria" w:hAnsi="Cambria" w:cs="TimesNewRoman"/>
          <w:color w:val="000000" w:themeColor="text1"/>
        </w:rPr>
        <w:t>:</w:t>
      </w:r>
      <w:r w:rsidR="00BE28FF" w:rsidRPr="00492A63">
        <w:rPr>
          <w:rFonts w:ascii="Cambria" w:hAnsi="Cambria" w:cs="TimesNewRoman"/>
          <w:color w:val="000000" w:themeColor="text1"/>
          <w:szCs w:val="13"/>
        </w:rPr>
        <w:t xml:space="preserve"> </w:t>
      </w:r>
      <w:r w:rsidR="00BE28FF" w:rsidRPr="00492A63">
        <w:rPr>
          <w:rFonts w:ascii="Cambria" w:hAnsi="Cambria" w:cs="TimesNewRoman"/>
          <w:color w:val="000000" w:themeColor="text1"/>
        </w:rPr>
        <w:t xml:space="preserve">For unemployment, calculations should be based on regional data </w:t>
      </w:r>
      <w:r w:rsidR="00BE28FF" w:rsidRPr="00492A63">
        <w:rPr>
          <w:rFonts w:ascii="Cambria" w:hAnsi="Cambria" w:cs="TimesNewRoman"/>
          <w:b/>
          <w:color w:val="000000" w:themeColor="text1"/>
        </w:rPr>
        <w:t>published by the national statistical office,</w:t>
      </w:r>
      <w:r w:rsidR="00BE28FF" w:rsidRPr="00492A63">
        <w:rPr>
          <w:rFonts w:ascii="Cambria" w:hAnsi="Cambria" w:cs="TimesNewRoman"/>
          <w:color w:val="000000" w:themeColor="text1"/>
        </w:rPr>
        <w:t xml:space="preserve"> using the average of the last three years for which such data are available (</w:t>
      </w:r>
      <w:r w:rsidR="00BE28FF" w:rsidRPr="00492A63">
        <w:rPr>
          <w:rFonts w:ascii="Cambria" w:hAnsi="Cambria" w:cs="TimesNewRoman"/>
          <w:b/>
          <w:color w:val="000000" w:themeColor="text1"/>
          <w:u w:val="single"/>
        </w:rPr>
        <w:t>at the moment of the notification of the regional aid map</w:t>
      </w:r>
      <w:r w:rsidR="00BE28FF" w:rsidRPr="00492A63">
        <w:rPr>
          <w:rFonts w:ascii="Cambria" w:hAnsi="Cambria" w:cs="TimesNewRoman"/>
          <w:color w:val="000000" w:themeColor="text1"/>
        </w:rPr>
        <w:t>). Except as otherwise indicated in these guidelines, the unemployment rate in relation to the national average is calculated on this basis.</w:t>
      </w:r>
    </w:p>
    <w:p w:rsidR="00BE28FF" w:rsidRPr="0009248D" w:rsidRDefault="00BE28FF" w:rsidP="0009248D">
      <w:pPr>
        <w:spacing w:line="240" w:lineRule="auto"/>
        <w:jc w:val="both"/>
        <w:rPr>
          <w:rFonts w:ascii="Cambria" w:hAnsi="Cambria"/>
          <w:color w:val="000000" w:themeColor="text1"/>
        </w:rPr>
      </w:pPr>
    </w:p>
    <w:p w:rsidR="00BE28FF" w:rsidRPr="0009248D" w:rsidRDefault="00BE28FF" w:rsidP="0009248D">
      <w:pPr>
        <w:spacing w:line="240" w:lineRule="auto"/>
        <w:ind w:left="720"/>
        <w:jc w:val="both"/>
        <w:rPr>
          <w:rFonts w:ascii="Cambria" w:hAnsi="Cambria"/>
          <w:color w:val="000000" w:themeColor="text1"/>
        </w:rPr>
      </w:pPr>
      <w:r w:rsidRPr="00492A63">
        <w:rPr>
          <w:rFonts w:ascii="Cambria" w:hAnsi="Cambria"/>
          <w:b/>
          <w:color w:val="000000" w:themeColor="text1"/>
          <w:u w:val="single"/>
        </w:rPr>
        <w:t>Could you please clarify</w:t>
      </w:r>
      <w:r w:rsidRPr="0009248D">
        <w:rPr>
          <w:rFonts w:ascii="Cambria" w:hAnsi="Cambria"/>
          <w:color w:val="000000" w:themeColor="text1"/>
        </w:rPr>
        <w:t xml:space="preserve"> if ‘the last three years’ means the last three full calendar years for which there is unemployment data at the  </w:t>
      </w:r>
      <w:r w:rsidRPr="0009248D">
        <w:rPr>
          <w:rFonts w:ascii="Cambria" w:hAnsi="Cambria" w:cs="TimesNewRoman"/>
          <w:b/>
          <w:color w:val="000000" w:themeColor="text1"/>
          <w:u w:val="single"/>
        </w:rPr>
        <w:t>moment of the notification of the regional aid map</w:t>
      </w:r>
      <w:r w:rsidRPr="0009248D">
        <w:rPr>
          <w:rFonts w:ascii="Cambria" w:hAnsi="Cambria"/>
          <w:color w:val="000000" w:themeColor="text1"/>
        </w:rPr>
        <w:t xml:space="preserve"> or does it mean the last 36 quarters that are available at the </w:t>
      </w:r>
      <w:r w:rsidRPr="0009248D">
        <w:rPr>
          <w:rFonts w:ascii="Cambria" w:hAnsi="Cambria" w:cs="TimesNewRoman"/>
          <w:b/>
          <w:color w:val="000000" w:themeColor="text1"/>
          <w:u w:val="single"/>
        </w:rPr>
        <w:t>moment of the notification of the regional aid map</w:t>
      </w:r>
    </w:p>
    <w:p w:rsidR="00BB7FBE" w:rsidRDefault="00BB7FBE"/>
    <w:sectPr w:rsidR="00BB7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Bold">
    <w:charset w:val="00"/>
    <w:family w:val="auto"/>
    <w:pitch w:val="default"/>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7F6D"/>
    <w:multiLevelType w:val="hybridMultilevel"/>
    <w:tmpl w:val="0D0E4556"/>
    <w:lvl w:ilvl="0" w:tplc="C2FA6C3E">
      <w:start w:val="1"/>
      <w:numFmt w:val="decimal"/>
      <w:lvlText w:val="%1."/>
      <w:lvlJc w:val="left"/>
      <w:pPr>
        <w:ind w:left="862" w:hanging="360"/>
      </w:pPr>
      <w:rPr>
        <w:rFonts w:hint="default"/>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1">
    <w:nsid w:val="1FE428A9"/>
    <w:multiLevelType w:val="hybridMultilevel"/>
    <w:tmpl w:val="4A74D9F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7FC2C29"/>
    <w:multiLevelType w:val="hybridMultilevel"/>
    <w:tmpl w:val="C6C6119E"/>
    <w:lvl w:ilvl="0" w:tplc="F97A7D42">
      <w:start w:val="1"/>
      <w:numFmt w:val="decimal"/>
      <w:lvlText w:val="%1."/>
      <w:lvlJc w:val="left"/>
      <w:pPr>
        <w:ind w:left="862" w:hanging="360"/>
      </w:pPr>
      <w:rPr>
        <w:rFonts w:hint="default"/>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3">
    <w:nsid w:val="2F4D647D"/>
    <w:multiLevelType w:val="multilevel"/>
    <w:tmpl w:val="C4A0B834"/>
    <w:lvl w:ilvl="0">
      <w:start w:val="1"/>
      <w:numFmt w:val="bullet"/>
      <w:pStyle w:val="FFBulletText"/>
      <w:lvlText w:val=""/>
      <w:lvlJc w:val="left"/>
      <w:pPr>
        <w:tabs>
          <w:tab w:val="num" w:pos="567"/>
        </w:tabs>
        <w:ind w:left="567" w:hanging="283"/>
      </w:pPr>
      <w:rPr>
        <w:rFonts w:ascii="Wingdings" w:hAnsi="Wingdings" w:hint="default"/>
        <w:b w:val="0"/>
        <w:i w:val="0"/>
        <w:color w:val="691768"/>
        <w:sz w:val="20"/>
        <w:szCs w:val="10"/>
      </w:rPr>
    </w:lvl>
    <w:lvl w:ilvl="1">
      <w:start w:val="1"/>
      <w:numFmt w:val="bullet"/>
      <w:lvlText w:val=""/>
      <w:lvlJc w:val="left"/>
      <w:pPr>
        <w:tabs>
          <w:tab w:val="num" w:pos="851"/>
        </w:tabs>
        <w:ind w:left="851" w:hanging="284"/>
      </w:pPr>
      <w:rPr>
        <w:rFonts w:ascii="Symbol" w:hAnsi="Symbol" w:hint="default"/>
        <w:b w:val="0"/>
        <w:i w:val="0"/>
        <w:color w:val="E41F1F"/>
        <w:sz w:val="14"/>
      </w:rPr>
    </w:lvl>
    <w:lvl w:ilvl="2">
      <w:start w:val="1"/>
      <w:numFmt w:val="bullet"/>
      <w:lvlText w:val="-"/>
      <w:lvlJc w:val="left"/>
      <w:pPr>
        <w:tabs>
          <w:tab w:val="num" w:pos="1134"/>
        </w:tabs>
        <w:ind w:left="1134" w:hanging="283"/>
      </w:pPr>
      <w:rPr>
        <w:rFonts w:ascii="Trebuchet MS Bold" w:hAnsi="Trebuchet MS Bold" w:hint="default"/>
        <w:b/>
        <w:i w:val="0"/>
        <w:color w:val="691768"/>
        <w:sz w:val="22"/>
      </w:rPr>
    </w:lvl>
    <w:lvl w:ilvl="3">
      <w:start w:val="1"/>
      <w:numFmt w:val="bullet"/>
      <w:lvlText w:val="-"/>
      <w:lvlJc w:val="left"/>
      <w:pPr>
        <w:tabs>
          <w:tab w:val="num" w:pos="1418"/>
        </w:tabs>
        <w:ind w:left="1418" w:hanging="284"/>
      </w:pPr>
      <w:rPr>
        <w:rFonts w:ascii="Trebuchet MS" w:hAnsi="Trebuchet MS" w:hint="default"/>
        <w:b w:val="0"/>
        <w:i w:val="0"/>
        <w:color w:val="691768"/>
        <w:sz w:val="22"/>
      </w:rPr>
    </w:lvl>
    <w:lvl w:ilvl="4">
      <w:start w:val="1"/>
      <w:numFmt w:val="bullet"/>
      <w:lvlText w:val="-"/>
      <w:lvlJc w:val="left"/>
      <w:pPr>
        <w:tabs>
          <w:tab w:val="num" w:pos="1701"/>
        </w:tabs>
        <w:ind w:left="1701" w:hanging="283"/>
      </w:pPr>
      <w:rPr>
        <w:rFonts w:ascii="Trebuchet MS" w:hAnsi="Trebuchet MS" w:hint="default"/>
        <w:b w:val="0"/>
        <w:i w:val="0"/>
        <w:color w:val="691768"/>
        <w:sz w:val="22"/>
      </w:rPr>
    </w:lvl>
    <w:lvl w:ilvl="5">
      <w:start w:val="1"/>
      <w:numFmt w:val="bullet"/>
      <w:lvlText w:val="-"/>
      <w:lvlJc w:val="left"/>
      <w:pPr>
        <w:tabs>
          <w:tab w:val="num" w:pos="1985"/>
        </w:tabs>
        <w:ind w:left="1985" w:hanging="284"/>
      </w:pPr>
      <w:rPr>
        <w:rFonts w:ascii="Trebuchet MS" w:hAnsi="Trebuchet MS" w:hint="default"/>
        <w:b w:val="0"/>
        <w:i w:val="0"/>
        <w:color w:val="691768"/>
        <w:sz w:val="22"/>
      </w:rPr>
    </w:lvl>
    <w:lvl w:ilvl="6">
      <w:start w:val="1"/>
      <w:numFmt w:val="bullet"/>
      <w:lvlText w:val="-"/>
      <w:lvlJc w:val="left"/>
      <w:pPr>
        <w:tabs>
          <w:tab w:val="num" w:pos="2268"/>
        </w:tabs>
        <w:ind w:left="2268" w:hanging="283"/>
      </w:pPr>
      <w:rPr>
        <w:rFonts w:ascii="Trebuchet MS" w:hAnsi="Trebuchet MS" w:hint="default"/>
        <w:b w:val="0"/>
        <w:i w:val="0"/>
        <w:color w:val="691768"/>
        <w:sz w:val="20"/>
      </w:rPr>
    </w:lvl>
    <w:lvl w:ilvl="7">
      <w:start w:val="1"/>
      <w:numFmt w:val="bullet"/>
      <w:lvlText w:val="-"/>
      <w:lvlJc w:val="left"/>
      <w:pPr>
        <w:tabs>
          <w:tab w:val="num" w:pos="2552"/>
        </w:tabs>
        <w:ind w:left="2552" w:hanging="284"/>
      </w:pPr>
      <w:rPr>
        <w:rFonts w:ascii="Trebuchet MS" w:hAnsi="Trebuchet MS" w:hint="default"/>
        <w:b w:val="0"/>
        <w:i w:val="0"/>
        <w:color w:val="691768"/>
        <w:sz w:val="20"/>
      </w:rPr>
    </w:lvl>
    <w:lvl w:ilvl="8">
      <w:start w:val="1"/>
      <w:numFmt w:val="bullet"/>
      <w:lvlText w:val="-"/>
      <w:lvlJc w:val="left"/>
      <w:pPr>
        <w:tabs>
          <w:tab w:val="num" w:pos="2835"/>
        </w:tabs>
        <w:ind w:left="2835" w:hanging="283"/>
      </w:pPr>
      <w:rPr>
        <w:rFonts w:ascii="Trebuchet MS" w:hAnsi="Trebuchet MS" w:hint="default"/>
        <w:b w:val="0"/>
        <w:i w:val="0"/>
        <w:color w:val="691768"/>
        <w:sz w:val="20"/>
      </w:rPr>
    </w:lvl>
  </w:abstractNum>
  <w:abstractNum w:abstractNumId="4">
    <w:nsid w:val="2F8F3C10"/>
    <w:multiLevelType w:val="hybridMultilevel"/>
    <w:tmpl w:val="EEB2A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3C3778C"/>
    <w:multiLevelType w:val="hybridMultilevel"/>
    <w:tmpl w:val="AA32E7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8705FD0"/>
    <w:multiLevelType w:val="hybridMultilevel"/>
    <w:tmpl w:val="691EFD0E"/>
    <w:lvl w:ilvl="0" w:tplc="6A98C906">
      <w:start w:val="1"/>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7">
    <w:nsid w:val="44C74A07"/>
    <w:multiLevelType w:val="hybridMultilevel"/>
    <w:tmpl w:val="41F009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58503B75"/>
    <w:multiLevelType w:val="hybridMultilevel"/>
    <w:tmpl w:val="76A05B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5AFE06F5"/>
    <w:multiLevelType w:val="hybridMultilevel"/>
    <w:tmpl w:val="B846F134"/>
    <w:lvl w:ilvl="0" w:tplc="FE9C6BBE">
      <w:start w:val="1"/>
      <w:numFmt w:val="decimal"/>
      <w:lvlText w:val="%1."/>
      <w:lvlJc w:val="left"/>
      <w:pPr>
        <w:ind w:left="1222" w:hanging="360"/>
      </w:pPr>
      <w:rPr>
        <w:rFonts w:hint="default"/>
      </w:rPr>
    </w:lvl>
    <w:lvl w:ilvl="1" w:tplc="18090019" w:tentative="1">
      <w:start w:val="1"/>
      <w:numFmt w:val="lowerLetter"/>
      <w:lvlText w:val="%2."/>
      <w:lvlJc w:val="left"/>
      <w:pPr>
        <w:ind w:left="1942" w:hanging="360"/>
      </w:pPr>
    </w:lvl>
    <w:lvl w:ilvl="2" w:tplc="1809001B" w:tentative="1">
      <w:start w:val="1"/>
      <w:numFmt w:val="lowerRoman"/>
      <w:lvlText w:val="%3."/>
      <w:lvlJc w:val="right"/>
      <w:pPr>
        <w:ind w:left="2662" w:hanging="180"/>
      </w:pPr>
    </w:lvl>
    <w:lvl w:ilvl="3" w:tplc="1809000F" w:tentative="1">
      <w:start w:val="1"/>
      <w:numFmt w:val="decimal"/>
      <w:lvlText w:val="%4."/>
      <w:lvlJc w:val="left"/>
      <w:pPr>
        <w:ind w:left="3382" w:hanging="360"/>
      </w:pPr>
    </w:lvl>
    <w:lvl w:ilvl="4" w:tplc="18090019" w:tentative="1">
      <w:start w:val="1"/>
      <w:numFmt w:val="lowerLetter"/>
      <w:lvlText w:val="%5."/>
      <w:lvlJc w:val="left"/>
      <w:pPr>
        <w:ind w:left="4102" w:hanging="360"/>
      </w:pPr>
    </w:lvl>
    <w:lvl w:ilvl="5" w:tplc="1809001B" w:tentative="1">
      <w:start w:val="1"/>
      <w:numFmt w:val="lowerRoman"/>
      <w:lvlText w:val="%6."/>
      <w:lvlJc w:val="right"/>
      <w:pPr>
        <w:ind w:left="4822" w:hanging="180"/>
      </w:pPr>
    </w:lvl>
    <w:lvl w:ilvl="6" w:tplc="1809000F" w:tentative="1">
      <w:start w:val="1"/>
      <w:numFmt w:val="decimal"/>
      <w:lvlText w:val="%7."/>
      <w:lvlJc w:val="left"/>
      <w:pPr>
        <w:ind w:left="5542" w:hanging="360"/>
      </w:pPr>
    </w:lvl>
    <w:lvl w:ilvl="7" w:tplc="18090019" w:tentative="1">
      <w:start w:val="1"/>
      <w:numFmt w:val="lowerLetter"/>
      <w:lvlText w:val="%8."/>
      <w:lvlJc w:val="left"/>
      <w:pPr>
        <w:ind w:left="6262" w:hanging="360"/>
      </w:pPr>
    </w:lvl>
    <w:lvl w:ilvl="8" w:tplc="1809001B" w:tentative="1">
      <w:start w:val="1"/>
      <w:numFmt w:val="lowerRoman"/>
      <w:lvlText w:val="%9."/>
      <w:lvlJc w:val="right"/>
      <w:pPr>
        <w:ind w:left="6982" w:hanging="180"/>
      </w:pPr>
    </w:lvl>
  </w:abstractNum>
  <w:num w:numId="1">
    <w:abstractNumId w:val="6"/>
  </w:num>
  <w:num w:numId="2">
    <w:abstractNumId w:val="0"/>
  </w:num>
  <w:num w:numId="3">
    <w:abstractNumId w:val="2"/>
  </w:num>
  <w:num w:numId="4">
    <w:abstractNumId w:val="9"/>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441FF"/>
    <w:rsid w:val="0002174A"/>
    <w:rsid w:val="00066DA2"/>
    <w:rsid w:val="0009248D"/>
    <w:rsid w:val="000A137F"/>
    <w:rsid w:val="001441FF"/>
    <w:rsid w:val="00230BA2"/>
    <w:rsid w:val="002521B7"/>
    <w:rsid w:val="002B43BA"/>
    <w:rsid w:val="002B688A"/>
    <w:rsid w:val="00300B71"/>
    <w:rsid w:val="003D23C9"/>
    <w:rsid w:val="00425C4E"/>
    <w:rsid w:val="00492783"/>
    <w:rsid w:val="00492A63"/>
    <w:rsid w:val="005451BD"/>
    <w:rsid w:val="00566F92"/>
    <w:rsid w:val="0059662F"/>
    <w:rsid w:val="006571D7"/>
    <w:rsid w:val="00850F19"/>
    <w:rsid w:val="00893BD2"/>
    <w:rsid w:val="009357D7"/>
    <w:rsid w:val="00AF47C8"/>
    <w:rsid w:val="00BA711E"/>
    <w:rsid w:val="00BB7FBE"/>
    <w:rsid w:val="00BE28FF"/>
    <w:rsid w:val="00BF6934"/>
    <w:rsid w:val="00C217EE"/>
    <w:rsid w:val="00D02719"/>
    <w:rsid w:val="00D51BC5"/>
    <w:rsid w:val="00EB2196"/>
    <w:rsid w:val="00EB37BF"/>
    <w:rsid w:val="00EE15D7"/>
    <w:rsid w:val="00F20B44"/>
    <w:rsid w:val="00F250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FBE"/>
    <w:pPr>
      <w:spacing w:after="160" w:line="288" w:lineRule="auto"/>
      <w:ind w:left="2160"/>
    </w:pPr>
    <w:rPr>
      <w:rFonts w:eastAsia="Calibri" w:cs="Times New Roman"/>
      <w:color w:val="5A5A5A"/>
      <w:sz w:val="24"/>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1FF"/>
    <w:pPr>
      <w:ind w:left="720"/>
      <w:contextualSpacing/>
    </w:pPr>
    <w:rPr>
      <w:rFonts w:eastAsia="Times New Roman"/>
    </w:rPr>
  </w:style>
  <w:style w:type="paragraph" w:customStyle="1" w:styleId="FFBulletText">
    <w:name w:val="FF Bullet Text"/>
    <w:basedOn w:val="Normal"/>
    <w:uiPriority w:val="99"/>
    <w:rsid w:val="00EB37BF"/>
    <w:pPr>
      <w:numPr>
        <w:numId w:val="6"/>
      </w:numPr>
      <w:tabs>
        <w:tab w:val="clear" w:pos="567"/>
      </w:tabs>
      <w:spacing w:before="80" w:after="120" w:line="270" w:lineRule="exact"/>
    </w:pPr>
    <w:rPr>
      <w:rFonts w:ascii="Trebuchet MS" w:eastAsia="Times New Roman" w:hAnsi="Trebuchet MS"/>
      <w:color w:val="000000"/>
      <w:lang w:val="en-IE" w:eastAsia="en-GB" w:bidi="ar-SA"/>
    </w:rPr>
  </w:style>
  <w:style w:type="paragraph" w:customStyle="1" w:styleId="Default">
    <w:name w:val="Default"/>
    <w:rsid w:val="00F20B4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50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F19"/>
    <w:rPr>
      <w:rFonts w:ascii="Tahoma" w:eastAsia="Calibri" w:hAnsi="Tahoma" w:cs="Tahoma"/>
      <w:color w:val="5A5A5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FBE"/>
    <w:pPr>
      <w:spacing w:after="160" w:line="288" w:lineRule="auto"/>
      <w:ind w:left="2160"/>
    </w:pPr>
    <w:rPr>
      <w:rFonts w:eastAsia="Calibri" w:cs="Times New Roman"/>
      <w:color w:val="5A5A5A"/>
      <w:sz w:val="24"/>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1FF"/>
    <w:pPr>
      <w:ind w:left="720"/>
      <w:contextualSpacing/>
    </w:pPr>
    <w:rPr>
      <w:rFonts w:eastAsia="Times New Roman"/>
    </w:rPr>
  </w:style>
  <w:style w:type="paragraph" w:customStyle="1" w:styleId="FFBulletText">
    <w:name w:val="FF Bullet Text"/>
    <w:basedOn w:val="Normal"/>
    <w:uiPriority w:val="99"/>
    <w:rsid w:val="00EB37BF"/>
    <w:pPr>
      <w:numPr>
        <w:numId w:val="6"/>
      </w:numPr>
      <w:tabs>
        <w:tab w:val="clear" w:pos="567"/>
      </w:tabs>
      <w:spacing w:before="80" w:after="120" w:line="270" w:lineRule="exact"/>
    </w:pPr>
    <w:rPr>
      <w:rFonts w:ascii="Trebuchet MS" w:eastAsia="Times New Roman" w:hAnsi="Trebuchet MS"/>
      <w:color w:val="000000"/>
      <w:lang w:val="en-IE" w:eastAsia="en-GB" w:bidi="ar-SA"/>
    </w:rPr>
  </w:style>
  <w:style w:type="paragraph" w:customStyle="1" w:styleId="Default">
    <w:name w:val="Default"/>
    <w:rsid w:val="00F20B4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50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F19"/>
    <w:rPr>
      <w:rFonts w:ascii="Tahoma" w:eastAsia="Calibri" w:hAnsi="Tahoma" w:cs="Tahoma"/>
      <w:color w:val="5A5A5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5505">
      <w:bodyDiv w:val="1"/>
      <w:marLeft w:val="0"/>
      <w:marRight w:val="0"/>
      <w:marTop w:val="0"/>
      <w:marBottom w:val="0"/>
      <w:divBdr>
        <w:top w:val="none" w:sz="0" w:space="0" w:color="auto"/>
        <w:left w:val="none" w:sz="0" w:space="0" w:color="auto"/>
        <w:bottom w:val="none" w:sz="0" w:space="0" w:color="auto"/>
        <w:right w:val="none" w:sz="0" w:space="0" w:color="auto"/>
      </w:divBdr>
    </w:div>
    <w:div w:id="875583787">
      <w:bodyDiv w:val="1"/>
      <w:marLeft w:val="0"/>
      <w:marRight w:val="0"/>
      <w:marTop w:val="0"/>
      <w:marBottom w:val="0"/>
      <w:divBdr>
        <w:top w:val="none" w:sz="0" w:space="0" w:color="auto"/>
        <w:left w:val="none" w:sz="0" w:space="0" w:color="auto"/>
        <w:bottom w:val="none" w:sz="0" w:space="0" w:color="auto"/>
        <w:right w:val="none" w:sz="0" w:space="0" w:color="auto"/>
      </w:divBdr>
    </w:div>
    <w:div w:id="1075779079">
      <w:bodyDiv w:val="1"/>
      <w:marLeft w:val="0"/>
      <w:marRight w:val="0"/>
      <w:marTop w:val="0"/>
      <w:marBottom w:val="0"/>
      <w:divBdr>
        <w:top w:val="none" w:sz="0" w:space="0" w:color="auto"/>
        <w:left w:val="none" w:sz="0" w:space="0" w:color="auto"/>
        <w:bottom w:val="none" w:sz="0" w:space="0" w:color="auto"/>
        <w:right w:val="none" w:sz="0" w:space="0" w:color="auto"/>
      </w:divBdr>
    </w:div>
    <w:div w:id="195494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1266</Words>
  <Characters>6394</Characters>
  <Application>Microsoft Office Word</Application>
  <DocSecurity>0</DocSecurity>
  <Lines>164</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Jobs, Enterprise &amp; Innovation</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Purcell</dc:creator>
  <cp:lastModifiedBy>LAIU Roxana (COMP)</cp:lastModifiedBy>
  <cp:revision>2</cp:revision>
  <cp:lastPrinted>2013-09-18T13:46:00Z</cp:lastPrinted>
  <dcterms:created xsi:type="dcterms:W3CDTF">2014-03-20T15:14:00Z</dcterms:created>
  <dcterms:modified xsi:type="dcterms:W3CDTF">2014-03-20T15:14:00Z</dcterms:modified>
</cp:coreProperties>
</file>