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8A424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8A4243">
              <w:rPr>
                <w:color w:val="4D4D4D"/>
                <w:sz w:val="23"/>
                <w:szCs w:val="23"/>
              </w:rPr>
              <w:t>5 August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1A3B52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DE1B6A" w:rsidRDefault="00DE1B6A" w:rsidP="00FF503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pt-PT"/>
              </w:rPr>
            </w:pPr>
            <w:r w:rsidRPr="00DE1B6A">
              <w:rPr>
                <w:color w:val="4D4D4D"/>
                <w:sz w:val="23"/>
                <w:szCs w:val="23"/>
                <w:lang w:val="pt-PT"/>
              </w:rPr>
              <w:t xml:space="preserve">Mr </w:t>
            </w:r>
            <w:r w:rsidR="00FF5038">
              <w:rPr>
                <w:color w:val="4D4D4D"/>
                <w:sz w:val="23"/>
                <w:szCs w:val="23"/>
                <w:lang w:val="pt-PT"/>
              </w:rPr>
              <w:t>Michael Bauer</w:t>
            </w:r>
          </w:p>
          <w:p w:rsidR="006A1265" w:rsidRPr="001A3B52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1A3B52">
              <w:rPr>
                <w:color w:val="4D4D4D"/>
                <w:sz w:val="23"/>
                <w:szCs w:val="23"/>
              </w:rPr>
              <w:t xml:space="preserve">Email: </w:t>
            </w:r>
            <w:r w:rsidR="007E04E4" w:rsidRPr="007E04E4">
              <w:rPr>
                <w:color w:val="4D4D4D"/>
                <w:sz w:val="23"/>
                <w:szCs w:val="23"/>
              </w:rPr>
              <w:t>ask+request-2083-d854ea62@asktheeu.org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7E04E4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15/</w:t>
            </w:r>
            <w:r w:rsidR="00B333D4">
              <w:t>16</w:t>
            </w:r>
            <w:r w:rsidR="00FF5038">
              <w:t>9</w:t>
            </w:r>
            <w:r w:rsidR="007E04E4">
              <w:t>0</w:t>
            </w:r>
            <w:r w:rsidR="00B333D4">
              <w:t>-</w:t>
            </w:r>
            <w:r w:rsidR="0020041F">
              <w:t>m</w:t>
            </w:r>
            <w:r w:rsidR="008E0B07">
              <w:t>j</w:t>
            </w:r>
            <w:r w:rsidR="00B333D4">
              <w:t>/</w:t>
            </w:r>
            <w:r w:rsidR="008A4243">
              <w:t>ns</w:t>
            </w:r>
            <w:bookmarkStart w:id="0" w:name="_GoBack"/>
            <w:bookmarkEnd w:id="0"/>
          </w:p>
          <w:p w:rsidR="006A1265" w:rsidRDefault="006A1265" w:rsidP="0067486D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FE7A83">
              <w:t>2</w:t>
            </w:r>
            <w:r w:rsidR="0067486D">
              <w:t>4</w:t>
            </w:r>
            <w:r w:rsidR="00B333D4">
              <w:t>.06.2015</w:t>
            </w:r>
          </w:p>
          <w:p w:rsidR="005D2609" w:rsidRPr="006A1265" w:rsidRDefault="005D2609" w:rsidP="0067486D">
            <w:pPr>
              <w:pStyle w:val="Paragraphestandard"/>
              <w:tabs>
                <w:tab w:val="left" w:pos="1985"/>
              </w:tabs>
              <w:spacing w:line="240" w:lineRule="auto"/>
            </w:pPr>
            <w:r>
              <w:t>Extended on : 15.07.2015</w:t>
            </w:r>
          </w:p>
          <w:p w:rsidR="006A1265" w:rsidRPr="00837DAE" w:rsidRDefault="006A1265" w:rsidP="008E0B07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67486D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8E0B07" w:rsidRDefault="006A1265" w:rsidP="00FF503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8E0B07">
              <w:t xml:space="preserve">Dear </w:t>
            </w:r>
            <w:r w:rsidR="00DE1B6A" w:rsidRPr="008E0B07">
              <w:t xml:space="preserve">Mr </w:t>
            </w:r>
            <w:r w:rsidR="00FF5038" w:rsidRPr="008E0B07">
              <w:t>Bauer</w:t>
            </w:r>
            <w:r w:rsidR="00B333D4" w:rsidRPr="008E0B07">
              <w:t>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0E1E8D" w:rsidRPr="00057F1D" w:rsidRDefault="000E1E8D" w:rsidP="008E0B0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 xml:space="preserve">I regret to inform you that access to document </w:t>
      </w:r>
      <w:r w:rsidR="008E0B07">
        <w:rPr>
          <w:b/>
          <w:bCs/>
          <w:lang w:eastAsia="fr-BE"/>
        </w:rPr>
        <w:t>10223/15</w:t>
      </w:r>
      <w:r w:rsidRPr="00057F1D">
        <w:rPr>
          <w:lang w:eastAsia="fr-BE"/>
        </w:rPr>
        <w:t xml:space="preserve"> cannot be given for the reasons set out below.</w:t>
      </w:r>
    </w:p>
    <w:p w:rsidR="000E1E8D" w:rsidRDefault="000E1E8D" w:rsidP="000E1E8D">
      <w:pPr>
        <w:pStyle w:val="Paragraphestandard"/>
        <w:tabs>
          <w:tab w:val="left" w:pos="567"/>
        </w:tabs>
      </w:pPr>
    </w:p>
    <w:p w:rsidR="008E0B07" w:rsidRDefault="008E0B07" w:rsidP="00AF3994">
      <w:pPr>
        <w:pStyle w:val="Paragraphestandard"/>
        <w:tabs>
          <w:tab w:val="left" w:pos="567"/>
        </w:tabs>
      </w:pPr>
      <w:r>
        <w:t>This document is a note</w:t>
      </w:r>
      <w:r w:rsidR="00AF3994">
        <w:t xml:space="preserve"> of 23 June 2015 </w:t>
      </w:r>
      <w:r>
        <w:t>from the incoming Luxembourg Presidency and the Slovak delegation to Delegations on the a</w:t>
      </w:r>
      <w:r w:rsidRPr="008E0B07">
        <w:t>ssessment of the cooperation in the area of migration in the framework of ASEM</w:t>
      </w:r>
      <w:r>
        <w:t>.</w:t>
      </w:r>
    </w:p>
    <w:p w:rsidR="008E0B07" w:rsidRDefault="008E0B07" w:rsidP="008E0B07">
      <w:pPr>
        <w:pStyle w:val="Paragraphestandard"/>
        <w:tabs>
          <w:tab w:val="left" w:pos="567"/>
        </w:tabs>
      </w:pPr>
    </w:p>
    <w:p w:rsidR="008E0B07" w:rsidRDefault="008E0B07" w:rsidP="00CD0240">
      <w:pPr>
        <w:pStyle w:val="Paragraphestandard"/>
        <w:tabs>
          <w:tab w:val="left" w:pos="567"/>
        </w:tabs>
      </w:pPr>
      <w:r>
        <w:t xml:space="preserve">This document </w:t>
      </w:r>
      <w:r w:rsidR="00CD0240">
        <w:t>w</w:t>
      </w:r>
      <w:r>
        <w:t xml:space="preserve">as considered by delegations at the </w:t>
      </w:r>
      <w:r w:rsidR="00EF2320">
        <w:t xml:space="preserve">High Level Working Group </w:t>
      </w:r>
      <w:r w:rsidR="00CD0240">
        <w:t>on Asylum and Migration meeting</w:t>
      </w:r>
      <w:r w:rsidR="00EF2320">
        <w:t xml:space="preserve"> of 1st July and </w:t>
      </w:r>
      <w:r w:rsidR="00CD0240">
        <w:t xml:space="preserve">will be further examined by delegations at the meeting of </w:t>
      </w:r>
      <w:r w:rsidR="00EF2320">
        <w:t>14 September 2015.  On the basis of these discussions, the EU Chair will discuss the issue of the future of the dialogue at the incoming ASEM Director</w:t>
      </w:r>
      <w:r w:rsidR="00AF3994">
        <w:t>s</w:t>
      </w:r>
      <w:r w:rsidR="00EF2320">
        <w:t>-General meeting in Singapore in October 2015.</w:t>
      </w:r>
    </w:p>
    <w:p w:rsidR="00EF2320" w:rsidRDefault="00EF2320" w:rsidP="008E0B07">
      <w:pPr>
        <w:pStyle w:val="Paragraphestandard"/>
        <w:tabs>
          <w:tab w:val="left" w:pos="567"/>
        </w:tabs>
      </w:pPr>
    </w:p>
    <w:p w:rsidR="00EF2320" w:rsidRDefault="00EF2320" w:rsidP="00EF2320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  <w:r w:rsidRPr="00EF2320">
        <w:rPr>
          <w:rFonts w:eastAsia="Times New Roman"/>
          <w:lang w:eastAsia="en-GB"/>
        </w:rPr>
        <w:t xml:space="preserve">Release of the information contained in this document </w:t>
      </w:r>
      <w:r>
        <w:rPr>
          <w:rFonts w:eastAsia="Times New Roman"/>
          <w:lang w:eastAsia="en-GB"/>
        </w:rPr>
        <w:t xml:space="preserve">at this stage </w:t>
      </w:r>
      <w:r w:rsidRPr="00EF2320">
        <w:rPr>
          <w:rFonts w:eastAsia="Times New Roman"/>
          <w:lang w:eastAsia="en-GB"/>
        </w:rPr>
        <w:t>would have a negative impact on the relations between the European Union and</w:t>
      </w:r>
      <w:r w:rsidR="009C5D0F">
        <w:rPr>
          <w:rFonts w:eastAsia="Times New Roman"/>
          <w:lang w:eastAsia="en-GB"/>
        </w:rPr>
        <w:t xml:space="preserve"> the Asian partners of ASEM.</w:t>
      </w:r>
    </w:p>
    <w:p w:rsidR="00AF32D0" w:rsidRDefault="00AF32D0" w:rsidP="00EF2320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</w:p>
    <w:p w:rsidR="00AF32D0" w:rsidRPr="00EF2320" w:rsidRDefault="00AF32D0" w:rsidP="00CD0240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  <w:r w:rsidRPr="00EF2320">
        <w:rPr>
          <w:rFonts w:eastAsia="Times New Roman"/>
          <w:lang w:eastAsia="fr-BE"/>
        </w:rPr>
        <w:lastRenderedPageBreak/>
        <w:t>Full</w:t>
      </w:r>
      <w:r>
        <w:rPr>
          <w:rFonts w:eastAsia="Times New Roman"/>
          <w:lang w:eastAsia="fr-BE"/>
        </w:rPr>
        <w:t xml:space="preserve"> d</w:t>
      </w:r>
      <w:r w:rsidRPr="00EF2320">
        <w:rPr>
          <w:rFonts w:eastAsia="Times New Roman"/>
          <w:lang w:eastAsia="fr-BE"/>
        </w:rPr>
        <w:t>isclosure of the document would therefore undermine the protection of the public interest as regards international relations. As a consequence, the General Secretariat has to refuse access to the document</w:t>
      </w:r>
      <w:r w:rsidRPr="00EF2320">
        <w:rPr>
          <w:rFonts w:eastAsia="Times New Roman"/>
          <w:vertAlign w:val="superscript"/>
          <w:lang w:eastAsia="en-GB"/>
        </w:rPr>
        <w:footnoteReference w:id="2"/>
      </w:r>
      <w:r w:rsidR="00CD0240">
        <w:rPr>
          <w:rFonts w:eastAsia="Times New Roman"/>
          <w:lang w:eastAsia="fr-BE"/>
        </w:rPr>
        <w:t xml:space="preserve"> at this stage.</w:t>
      </w:r>
    </w:p>
    <w:p w:rsidR="009C5D0F" w:rsidRDefault="009C5D0F" w:rsidP="00EF2320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>You can ask the Council to review this decision within 15 working days of receiving this reply.</w:t>
      </w:r>
      <w:r>
        <w:rPr>
          <w:rStyle w:val="FootnoteReference"/>
          <w:lang w:eastAsia="fr-BE"/>
        </w:rPr>
        <w:footnoteReference w:id="3"/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D4" w:rsidRDefault="00B333D4">
      <w:pPr>
        <w:spacing w:line="240" w:lineRule="auto"/>
      </w:pPr>
      <w:r>
        <w:separator/>
      </w:r>
    </w:p>
  </w:endnote>
  <w:endnote w:type="continuationSeparator" w:id="0">
    <w:p w:rsidR="00B333D4" w:rsidRDefault="00B3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A424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A424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B333D4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B333D4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A424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8A4243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D4" w:rsidRDefault="00B333D4">
      <w:pPr>
        <w:spacing w:line="240" w:lineRule="auto"/>
      </w:pPr>
      <w:r>
        <w:separator/>
      </w:r>
    </w:p>
  </w:footnote>
  <w:footnote w:type="continuationSeparator" w:id="0">
    <w:p w:rsidR="00B333D4" w:rsidRDefault="00B333D4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AF32D0" w:rsidRPr="00037D71" w:rsidRDefault="00AF32D0" w:rsidP="00AF32D0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037D71">
        <w:rPr>
          <w:rStyle w:val="FootnoteReference"/>
          <w:sz w:val="18"/>
          <w:szCs w:val="18"/>
        </w:rPr>
        <w:footnoteRef/>
      </w:r>
      <w:r w:rsidRPr="00037D7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57F1D">
        <w:rPr>
          <w:sz w:val="18"/>
          <w:szCs w:val="22"/>
        </w:rPr>
        <w:t xml:space="preserve">Article 4(1)(a), third indent, of Regulation </w:t>
      </w:r>
      <w:r w:rsidRPr="00C74902">
        <w:rPr>
          <w:sz w:val="18"/>
          <w:szCs w:val="22"/>
        </w:rPr>
        <w:t>(EC) No 1049/2001</w:t>
      </w:r>
      <w:r w:rsidRPr="00057F1D">
        <w:rPr>
          <w:sz w:val="18"/>
          <w:szCs w:val="22"/>
        </w:rPr>
        <w:t>.</w:t>
      </w:r>
    </w:p>
  </w:footnote>
  <w:footnote w:id="3">
    <w:p w:rsidR="009A1E6F" w:rsidRPr="00057F1D" w:rsidRDefault="009A1E6F" w:rsidP="009A1E6F">
      <w:pPr>
        <w:pStyle w:val="Footer"/>
        <w:tabs>
          <w:tab w:val="left" w:pos="567"/>
          <w:tab w:val="left" w:pos="9639"/>
        </w:tabs>
        <w:spacing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0E1E8D">
        <w:tab/>
      </w:r>
      <w:r w:rsidRPr="00057F1D">
        <w:t>Article 7(2) of Regulation (EC) No 1049/2001.</w:t>
      </w:r>
    </w:p>
    <w:p w:rsidR="009A1E6F" w:rsidRPr="000E1E8D" w:rsidRDefault="009A1E6F" w:rsidP="009A1E6F">
      <w:pPr>
        <w:pStyle w:val="FootnoteText"/>
        <w:spacing w:line="240" w:lineRule="auto"/>
        <w:ind w:left="567"/>
      </w:pPr>
      <w:r w:rsidRPr="00057F1D">
        <w:rPr>
          <w:sz w:val="18"/>
          <w:szCs w:val="22"/>
        </w:rPr>
        <w:t>Council documents on confirmatory applications are made available to the public. According to data protection rules at EU level (Regulation (EC) No 45/2001), if you make a confirmatory application your name will only appear in related documents if you have given your explicit consent.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8A424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B333D4"/>
    <w:rsid w:val="00063ECF"/>
    <w:rsid w:val="000B003E"/>
    <w:rsid w:val="000D62BD"/>
    <w:rsid w:val="000E0B76"/>
    <w:rsid w:val="000E1E8D"/>
    <w:rsid w:val="000E65FF"/>
    <w:rsid w:val="00142991"/>
    <w:rsid w:val="00147705"/>
    <w:rsid w:val="00155AFE"/>
    <w:rsid w:val="00192AF3"/>
    <w:rsid w:val="001948EF"/>
    <w:rsid w:val="001A3B52"/>
    <w:rsid w:val="0020041F"/>
    <w:rsid w:val="00274A0B"/>
    <w:rsid w:val="00325C76"/>
    <w:rsid w:val="003339CE"/>
    <w:rsid w:val="003B3795"/>
    <w:rsid w:val="004E419F"/>
    <w:rsid w:val="00572543"/>
    <w:rsid w:val="005D2609"/>
    <w:rsid w:val="005D7217"/>
    <w:rsid w:val="006079BC"/>
    <w:rsid w:val="0061230F"/>
    <w:rsid w:val="00645106"/>
    <w:rsid w:val="0067486D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7E04E4"/>
    <w:rsid w:val="007E4CCB"/>
    <w:rsid w:val="00814280"/>
    <w:rsid w:val="008723D5"/>
    <w:rsid w:val="00890D7C"/>
    <w:rsid w:val="008A1EE0"/>
    <w:rsid w:val="008A4243"/>
    <w:rsid w:val="008E0B07"/>
    <w:rsid w:val="0096334A"/>
    <w:rsid w:val="00975C2B"/>
    <w:rsid w:val="009A1E6F"/>
    <w:rsid w:val="009A4DD3"/>
    <w:rsid w:val="009C5D0F"/>
    <w:rsid w:val="009E4D12"/>
    <w:rsid w:val="00A24F59"/>
    <w:rsid w:val="00AA44DD"/>
    <w:rsid w:val="00AA694C"/>
    <w:rsid w:val="00AB0003"/>
    <w:rsid w:val="00AF32D0"/>
    <w:rsid w:val="00AF3994"/>
    <w:rsid w:val="00B333D4"/>
    <w:rsid w:val="00BA1627"/>
    <w:rsid w:val="00BB3A2F"/>
    <w:rsid w:val="00BF034F"/>
    <w:rsid w:val="00C14D51"/>
    <w:rsid w:val="00CC6C35"/>
    <w:rsid w:val="00CD0240"/>
    <w:rsid w:val="00D23D2B"/>
    <w:rsid w:val="00D3595A"/>
    <w:rsid w:val="00D72EC6"/>
    <w:rsid w:val="00DB284D"/>
    <w:rsid w:val="00DE1B6A"/>
    <w:rsid w:val="00DF4C32"/>
    <w:rsid w:val="00E55A5F"/>
    <w:rsid w:val="00E92860"/>
    <w:rsid w:val="00EF117D"/>
    <w:rsid w:val="00EF2320"/>
    <w:rsid w:val="00F5744C"/>
    <w:rsid w:val="00F90320"/>
    <w:rsid w:val="00FE58D1"/>
    <w:rsid w:val="00FE7A83"/>
    <w:rsid w:val="00FF5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3AF2-D6FB-4E08-B160-3FF58CE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SIERENS Nicole</dc:creator>
  <cp:lastModifiedBy>SIERENS Nicole</cp:lastModifiedBy>
  <cp:revision>12</cp:revision>
  <cp:lastPrinted>2015-07-17T08:11:00Z</cp:lastPrinted>
  <dcterms:created xsi:type="dcterms:W3CDTF">2015-06-25T14:25:00Z</dcterms:created>
  <dcterms:modified xsi:type="dcterms:W3CDTF">2015-08-05T11:38:00Z</dcterms:modified>
</cp:coreProperties>
</file>