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64732E" w:rsidRPr="00F33E3C" w:rsidTr="0064732E">
        <w:trPr>
          <w:trHeight w:val="1440"/>
        </w:trPr>
        <w:tc>
          <w:tcPr>
            <w:tcW w:w="1814"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381"/>
              <w:gridCol w:w="7087"/>
            </w:tblGrid>
            <w:tr w:rsidR="00C459FE" w:rsidRPr="00F33E3C" w:rsidTr="00245B7D">
              <w:trPr>
                <w:trHeight w:val="1440"/>
              </w:trPr>
              <w:tc>
                <w:tcPr>
                  <w:tcW w:w="2381" w:type="dxa"/>
                  <w:tcBorders>
                    <w:top w:val="nil"/>
                    <w:left w:val="nil"/>
                    <w:bottom w:val="nil"/>
                    <w:right w:val="nil"/>
                  </w:tcBorders>
                </w:tcPr>
                <w:p w:rsidR="0064732E" w:rsidRPr="00F33E3C" w:rsidRDefault="00B211D4" w:rsidP="00D16599">
                  <w:pPr>
                    <w:pStyle w:val="ZCom"/>
                  </w:pPr>
                  <w:r>
                    <w:rPr>
                      <w:sz w:val="20"/>
                      <w:szCs w:val="20"/>
                    </w:rPr>
                    <w:pict w14:anchorId="6122B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53.2pt" fillcolor="window">
                        <v:imagedata r:id="rId9" o:title="logo_ec_17_colors_300dpi"/>
                      </v:shape>
                    </w:pict>
                  </w:r>
                </w:p>
              </w:tc>
              <w:tc>
                <w:tcPr>
                  <w:tcW w:w="7087" w:type="dxa"/>
                  <w:tcBorders>
                    <w:top w:val="nil"/>
                    <w:left w:val="nil"/>
                    <w:bottom w:val="nil"/>
                    <w:right w:val="nil"/>
                  </w:tcBorders>
                </w:tcPr>
                <w:p w:rsidR="0064732E" w:rsidRPr="00F33E3C" w:rsidRDefault="0064732E" w:rsidP="00D16599">
                  <w:pPr>
                    <w:pStyle w:val="ZCom"/>
                  </w:pPr>
                  <w:r w:rsidRPr="00F33E3C">
                    <w:t>EUROPEAN COMMISSION</w:t>
                  </w:r>
                </w:p>
                <w:p w:rsidR="0064732E" w:rsidRPr="00F33E3C" w:rsidRDefault="0064732E" w:rsidP="00D16599">
                  <w:pPr>
                    <w:pStyle w:val="ZDGName"/>
                  </w:pPr>
                  <w:r w:rsidRPr="00F33E3C">
                    <w:t>DIRECTORATE-GENERAL FOR ENERGY</w:t>
                  </w:r>
                </w:p>
                <w:p w:rsidR="0064732E" w:rsidRPr="00F33E3C" w:rsidRDefault="0064732E" w:rsidP="00D16599">
                  <w:pPr>
                    <w:pStyle w:val="ZDGName"/>
                  </w:pPr>
                </w:p>
                <w:p w:rsidR="0064732E" w:rsidRPr="00F33E3C" w:rsidRDefault="0064732E" w:rsidP="00D16599">
                  <w:pPr>
                    <w:pStyle w:val="ZDGName"/>
                  </w:pPr>
                  <w:r w:rsidRPr="00F33E3C">
                    <w:t>Directorate B - Internal Energy Market</w:t>
                  </w:r>
                </w:p>
                <w:p w:rsidR="0064732E" w:rsidRPr="00F33E3C" w:rsidRDefault="0064732E" w:rsidP="00D16599">
                  <w:pPr>
                    <w:pStyle w:val="ZDGName"/>
                  </w:pPr>
                  <w:r w:rsidRPr="00F33E3C">
                    <w:rPr>
                      <w:b/>
                      <w:bCs/>
                    </w:rPr>
                    <w:t>B.3 - Retail markets; coal &amp; oil</w:t>
                  </w:r>
                </w:p>
                <w:p w:rsidR="0064732E" w:rsidRPr="00F33E3C" w:rsidRDefault="0064732E" w:rsidP="00D16599">
                  <w:pPr>
                    <w:pStyle w:val="ZDGName"/>
                  </w:pPr>
                </w:p>
              </w:tc>
            </w:tr>
          </w:tbl>
          <w:p w:rsidR="0064732E" w:rsidRPr="00F33E3C" w:rsidRDefault="0064732E" w:rsidP="00D16599"/>
        </w:tc>
        <w:tc>
          <w:tcPr>
            <w:tcW w:w="7655"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71"/>
              <w:gridCol w:w="7087"/>
            </w:tblGrid>
            <w:tr w:rsidR="00C459FE" w:rsidRPr="00F33E3C" w:rsidTr="0064732E">
              <w:trPr>
                <w:trHeight w:val="1440"/>
              </w:trPr>
              <w:tc>
                <w:tcPr>
                  <w:tcW w:w="171" w:type="dxa"/>
                  <w:tcBorders>
                    <w:top w:val="nil"/>
                    <w:left w:val="nil"/>
                    <w:bottom w:val="nil"/>
                    <w:right w:val="nil"/>
                  </w:tcBorders>
                </w:tcPr>
                <w:p w:rsidR="0064732E" w:rsidRPr="00F33E3C" w:rsidRDefault="0064732E" w:rsidP="00D16599">
                  <w:pPr>
                    <w:pStyle w:val="ZCom"/>
                    <w:ind w:right="-283"/>
                  </w:pPr>
                </w:p>
              </w:tc>
              <w:tc>
                <w:tcPr>
                  <w:tcW w:w="7087" w:type="dxa"/>
                  <w:tcBorders>
                    <w:top w:val="nil"/>
                    <w:left w:val="nil"/>
                    <w:bottom w:val="nil"/>
                    <w:right w:val="nil"/>
                  </w:tcBorders>
                </w:tcPr>
                <w:p w:rsidR="0064732E" w:rsidRPr="00F33E3C" w:rsidRDefault="0064732E" w:rsidP="00D16599">
                  <w:pPr>
                    <w:pStyle w:val="ZCom"/>
                  </w:pPr>
                  <w:r w:rsidRPr="00F33E3C">
                    <w:t>EUROPEAN COMMISSION</w:t>
                  </w:r>
                </w:p>
                <w:p w:rsidR="0064732E" w:rsidRPr="00F33E3C" w:rsidRDefault="0064732E" w:rsidP="00D16599">
                  <w:pPr>
                    <w:pStyle w:val="ZDGName"/>
                  </w:pPr>
                  <w:r w:rsidRPr="00F33E3C">
                    <w:t>DIRECTORATE-GENERAL FOR ENERGY</w:t>
                  </w:r>
                </w:p>
                <w:p w:rsidR="0064732E" w:rsidRPr="00F33E3C" w:rsidRDefault="0064732E" w:rsidP="00D16599">
                  <w:pPr>
                    <w:pStyle w:val="ZDGName"/>
                  </w:pPr>
                </w:p>
                <w:p w:rsidR="0064732E" w:rsidRPr="00F33E3C" w:rsidRDefault="0064732E" w:rsidP="00D16599">
                  <w:pPr>
                    <w:pStyle w:val="ZDGName"/>
                  </w:pPr>
                  <w:r w:rsidRPr="00F33E3C">
                    <w:t>Directorate B - Internal Energy Market</w:t>
                  </w:r>
                </w:p>
                <w:p w:rsidR="0064732E" w:rsidRPr="00F33E3C" w:rsidRDefault="0064732E" w:rsidP="00D16599">
                  <w:pPr>
                    <w:pStyle w:val="ZDGName"/>
                  </w:pPr>
                  <w:r w:rsidRPr="00F33E3C">
                    <w:rPr>
                      <w:b/>
                      <w:bCs/>
                    </w:rPr>
                    <w:t>B.3 - Retail markets; coal &amp; oil</w:t>
                  </w:r>
                </w:p>
                <w:p w:rsidR="0064732E" w:rsidRPr="00F33E3C" w:rsidRDefault="0064732E" w:rsidP="00D16599">
                  <w:pPr>
                    <w:pStyle w:val="ZDGName"/>
                  </w:pPr>
                </w:p>
              </w:tc>
            </w:tr>
          </w:tbl>
          <w:p w:rsidR="0064732E" w:rsidRPr="00F33E3C" w:rsidRDefault="0064732E" w:rsidP="00D16599"/>
        </w:tc>
      </w:tr>
    </w:tbl>
    <w:p w:rsidR="00366CDF" w:rsidRPr="00F33E3C" w:rsidRDefault="00366CDF" w:rsidP="00D16599">
      <w:pPr>
        <w:widowControl w:val="0"/>
        <w:autoSpaceDE w:val="0"/>
        <w:autoSpaceDN w:val="0"/>
        <w:adjustRightInd w:val="0"/>
        <w:ind w:left="5103" w:right="-567"/>
      </w:pPr>
      <w:r w:rsidRPr="00F33E3C">
        <w:t xml:space="preserve">Brussels, </w:t>
      </w:r>
      <w:r w:rsidR="00436BE8">
        <w:t>22</w:t>
      </w:r>
      <w:r w:rsidR="00131306" w:rsidRPr="00F33E3C">
        <w:t>/</w:t>
      </w:r>
      <w:r w:rsidR="00E60201">
        <w:t>01/2016</w:t>
      </w:r>
    </w:p>
    <w:p w:rsidR="00366CDF" w:rsidRPr="00F33E3C" w:rsidRDefault="0050314F" w:rsidP="00D16599">
      <w:pPr>
        <w:tabs>
          <w:tab w:val="left" w:pos="5103"/>
        </w:tabs>
        <w:ind w:left="4411" w:firstLine="692"/>
        <w:rPr>
          <w:sz w:val="22"/>
          <w:szCs w:val="22"/>
        </w:rPr>
      </w:pPr>
      <w:r w:rsidRPr="00F33E3C">
        <w:rPr>
          <w:sz w:val="22"/>
          <w:szCs w:val="22"/>
        </w:rPr>
        <w:t xml:space="preserve">ENER </w:t>
      </w:r>
      <w:r w:rsidR="00A04F57" w:rsidRPr="00F33E3C">
        <w:rPr>
          <w:sz w:val="22"/>
          <w:szCs w:val="22"/>
        </w:rPr>
        <w:t>B</w:t>
      </w:r>
      <w:r w:rsidR="00366CDF" w:rsidRPr="00F33E3C">
        <w:rPr>
          <w:sz w:val="22"/>
          <w:szCs w:val="22"/>
        </w:rPr>
        <w:t xml:space="preserve">.3 </w:t>
      </w:r>
      <w:r w:rsidR="00436BE8">
        <w:rPr>
          <w:sz w:val="22"/>
          <w:szCs w:val="22"/>
        </w:rPr>
        <w:t>LF/OG</w:t>
      </w:r>
    </w:p>
    <w:p w:rsidR="00366CDF" w:rsidRPr="00F33E3C" w:rsidRDefault="00366CDF" w:rsidP="00D16599">
      <w:pPr>
        <w:ind w:left="4411" w:firstLine="629"/>
        <w:rPr>
          <w:b/>
          <w:bCs/>
          <w:sz w:val="22"/>
          <w:szCs w:val="22"/>
        </w:rPr>
      </w:pPr>
    </w:p>
    <w:p w:rsidR="00A04F57" w:rsidRPr="00F33E3C" w:rsidRDefault="00A04F57" w:rsidP="00D16599">
      <w:pPr>
        <w:ind w:left="4411" w:firstLine="629"/>
        <w:rPr>
          <w:b/>
          <w:bCs/>
          <w:sz w:val="22"/>
          <w:szCs w:val="22"/>
        </w:rPr>
      </w:pPr>
    </w:p>
    <w:p w:rsidR="00366CDF" w:rsidRPr="00F33E3C" w:rsidRDefault="00366CDF" w:rsidP="00D16599">
      <w:pPr>
        <w:ind w:left="1440" w:hanging="1440"/>
        <w:rPr>
          <w:b/>
          <w:bCs/>
        </w:rPr>
      </w:pPr>
      <w:r w:rsidRPr="00F33E3C">
        <w:rPr>
          <w:b/>
          <w:bCs/>
        </w:rPr>
        <w:t>Subject:</w:t>
      </w:r>
      <w:r w:rsidRPr="00F33E3C">
        <w:rPr>
          <w:b/>
          <w:bCs/>
        </w:rPr>
        <w:tab/>
      </w:r>
      <w:r w:rsidR="00EE77D4" w:rsidRPr="00F33E3C">
        <w:rPr>
          <w:b/>
          <w:bCs/>
        </w:rPr>
        <w:t>M</w:t>
      </w:r>
      <w:r w:rsidRPr="00F33E3C">
        <w:rPr>
          <w:b/>
          <w:bCs/>
        </w:rPr>
        <w:t xml:space="preserve">inutes for the Vulnerable Consumer Working Group meeting held in Brussels on </w:t>
      </w:r>
      <w:r w:rsidR="00A917CB" w:rsidRPr="00F33E3C">
        <w:rPr>
          <w:b/>
          <w:bCs/>
        </w:rPr>
        <w:t>9 December 2015</w:t>
      </w:r>
    </w:p>
    <w:p w:rsidR="00366CDF" w:rsidRPr="00F33E3C" w:rsidRDefault="00366CDF" w:rsidP="00D16599">
      <w:pPr>
        <w:tabs>
          <w:tab w:val="left" w:pos="1260"/>
        </w:tabs>
        <w:rPr>
          <w:b/>
          <w:bCs/>
        </w:rPr>
      </w:pPr>
    </w:p>
    <w:p w:rsidR="00366CDF" w:rsidRPr="00F33E3C" w:rsidRDefault="000F79A9" w:rsidP="00D16599">
      <w:pPr>
        <w:rPr>
          <w:spacing w:val="-4"/>
        </w:rPr>
      </w:pPr>
      <w:r w:rsidRPr="00F33E3C">
        <w:rPr>
          <w:spacing w:val="-4"/>
        </w:rPr>
        <w:t xml:space="preserve">The </w:t>
      </w:r>
      <w:r w:rsidR="00A917CB" w:rsidRPr="00F33E3C">
        <w:rPr>
          <w:spacing w:val="-4"/>
        </w:rPr>
        <w:t xml:space="preserve">third </w:t>
      </w:r>
      <w:r w:rsidRPr="00F33E3C">
        <w:rPr>
          <w:spacing w:val="-4"/>
        </w:rPr>
        <w:t xml:space="preserve">meeting </w:t>
      </w:r>
      <w:r w:rsidR="00B10CD5" w:rsidRPr="00F33E3C">
        <w:rPr>
          <w:spacing w:val="-4"/>
        </w:rPr>
        <w:t xml:space="preserve">of the Working Group </w:t>
      </w:r>
      <w:r w:rsidR="00366CDF" w:rsidRPr="00F33E3C">
        <w:rPr>
          <w:spacing w:val="-4"/>
        </w:rPr>
        <w:t xml:space="preserve">took place </w:t>
      </w:r>
      <w:r w:rsidR="00D16599" w:rsidRPr="00F33E3C">
        <w:rPr>
          <w:spacing w:val="-4"/>
        </w:rPr>
        <w:t>at the</w:t>
      </w:r>
      <w:r w:rsidR="00366CDF" w:rsidRPr="00F33E3C">
        <w:rPr>
          <w:spacing w:val="-4"/>
        </w:rPr>
        <w:t xml:space="preserve"> European Commission premises on </w:t>
      </w:r>
      <w:r w:rsidR="009A2C58" w:rsidRPr="00F33E3C">
        <w:rPr>
          <w:spacing w:val="-4"/>
        </w:rPr>
        <w:t>Wednesday</w:t>
      </w:r>
      <w:r w:rsidR="00D026CC" w:rsidRPr="00F33E3C">
        <w:rPr>
          <w:spacing w:val="-4"/>
        </w:rPr>
        <w:t xml:space="preserve">, </w:t>
      </w:r>
      <w:r w:rsidR="00A917CB" w:rsidRPr="00F33E3C">
        <w:rPr>
          <w:spacing w:val="-4"/>
        </w:rPr>
        <w:t>9 December</w:t>
      </w:r>
      <w:r w:rsidR="00B10CD5" w:rsidRPr="00F33E3C">
        <w:rPr>
          <w:spacing w:val="-4"/>
        </w:rPr>
        <w:t xml:space="preserve"> 2015</w:t>
      </w:r>
      <w:r w:rsidR="00366CDF" w:rsidRPr="00F33E3C">
        <w:rPr>
          <w:spacing w:val="-4"/>
        </w:rPr>
        <w:t xml:space="preserve"> from </w:t>
      </w:r>
      <w:r w:rsidR="009A2C58" w:rsidRPr="00F33E3C">
        <w:rPr>
          <w:spacing w:val="-4"/>
        </w:rPr>
        <w:t>9</w:t>
      </w:r>
      <w:r w:rsidR="00366CDF" w:rsidRPr="00F33E3C">
        <w:rPr>
          <w:spacing w:val="-4"/>
        </w:rPr>
        <w:t>.</w:t>
      </w:r>
      <w:r w:rsidR="00A917CB" w:rsidRPr="00F33E3C">
        <w:rPr>
          <w:spacing w:val="-4"/>
        </w:rPr>
        <w:t>30</w:t>
      </w:r>
      <w:r w:rsidR="00366CDF" w:rsidRPr="00F33E3C">
        <w:rPr>
          <w:spacing w:val="-4"/>
        </w:rPr>
        <w:t>-1</w:t>
      </w:r>
      <w:r w:rsidR="00B10CD5" w:rsidRPr="00F33E3C">
        <w:rPr>
          <w:spacing w:val="-4"/>
        </w:rPr>
        <w:t>5</w:t>
      </w:r>
      <w:r w:rsidR="00366CDF" w:rsidRPr="00F33E3C">
        <w:rPr>
          <w:spacing w:val="-4"/>
        </w:rPr>
        <w:t>.</w:t>
      </w:r>
      <w:r w:rsidR="009A2C58" w:rsidRPr="00F33E3C">
        <w:rPr>
          <w:spacing w:val="-4"/>
        </w:rPr>
        <w:t>0</w:t>
      </w:r>
      <w:r w:rsidR="00366CDF" w:rsidRPr="00F33E3C">
        <w:rPr>
          <w:spacing w:val="-4"/>
        </w:rPr>
        <w:t xml:space="preserve">0. </w:t>
      </w:r>
      <w:r w:rsidR="00797B86" w:rsidRPr="00F33E3C">
        <w:rPr>
          <w:spacing w:val="-4"/>
        </w:rPr>
        <w:t>The list of participants</w:t>
      </w:r>
      <w:r w:rsidR="001F457C" w:rsidRPr="00F33E3C">
        <w:rPr>
          <w:spacing w:val="-4"/>
        </w:rPr>
        <w:t xml:space="preserve"> </w:t>
      </w:r>
      <w:r w:rsidR="00CE6692" w:rsidRPr="00F33E3C">
        <w:rPr>
          <w:spacing w:val="-4"/>
        </w:rPr>
        <w:t>and the</w:t>
      </w:r>
      <w:r w:rsidR="00955039" w:rsidRPr="00F33E3C">
        <w:rPr>
          <w:spacing w:val="-4"/>
        </w:rPr>
        <w:t xml:space="preserve"> </w:t>
      </w:r>
      <w:r w:rsidR="00797B86" w:rsidRPr="00F33E3C">
        <w:rPr>
          <w:spacing w:val="-4"/>
        </w:rPr>
        <w:t>agenda are attached (see Annexes I</w:t>
      </w:r>
      <w:r w:rsidR="00955039" w:rsidRPr="00F33E3C">
        <w:rPr>
          <w:spacing w:val="-4"/>
        </w:rPr>
        <w:t>,</w:t>
      </w:r>
      <w:r w:rsidR="00797B86" w:rsidRPr="00F33E3C">
        <w:rPr>
          <w:spacing w:val="-4"/>
        </w:rPr>
        <w:t xml:space="preserve"> II). </w:t>
      </w:r>
      <w:r w:rsidR="008265BA" w:rsidRPr="00F33E3C">
        <w:rPr>
          <w:spacing w:val="-4"/>
        </w:rPr>
        <w:t>The meeting was chaired jointly by Jan P</w:t>
      </w:r>
      <w:r w:rsidR="00835165" w:rsidRPr="00F33E3C">
        <w:rPr>
          <w:spacing w:val="-4"/>
        </w:rPr>
        <w:t>a</w:t>
      </w:r>
      <w:r w:rsidR="008265BA" w:rsidRPr="00F33E3C">
        <w:rPr>
          <w:spacing w:val="-4"/>
        </w:rPr>
        <w:t>nek</w:t>
      </w:r>
      <w:r w:rsidR="00D01A4A">
        <w:rPr>
          <w:spacing w:val="-4"/>
        </w:rPr>
        <w:t>,</w:t>
      </w:r>
      <w:r w:rsidR="008265BA" w:rsidRPr="00F33E3C">
        <w:rPr>
          <w:spacing w:val="-4"/>
        </w:rPr>
        <w:t xml:space="preserve"> DG Energy and Carina Törnblom</w:t>
      </w:r>
      <w:r w:rsidR="00D01A4A">
        <w:rPr>
          <w:spacing w:val="-4"/>
        </w:rPr>
        <w:t>,</w:t>
      </w:r>
      <w:r w:rsidR="008265BA" w:rsidRPr="00F33E3C">
        <w:rPr>
          <w:spacing w:val="-4"/>
        </w:rPr>
        <w:t xml:space="preserve"> DG Justice and Consumers. </w:t>
      </w:r>
      <w:r w:rsidR="00797B86" w:rsidRPr="00F33E3C">
        <w:rPr>
          <w:spacing w:val="-4"/>
        </w:rPr>
        <w:t xml:space="preserve">Below is a summary of the key points </w:t>
      </w:r>
      <w:r w:rsidR="00A6611E">
        <w:rPr>
          <w:spacing w:val="-4"/>
        </w:rPr>
        <w:t xml:space="preserve">discussed at </w:t>
      </w:r>
      <w:r w:rsidR="00797B86" w:rsidRPr="00F33E3C">
        <w:rPr>
          <w:spacing w:val="-4"/>
        </w:rPr>
        <w:t xml:space="preserve">the </w:t>
      </w:r>
      <w:r w:rsidR="009A2C58" w:rsidRPr="00F33E3C">
        <w:rPr>
          <w:spacing w:val="-4"/>
        </w:rPr>
        <w:t>meeting</w:t>
      </w:r>
      <w:r w:rsidR="00D16599" w:rsidRPr="00F33E3C">
        <w:rPr>
          <w:spacing w:val="-4"/>
        </w:rPr>
        <w:t>.</w:t>
      </w:r>
      <w:r w:rsidR="00973043" w:rsidRPr="00F33E3C">
        <w:rPr>
          <w:spacing w:val="-4"/>
        </w:rPr>
        <w:t xml:space="preserve"> </w:t>
      </w:r>
    </w:p>
    <w:p w:rsidR="00366CDF" w:rsidRDefault="00366CDF" w:rsidP="00D16599">
      <w:pPr>
        <w:rPr>
          <w:b/>
          <w:bCs/>
          <w:spacing w:val="-4"/>
          <w:sz w:val="22"/>
          <w:szCs w:val="22"/>
        </w:rPr>
      </w:pPr>
    </w:p>
    <w:p w:rsidR="00436BE8" w:rsidRPr="00F33E3C" w:rsidRDefault="00436BE8" w:rsidP="00D16599">
      <w:pPr>
        <w:rPr>
          <w:b/>
          <w:bCs/>
          <w:spacing w:val="-4"/>
          <w:sz w:val="22"/>
          <w:szCs w:val="22"/>
        </w:rPr>
      </w:pPr>
    </w:p>
    <w:p w:rsidR="00366CDF" w:rsidRPr="00F33E3C" w:rsidRDefault="00366CDF" w:rsidP="00E6026E">
      <w:pPr>
        <w:spacing w:after="120"/>
        <w:ind w:left="357" w:hanging="357"/>
        <w:rPr>
          <w:b/>
          <w:bCs/>
          <w:smallCaps/>
        </w:rPr>
      </w:pPr>
      <w:r w:rsidRPr="00F33E3C">
        <w:rPr>
          <w:b/>
          <w:bCs/>
        </w:rPr>
        <w:t>1.</w:t>
      </w:r>
      <w:r w:rsidRPr="00F33E3C">
        <w:rPr>
          <w:b/>
          <w:bCs/>
        </w:rPr>
        <w:tab/>
      </w:r>
      <w:r w:rsidR="00797B86" w:rsidRPr="00F33E3C">
        <w:rPr>
          <w:b/>
          <w:bCs/>
          <w:smallCaps/>
        </w:rPr>
        <w:t xml:space="preserve">Welcome </w:t>
      </w:r>
    </w:p>
    <w:p w:rsidR="00835165" w:rsidRPr="00F33E3C" w:rsidRDefault="00D026CC" w:rsidP="00D16599">
      <w:pPr>
        <w:rPr>
          <w:szCs w:val="24"/>
        </w:rPr>
      </w:pPr>
      <w:r w:rsidRPr="00F33E3C">
        <w:rPr>
          <w:b/>
          <w:bCs/>
          <w:szCs w:val="24"/>
        </w:rPr>
        <w:t>The Chair</w:t>
      </w:r>
      <w:r w:rsidR="00AF2BFF" w:rsidRPr="00F33E3C">
        <w:rPr>
          <w:b/>
          <w:bCs/>
          <w:szCs w:val="24"/>
        </w:rPr>
        <w:t xml:space="preserve"> (</w:t>
      </w:r>
      <w:r w:rsidR="003D5DF1" w:rsidRPr="00F33E3C">
        <w:rPr>
          <w:b/>
          <w:bCs/>
          <w:szCs w:val="24"/>
        </w:rPr>
        <w:t xml:space="preserve">Jan </w:t>
      </w:r>
      <w:r w:rsidR="00AF2BFF" w:rsidRPr="00F33E3C">
        <w:rPr>
          <w:b/>
          <w:bCs/>
          <w:szCs w:val="24"/>
        </w:rPr>
        <w:t>P</w:t>
      </w:r>
      <w:r w:rsidR="00835165" w:rsidRPr="00F33E3C">
        <w:rPr>
          <w:b/>
        </w:rPr>
        <w:t>a</w:t>
      </w:r>
      <w:r w:rsidR="00AF2BFF" w:rsidRPr="00F33E3C">
        <w:rPr>
          <w:b/>
          <w:bCs/>
          <w:szCs w:val="24"/>
        </w:rPr>
        <w:t xml:space="preserve">nek) </w:t>
      </w:r>
      <w:r w:rsidR="00AF2BFF" w:rsidRPr="00F33E3C">
        <w:rPr>
          <w:bCs/>
          <w:szCs w:val="24"/>
        </w:rPr>
        <w:t>w</w:t>
      </w:r>
      <w:r w:rsidR="000F79A9" w:rsidRPr="00F33E3C">
        <w:rPr>
          <w:szCs w:val="24"/>
        </w:rPr>
        <w:t xml:space="preserve">elcomed the attendees. </w:t>
      </w:r>
      <w:r w:rsidR="00835165" w:rsidRPr="00F33E3C">
        <w:rPr>
          <w:szCs w:val="24"/>
        </w:rPr>
        <w:t>He</w:t>
      </w:r>
      <w:r w:rsidR="00835165" w:rsidRPr="00F33E3C">
        <w:rPr>
          <w:b/>
          <w:szCs w:val="24"/>
        </w:rPr>
        <w:t xml:space="preserve"> </w:t>
      </w:r>
      <w:r w:rsidR="00835165" w:rsidRPr="00F33E3C">
        <w:rPr>
          <w:szCs w:val="24"/>
        </w:rPr>
        <w:t xml:space="preserve">presented the agenda which </w:t>
      </w:r>
      <w:r w:rsidR="00E2451C" w:rsidRPr="00F33E3C">
        <w:rPr>
          <w:szCs w:val="24"/>
        </w:rPr>
        <w:t>was adopted without</w:t>
      </w:r>
      <w:r w:rsidR="00835165" w:rsidRPr="00F33E3C">
        <w:rPr>
          <w:szCs w:val="24"/>
        </w:rPr>
        <w:t xml:space="preserve"> additions from </w:t>
      </w:r>
      <w:r w:rsidR="00D16599" w:rsidRPr="00F33E3C">
        <w:rPr>
          <w:szCs w:val="24"/>
        </w:rPr>
        <w:t xml:space="preserve">the </w:t>
      </w:r>
      <w:r w:rsidR="00835165" w:rsidRPr="00F33E3C">
        <w:rPr>
          <w:szCs w:val="24"/>
        </w:rPr>
        <w:t>members of the group.</w:t>
      </w:r>
    </w:p>
    <w:p w:rsidR="00BE27E8" w:rsidRDefault="00BE27E8" w:rsidP="00D16599">
      <w:pPr>
        <w:ind w:left="360" w:hanging="360"/>
        <w:rPr>
          <w:b/>
          <w:bCs/>
        </w:rPr>
      </w:pPr>
    </w:p>
    <w:p w:rsidR="00C9250E" w:rsidRPr="00F33E3C" w:rsidRDefault="00AC015B" w:rsidP="00E6026E">
      <w:pPr>
        <w:spacing w:after="120"/>
        <w:ind w:left="357" w:hanging="357"/>
        <w:rPr>
          <w:b/>
          <w:bCs/>
          <w:smallCaps/>
        </w:rPr>
      </w:pPr>
      <w:r w:rsidRPr="00F33E3C">
        <w:rPr>
          <w:b/>
          <w:bCs/>
        </w:rPr>
        <w:t>2. Review of EU Energy Legislation</w:t>
      </w:r>
    </w:p>
    <w:p w:rsidR="006F0F3F" w:rsidRPr="00F33E3C" w:rsidRDefault="001B4B64" w:rsidP="00D16599">
      <w:pPr>
        <w:pStyle w:val="ListParagraph"/>
        <w:numPr>
          <w:ilvl w:val="0"/>
          <w:numId w:val="32"/>
        </w:numPr>
        <w:ind w:left="714" w:hanging="357"/>
      </w:pPr>
      <w:r w:rsidRPr="00F33E3C">
        <w:t>Presentation about</w:t>
      </w:r>
      <w:r w:rsidR="004A73D0" w:rsidRPr="00F33E3C">
        <w:t xml:space="preserve"> the </w:t>
      </w:r>
      <w:r w:rsidR="00AC015B" w:rsidRPr="00F33E3C">
        <w:t xml:space="preserve">new energy </w:t>
      </w:r>
      <w:r w:rsidR="00337EA4" w:rsidRPr="00F33E3C">
        <w:t>market design</w:t>
      </w:r>
      <w:r w:rsidR="00CA2EEF" w:rsidRPr="00F33E3C">
        <w:t xml:space="preserve"> by </w:t>
      </w:r>
      <w:r w:rsidR="00337EA4" w:rsidRPr="00F33E3C">
        <w:t>ENER B.2</w:t>
      </w:r>
      <w:r w:rsidR="004A73D0" w:rsidRPr="00F33E3C">
        <w:t xml:space="preserve">. </w:t>
      </w:r>
    </w:p>
    <w:p w:rsidR="00E31991" w:rsidRPr="00F33E3C" w:rsidRDefault="00E31991" w:rsidP="00D16599"/>
    <w:p w:rsidR="00164E15" w:rsidRPr="00F33E3C" w:rsidRDefault="00265E0A" w:rsidP="00D16599">
      <w:r w:rsidRPr="00F33E3C">
        <w:rPr>
          <w:b/>
        </w:rPr>
        <w:t>Augustijn van Haasteren</w:t>
      </w:r>
      <w:r w:rsidR="001B4B64" w:rsidRPr="00F33E3C">
        <w:t xml:space="preserve"> </w:t>
      </w:r>
      <w:r w:rsidR="001B4B64" w:rsidRPr="00F33E3C">
        <w:rPr>
          <w:b/>
        </w:rPr>
        <w:t xml:space="preserve">(DG ENER) </w:t>
      </w:r>
      <w:r w:rsidR="00152E55" w:rsidRPr="00F33E3C">
        <w:t xml:space="preserve">introduced the </w:t>
      </w:r>
      <w:r w:rsidR="00164E15" w:rsidRPr="00F33E3C">
        <w:t>C</w:t>
      </w:r>
      <w:r w:rsidR="00152E55" w:rsidRPr="00F33E3C">
        <w:t xml:space="preserve">onsultative </w:t>
      </w:r>
      <w:r w:rsidR="00164E15" w:rsidRPr="00F33E3C">
        <w:t>C</w:t>
      </w:r>
      <w:r w:rsidR="00152E55" w:rsidRPr="00F33E3C">
        <w:t xml:space="preserve">ommunication on New </w:t>
      </w:r>
      <w:r w:rsidR="00164E15" w:rsidRPr="00F33E3C">
        <w:t xml:space="preserve">Energy </w:t>
      </w:r>
      <w:r w:rsidR="00152E55" w:rsidRPr="00F33E3C">
        <w:t>Market</w:t>
      </w:r>
      <w:r w:rsidR="00164E15" w:rsidRPr="00F33E3C">
        <w:t xml:space="preserve"> </w:t>
      </w:r>
      <w:r w:rsidR="00152E55" w:rsidRPr="00F33E3C">
        <w:t xml:space="preserve">Design. </w:t>
      </w:r>
      <w:r w:rsidR="00164E15" w:rsidRPr="00F33E3C">
        <w:t>In his presentation</w:t>
      </w:r>
      <w:r w:rsidR="00AC2B85" w:rsidRPr="00F33E3C">
        <w:t>,</w:t>
      </w:r>
      <w:r w:rsidR="00164E15" w:rsidRPr="00F33E3C">
        <w:t xml:space="preserve"> </w:t>
      </w:r>
      <w:r w:rsidR="00AC2B85" w:rsidRPr="00F33E3C">
        <w:rPr>
          <w:b/>
        </w:rPr>
        <w:t>Mr van Haasteren (DG ENER)</w:t>
      </w:r>
      <w:r w:rsidR="00AC2B85" w:rsidRPr="00F33E3C">
        <w:t xml:space="preserve"> </w:t>
      </w:r>
      <w:r w:rsidR="00164E15" w:rsidRPr="00F33E3C">
        <w:t xml:space="preserve">stressed that </w:t>
      </w:r>
      <w:r w:rsidR="008E0B26">
        <w:t xml:space="preserve">in order </w:t>
      </w:r>
      <w:r w:rsidR="00164E15" w:rsidRPr="00F33E3C">
        <w:t>to develop a resilient Energy Union</w:t>
      </w:r>
      <w:r w:rsidR="00AC2B85" w:rsidRPr="00F33E3C">
        <w:t>,</w:t>
      </w:r>
      <w:r w:rsidR="00164E15" w:rsidRPr="00F33E3C">
        <w:t xml:space="preserve"> clear </w:t>
      </w:r>
      <w:r w:rsidR="00645C13">
        <w:t xml:space="preserve">market-based </w:t>
      </w:r>
      <w:r w:rsidR="00164E15" w:rsidRPr="00F33E3C">
        <w:t xml:space="preserve">price signals </w:t>
      </w:r>
      <w:r w:rsidR="00AC2B85" w:rsidRPr="00F33E3C">
        <w:t xml:space="preserve">were necessary </w:t>
      </w:r>
      <w:r w:rsidR="00164E15" w:rsidRPr="00F33E3C">
        <w:t xml:space="preserve">to facilitate </w:t>
      </w:r>
      <w:r w:rsidR="00645C13">
        <w:t>further uptake</w:t>
      </w:r>
      <w:r w:rsidR="00164E15" w:rsidRPr="00F33E3C">
        <w:t xml:space="preserve"> of renewables and </w:t>
      </w:r>
      <w:r w:rsidR="00645C13">
        <w:t xml:space="preserve">adequate </w:t>
      </w:r>
      <w:r w:rsidR="00164E15" w:rsidRPr="00F33E3C">
        <w:t>investment</w:t>
      </w:r>
      <w:r w:rsidR="00645C13">
        <w:t xml:space="preserve"> in generation capacities</w:t>
      </w:r>
      <w:r w:rsidR="00AC2B85" w:rsidRPr="00F33E3C">
        <w:t>.</w:t>
      </w:r>
      <w:r w:rsidR="00164E15" w:rsidRPr="00F33E3C">
        <w:t xml:space="preserve"> He </w:t>
      </w:r>
      <w:r w:rsidR="00AC2B85" w:rsidRPr="00F33E3C">
        <w:t>presented</w:t>
      </w:r>
      <w:r w:rsidR="00164E15" w:rsidRPr="00F33E3C">
        <w:t xml:space="preserve"> some of the </w:t>
      </w:r>
      <w:r w:rsidR="00645C13">
        <w:t>measures considered, including better</w:t>
      </w:r>
      <w:r w:rsidR="00612CD7" w:rsidRPr="00F33E3C">
        <w:t xml:space="preserve"> harmonisation of the balancing market</w:t>
      </w:r>
      <w:r w:rsidR="00AC2B85" w:rsidRPr="00F33E3C">
        <w:t>s</w:t>
      </w:r>
      <w:r w:rsidR="00645C13">
        <w:t xml:space="preserve"> </w:t>
      </w:r>
      <w:r w:rsidR="00BA34A5" w:rsidRPr="00F33E3C">
        <w:t>and</w:t>
      </w:r>
      <w:r w:rsidR="00612CD7" w:rsidRPr="00F33E3C">
        <w:t xml:space="preserve"> the </w:t>
      </w:r>
      <w:r w:rsidR="00645C13">
        <w:t>definition of pricing zones</w:t>
      </w:r>
      <w:r w:rsidR="00612CD7" w:rsidRPr="00F33E3C">
        <w:t xml:space="preserve">. </w:t>
      </w:r>
    </w:p>
    <w:p w:rsidR="00152E55" w:rsidRPr="00F33E3C" w:rsidRDefault="00152E55" w:rsidP="00D16599"/>
    <w:p w:rsidR="00FA2D8F" w:rsidRDefault="00612CD7" w:rsidP="00612CD7">
      <w:r w:rsidRPr="00F33E3C">
        <w:t xml:space="preserve">In the subsequent discussion, </w:t>
      </w:r>
      <w:r w:rsidRPr="00F33E3C">
        <w:rPr>
          <w:b/>
        </w:rPr>
        <w:t xml:space="preserve">Sébastien Doligé </w:t>
      </w:r>
      <w:r w:rsidR="00F4084B" w:rsidRPr="00F33E3C">
        <w:rPr>
          <w:b/>
        </w:rPr>
        <w:t>(</w:t>
      </w:r>
      <w:r w:rsidR="00AC2B85" w:rsidRPr="00F33E3C">
        <w:rPr>
          <w:b/>
        </w:rPr>
        <w:t>Eurelectric</w:t>
      </w:r>
      <w:r w:rsidR="00F4084B" w:rsidRPr="00F33E3C">
        <w:rPr>
          <w:b/>
        </w:rPr>
        <w:t>)</w:t>
      </w:r>
      <w:r w:rsidR="00001CEE" w:rsidRPr="00F33E3C">
        <w:rPr>
          <w:b/>
        </w:rPr>
        <w:t xml:space="preserve"> </w:t>
      </w:r>
      <w:r w:rsidR="00001CEE" w:rsidRPr="00F33E3C">
        <w:t xml:space="preserve">welcomed the presentation from </w:t>
      </w:r>
      <w:r w:rsidR="00AC2B85" w:rsidRPr="00F33E3C">
        <w:rPr>
          <w:b/>
        </w:rPr>
        <w:t>Mr van Haasteren (DG ENER)</w:t>
      </w:r>
      <w:r w:rsidR="00AC2B85" w:rsidRPr="00F33E3C">
        <w:t xml:space="preserve"> </w:t>
      </w:r>
      <w:r w:rsidR="00001CEE" w:rsidRPr="00F33E3C">
        <w:t>and</w:t>
      </w:r>
      <w:r w:rsidR="00F4084B" w:rsidRPr="00F33E3C">
        <w:t xml:space="preserve"> </w:t>
      </w:r>
      <w:r w:rsidR="00001CEE" w:rsidRPr="00F33E3C">
        <w:t xml:space="preserve">stressed the importance of having the wholesale perspective in the </w:t>
      </w:r>
      <w:r w:rsidR="00AC2B85" w:rsidRPr="00F33E3C">
        <w:t xml:space="preserve">discussion of the </w:t>
      </w:r>
      <w:r w:rsidR="00001CEE" w:rsidRPr="00F33E3C">
        <w:t>working group</w:t>
      </w:r>
      <w:r w:rsidR="00B83C28">
        <w:t xml:space="preserve"> on retail markets</w:t>
      </w:r>
      <w:r w:rsidR="00001CEE" w:rsidRPr="00F33E3C">
        <w:t xml:space="preserve">. He </w:t>
      </w:r>
      <w:r w:rsidR="00BA34A5" w:rsidRPr="00F33E3C">
        <w:t xml:space="preserve">opined that </w:t>
      </w:r>
      <w:r w:rsidR="00F4084B" w:rsidRPr="00F33E3C">
        <w:t xml:space="preserve">the </w:t>
      </w:r>
      <w:r w:rsidR="00001CEE" w:rsidRPr="00F33E3C">
        <w:t xml:space="preserve">wedge between wholesale and retail energy prices </w:t>
      </w:r>
      <w:r w:rsidR="00FA2D8F">
        <w:t>was</w:t>
      </w:r>
      <w:r w:rsidR="00BA34A5" w:rsidRPr="00F33E3C">
        <w:t xml:space="preserve"> </w:t>
      </w:r>
      <w:r w:rsidR="00AC2B85" w:rsidRPr="00F33E3C">
        <w:t>partly</w:t>
      </w:r>
      <w:r w:rsidR="00BA34A5" w:rsidRPr="00F33E3C">
        <w:t xml:space="preserve"> </w:t>
      </w:r>
      <w:r w:rsidR="00645C13">
        <w:t>the</w:t>
      </w:r>
      <w:r w:rsidR="00001CEE" w:rsidRPr="00F33E3C">
        <w:t xml:space="preserve"> result of </w:t>
      </w:r>
      <w:r w:rsidRPr="00F33E3C">
        <w:t xml:space="preserve">increasing taxes and levies </w:t>
      </w:r>
      <w:r w:rsidR="00645C13">
        <w:t>i</w:t>
      </w:r>
      <w:r w:rsidR="00645C13" w:rsidRPr="00F33E3C">
        <w:t xml:space="preserve">n </w:t>
      </w:r>
      <w:r w:rsidRPr="00F33E3C">
        <w:t>household's energy bills</w:t>
      </w:r>
      <w:r w:rsidRPr="003D2075">
        <w:t xml:space="preserve">. </w:t>
      </w:r>
      <w:r w:rsidR="001917C8" w:rsidRPr="003D2075">
        <w:rPr>
          <w:b/>
        </w:rPr>
        <w:t>Niels</w:t>
      </w:r>
      <w:r w:rsidR="00CF763E" w:rsidRPr="003D2075">
        <w:rPr>
          <w:b/>
        </w:rPr>
        <w:t xml:space="preserve"> Ladefoged</w:t>
      </w:r>
      <w:r w:rsidR="00F33E3C" w:rsidRPr="003D2075">
        <w:rPr>
          <w:b/>
        </w:rPr>
        <w:t xml:space="preserve"> (DG ENER)</w:t>
      </w:r>
      <w:r w:rsidR="00CF763E" w:rsidRPr="003D2075">
        <w:t xml:space="preserve"> </w:t>
      </w:r>
      <w:r w:rsidR="00E60201" w:rsidRPr="003D2075">
        <w:t xml:space="preserve">agreed but added that the impact of taxes on energy bills can also be helpful for the transition from energy commodity to energy service markets since charges and taxes can reinforce the incentive for investments which are otherwise not undertaken because of various (behavioural) barriers, and recalled that the Commission in general is in favour of shifting the burden of taxation from labour to consumption. </w:t>
      </w:r>
      <w:r w:rsidR="00E60201" w:rsidRPr="003D2075">
        <w:rPr>
          <w:b/>
        </w:rPr>
        <w:t>H</w:t>
      </w:r>
      <w:r w:rsidR="00612A3D" w:rsidRPr="003D2075">
        <w:rPr>
          <w:b/>
        </w:rPr>
        <w:t>eidi</w:t>
      </w:r>
      <w:r w:rsidR="00612A3D" w:rsidRPr="00F33E3C">
        <w:rPr>
          <w:b/>
        </w:rPr>
        <w:t xml:space="preserve"> Ranscom</w:t>
      </w:r>
      <w:r w:rsidR="00671924" w:rsidRPr="00F33E3C">
        <w:rPr>
          <w:b/>
        </w:rPr>
        <w:t xml:space="preserve">be (Citizens Advice) </w:t>
      </w:r>
      <w:r w:rsidR="00001CEE" w:rsidRPr="00F33E3C">
        <w:t xml:space="preserve">asked about the possible impact </w:t>
      </w:r>
      <w:r w:rsidR="00BA34A5" w:rsidRPr="00F33E3C">
        <w:t>of the changes in balancing rules on</w:t>
      </w:r>
      <w:r w:rsidR="00001CEE" w:rsidRPr="00F33E3C">
        <w:t xml:space="preserve"> </w:t>
      </w:r>
      <w:r w:rsidR="00061EAC" w:rsidRPr="00F33E3C">
        <w:t>retail prices</w:t>
      </w:r>
      <w:r w:rsidR="00001CEE" w:rsidRPr="00F33E3C">
        <w:t xml:space="preserve">. </w:t>
      </w:r>
      <w:r w:rsidR="00AC2B85" w:rsidRPr="00F33E3C">
        <w:rPr>
          <w:b/>
        </w:rPr>
        <w:t>Mr van Haasteren (DG ENER)</w:t>
      </w:r>
      <w:r w:rsidR="00AC2B85" w:rsidRPr="00F33E3C">
        <w:t xml:space="preserve"> </w:t>
      </w:r>
      <w:r w:rsidR="00001CEE" w:rsidRPr="00F33E3C">
        <w:t>insisted that harmonisation o</w:t>
      </w:r>
      <w:r w:rsidR="00AC2B85" w:rsidRPr="00F33E3C">
        <w:t>f</w:t>
      </w:r>
      <w:r w:rsidR="00001CEE" w:rsidRPr="00F33E3C">
        <w:t xml:space="preserve"> electricity trading </w:t>
      </w:r>
      <w:r w:rsidR="00D665C0" w:rsidRPr="00F33E3C">
        <w:t xml:space="preserve">within the wholesale market </w:t>
      </w:r>
      <w:r w:rsidR="00001CEE" w:rsidRPr="00F33E3C">
        <w:t xml:space="preserve">will not </w:t>
      </w:r>
      <w:r w:rsidR="00AC2B85" w:rsidRPr="00F33E3C">
        <w:t xml:space="preserve">necessarily </w:t>
      </w:r>
      <w:r w:rsidR="00001CEE" w:rsidRPr="00F33E3C">
        <w:t xml:space="preserve">bring more variability on </w:t>
      </w:r>
      <w:r w:rsidR="00AC2B85" w:rsidRPr="00F33E3C">
        <w:t xml:space="preserve">the </w:t>
      </w:r>
      <w:r w:rsidR="00A23873" w:rsidRPr="00F33E3C">
        <w:t xml:space="preserve">retail </w:t>
      </w:r>
      <w:r w:rsidR="00001CEE" w:rsidRPr="00F33E3C">
        <w:t>price</w:t>
      </w:r>
      <w:r w:rsidR="00AC2B85" w:rsidRPr="00F33E3C">
        <w:t>s</w:t>
      </w:r>
      <w:r w:rsidR="00001CEE" w:rsidRPr="00F33E3C">
        <w:t xml:space="preserve"> </w:t>
      </w:r>
      <w:r w:rsidR="00D665C0" w:rsidRPr="00F33E3C">
        <w:t xml:space="preserve">paid by </w:t>
      </w:r>
      <w:r w:rsidR="00A23873" w:rsidRPr="00F33E3C">
        <w:t xml:space="preserve">final </w:t>
      </w:r>
      <w:r w:rsidR="00001CEE" w:rsidRPr="00F33E3C">
        <w:t>consumers</w:t>
      </w:r>
      <w:r w:rsidR="00D665C0" w:rsidRPr="00F33E3C">
        <w:t>.</w:t>
      </w:r>
      <w:r w:rsidR="00001CEE" w:rsidRPr="00F33E3C">
        <w:t xml:space="preserve"> </w:t>
      </w:r>
      <w:r w:rsidR="00645C13">
        <w:t>O</w:t>
      </w:r>
      <w:r w:rsidR="00645C13" w:rsidRPr="00F33E3C">
        <w:t xml:space="preserve">n </w:t>
      </w:r>
      <w:r w:rsidR="00D665C0" w:rsidRPr="00F33E3C">
        <w:t xml:space="preserve">this final point, </w:t>
      </w:r>
      <w:r w:rsidR="00D665C0" w:rsidRPr="00F33E3C">
        <w:rPr>
          <w:b/>
        </w:rPr>
        <w:t>the Chair (Jan Panek)</w:t>
      </w:r>
      <w:r w:rsidR="00D665C0" w:rsidRPr="00F33E3C">
        <w:t xml:space="preserve"> </w:t>
      </w:r>
      <w:r w:rsidR="00645C13">
        <w:t>recalled</w:t>
      </w:r>
      <w:r w:rsidR="00645C13" w:rsidRPr="00F33E3C">
        <w:t xml:space="preserve"> </w:t>
      </w:r>
      <w:r w:rsidR="00CA5FD7" w:rsidRPr="00F33E3C">
        <w:t>the importance of choice</w:t>
      </w:r>
      <w:r w:rsidR="00645C13">
        <w:t xml:space="preserve"> for consumers so that o</w:t>
      </w:r>
      <w:r w:rsidR="00CA5FD7" w:rsidRPr="00F33E3C">
        <w:t xml:space="preserve">pening the link between wholesale and retail </w:t>
      </w:r>
      <w:r w:rsidR="00AC2B85" w:rsidRPr="00F33E3C">
        <w:t xml:space="preserve">energy markets </w:t>
      </w:r>
      <w:r w:rsidR="00CA5FD7" w:rsidRPr="00F33E3C">
        <w:t>enable</w:t>
      </w:r>
      <w:r w:rsidR="00645C13">
        <w:t>s</w:t>
      </w:r>
      <w:r w:rsidR="00CA5FD7" w:rsidRPr="00F33E3C">
        <w:t xml:space="preserve"> consumers to choose new </w:t>
      </w:r>
      <w:r w:rsidR="00BA34A5" w:rsidRPr="00F33E3C">
        <w:t xml:space="preserve">dynamically priced </w:t>
      </w:r>
      <w:r w:rsidR="00CA5FD7" w:rsidRPr="00F33E3C">
        <w:t>products</w:t>
      </w:r>
      <w:r w:rsidR="00BA34A5" w:rsidRPr="00F33E3C">
        <w:t xml:space="preserve"> (often cheaper than fixed contracts)</w:t>
      </w:r>
      <w:r w:rsidR="00645C13">
        <w:t>,</w:t>
      </w:r>
      <w:r w:rsidR="00BA34A5" w:rsidRPr="00F33E3C">
        <w:t xml:space="preserve"> exploiting the variations of price in the wholesale markets</w:t>
      </w:r>
      <w:r w:rsidR="00CA5FD7" w:rsidRPr="00F33E3C">
        <w:t xml:space="preserve">, while other consumers may prefer to continue with </w:t>
      </w:r>
      <w:r w:rsidR="00BA34A5" w:rsidRPr="00F33E3C">
        <w:t xml:space="preserve">fixed price </w:t>
      </w:r>
      <w:r w:rsidR="00CA5FD7" w:rsidRPr="00F33E3C">
        <w:t>tariff</w:t>
      </w:r>
      <w:r w:rsidR="00BA34A5" w:rsidRPr="00F33E3C">
        <w:t>s</w:t>
      </w:r>
      <w:r w:rsidR="00CA5FD7" w:rsidRPr="00F33E3C">
        <w:t xml:space="preserve">. </w:t>
      </w:r>
    </w:p>
    <w:p w:rsidR="00FA2D8F" w:rsidRDefault="00FA2D8F" w:rsidP="00612CD7">
      <w:pPr>
        <w:rPr>
          <w:b/>
        </w:rPr>
      </w:pPr>
    </w:p>
    <w:p w:rsidR="00671924" w:rsidRPr="00F33E3C" w:rsidRDefault="00E549F2" w:rsidP="00612CD7">
      <w:r w:rsidRPr="00F33E3C">
        <w:t xml:space="preserve">Clarity of offers and the responsibility of suppliers to better know their customers in order to propose the most appropriate contract were key issues according to </w:t>
      </w:r>
      <w:r w:rsidRPr="00F33E3C">
        <w:rPr>
          <w:b/>
        </w:rPr>
        <w:t>Cosmo Graham (University of Leicester)</w:t>
      </w:r>
      <w:r>
        <w:t xml:space="preserve">. </w:t>
      </w:r>
      <w:r w:rsidR="002936FB" w:rsidRPr="00F33E3C">
        <w:rPr>
          <w:b/>
        </w:rPr>
        <w:t>Paolo Landi</w:t>
      </w:r>
      <w:r w:rsidR="002936FB" w:rsidRPr="00F33E3C">
        <w:t xml:space="preserve"> </w:t>
      </w:r>
      <w:r w:rsidR="002936FB" w:rsidRPr="00F33E3C">
        <w:rPr>
          <w:b/>
        </w:rPr>
        <w:t>(</w:t>
      </w:r>
      <w:r w:rsidR="002610D5" w:rsidRPr="00F33E3C">
        <w:rPr>
          <w:b/>
        </w:rPr>
        <w:t>Fondazione Consumo Sostenibile</w:t>
      </w:r>
      <w:r w:rsidR="002936FB" w:rsidRPr="00F33E3C">
        <w:rPr>
          <w:b/>
        </w:rPr>
        <w:t>)</w:t>
      </w:r>
      <w:r w:rsidR="002936FB" w:rsidRPr="00F33E3C">
        <w:t xml:space="preserve"> confirmed that flexible price contacts were not the problem for consumers</w:t>
      </w:r>
      <w:r w:rsidR="00FA2D8F">
        <w:t xml:space="preserve">. However, he recalled that </w:t>
      </w:r>
      <w:r w:rsidR="002610D5" w:rsidRPr="00F33E3C">
        <w:t xml:space="preserve">not all </w:t>
      </w:r>
      <w:r w:rsidR="00FA2D8F">
        <w:t xml:space="preserve">European </w:t>
      </w:r>
      <w:r w:rsidR="002610D5" w:rsidRPr="00F33E3C">
        <w:t>citizens</w:t>
      </w:r>
      <w:r w:rsidR="009F7F8C" w:rsidRPr="00F33E3C">
        <w:t xml:space="preserve"> can rely on </w:t>
      </w:r>
      <w:r w:rsidR="002610D5" w:rsidRPr="00F33E3C">
        <w:t xml:space="preserve">the </w:t>
      </w:r>
      <w:r w:rsidR="009F7F8C" w:rsidRPr="00F33E3C">
        <w:t xml:space="preserve">social security </w:t>
      </w:r>
      <w:r w:rsidR="002610D5" w:rsidRPr="00F33E3C">
        <w:t xml:space="preserve">system </w:t>
      </w:r>
      <w:r w:rsidR="009F7F8C" w:rsidRPr="00F33E3C">
        <w:t xml:space="preserve">to </w:t>
      </w:r>
      <w:r w:rsidR="002610D5" w:rsidRPr="00F33E3C">
        <w:t>resolve</w:t>
      </w:r>
      <w:r w:rsidR="009F7F8C" w:rsidRPr="00F33E3C">
        <w:t xml:space="preserve"> energy poverty. </w:t>
      </w:r>
      <w:r w:rsidR="000005EC" w:rsidRPr="00954B3C">
        <w:t xml:space="preserve">Linking energy poverty and dynamic tariffs, </w:t>
      </w:r>
      <w:r w:rsidR="000005EC" w:rsidRPr="00954B3C">
        <w:rPr>
          <w:b/>
        </w:rPr>
        <w:t xml:space="preserve">the Chair (Carina Törnblom) </w:t>
      </w:r>
      <w:r w:rsidR="000005EC" w:rsidRPr="00954B3C">
        <w:t>compared the protection offered by the social security system to market-driven solutions. While social services are interested in safety and in being able to plan spending ahead, markets should be able to offer types of products at costs set as low as possible or at least keep price flexibility but with a cap.</w:t>
      </w:r>
    </w:p>
    <w:p w:rsidR="00C459FE" w:rsidRDefault="00C459FE" w:rsidP="00612CD7">
      <w:pPr>
        <w:rPr>
          <w:i/>
        </w:rPr>
      </w:pPr>
    </w:p>
    <w:p w:rsidR="00460727" w:rsidRPr="00F33E3C" w:rsidRDefault="00E21101" w:rsidP="00E6026E">
      <w:pPr>
        <w:spacing w:after="120"/>
        <w:ind w:left="357" w:hanging="357"/>
        <w:rPr>
          <w:b/>
          <w:bCs/>
          <w:smallCaps/>
        </w:rPr>
      </w:pPr>
      <w:r w:rsidRPr="00F33E3C">
        <w:rPr>
          <w:b/>
          <w:bCs/>
        </w:rPr>
        <w:t>3. Increasing Transparency on Energy Poverty</w:t>
      </w:r>
    </w:p>
    <w:p w:rsidR="006F0F3F" w:rsidRPr="00F33E3C" w:rsidRDefault="00EF37EE" w:rsidP="00D16599">
      <w:pPr>
        <w:pStyle w:val="ListParagraph"/>
        <w:numPr>
          <w:ilvl w:val="0"/>
          <w:numId w:val="32"/>
        </w:numPr>
        <w:ind w:left="714" w:hanging="357"/>
      </w:pPr>
      <w:r w:rsidRPr="00F33E3C">
        <w:t xml:space="preserve">Presentation of </w:t>
      </w:r>
      <w:r w:rsidR="00E21101" w:rsidRPr="00F33E3C">
        <w:t xml:space="preserve">the </w:t>
      </w:r>
      <w:r w:rsidR="00CD72E0" w:rsidRPr="00F33E3C">
        <w:t>findings</w:t>
      </w:r>
      <w:r w:rsidR="00E21101" w:rsidRPr="00F33E3C">
        <w:t xml:space="preserve"> of </w:t>
      </w:r>
      <w:r w:rsidR="00CD72E0" w:rsidRPr="00F33E3C">
        <w:t xml:space="preserve">"the </w:t>
      </w:r>
      <w:r w:rsidR="00E21101" w:rsidRPr="00F33E3C">
        <w:t>affordability of utilities' services</w:t>
      </w:r>
      <w:r w:rsidRPr="00F33E3C">
        <w:t>:</w:t>
      </w:r>
      <w:r w:rsidR="00E21101" w:rsidRPr="00F33E3C">
        <w:t xml:space="preserve"> extent, practise, policy</w:t>
      </w:r>
      <w:r w:rsidR="00CD72E0" w:rsidRPr="00F33E3C">
        <w:t>"</w:t>
      </w:r>
      <w:r w:rsidRPr="00F33E3C">
        <w:t xml:space="preserve"> </w:t>
      </w:r>
      <w:r w:rsidR="00E21101" w:rsidRPr="00F33E3C">
        <w:t xml:space="preserve">from </w:t>
      </w:r>
      <w:r w:rsidR="006F0F3F" w:rsidRPr="00F33E3C">
        <w:t>CE</w:t>
      </w:r>
      <w:r w:rsidR="00E21101" w:rsidRPr="00F33E3C">
        <w:t>R</w:t>
      </w:r>
      <w:r w:rsidR="006F0F3F" w:rsidRPr="00F33E3C">
        <w:t>R</w:t>
      </w:r>
      <w:r w:rsidR="00E21101" w:rsidRPr="00F33E3C">
        <w:t>E</w:t>
      </w:r>
      <w:r w:rsidR="006F0F3F" w:rsidRPr="00F33E3C">
        <w:t xml:space="preserve"> </w:t>
      </w:r>
    </w:p>
    <w:p w:rsidR="00EF37EE" w:rsidRPr="00F33E3C" w:rsidRDefault="00EF37EE" w:rsidP="00D16599">
      <w:pPr>
        <w:rPr>
          <w:sz w:val="16"/>
          <w:szCs w:val="16"/>
        </w:rPr>
      </w:pPr>
    </w:p>
    <w:p w:rsidR="006F0F3F" w:rsidRPr="00F33E3C" w:rsidRDefault="00EF37EE" w:rsidP="00D16599">
      <w:pPr>
        <w:pStyle w:val="ListParagraph"/>
        <w:numPr>
          <w:ilvl w:val="0"/>
          <w:numId w:val="32"/>
        </w:numPr>
        <w:ind w:left="714" w:hanging="357"/>
      </w:pPr>
      <w:r w:rsidRPr="00F33E3C">
        <w:t xml:space="preserve">Presentation of </w:t>
      </w:r>
      <w:r w:rsidR="00E21101" w:rsidRPr="00F33E3C">
        <w:t>a</w:t>
      </w:r>
      <w:r w:rsidR="00CA2EEF" w:rsidRPr="00F33E3C">
        <w:t>n</w:t>
      </w:r>
      <w:r w:rsidR="00E21101" w:rsidRPr="00F33E3C">
        <w:t xml:space="preserve"> outline of the working plan and methodology for the </w:t>
      </w:r>
      <w:r w:rsidRPr="00F33E3C">
        <w:t>"</w:t>
      </w:r>
      <w:r w:rsidR="00E21101" w:rsidRPr="00F33E3C">
        <w:t>selecting indicators to measure energy poverty"</w:t>
      </w:r>
      <w:r w:rsidRPr="00F33E3C">
        <w:t>:</w:t>
      </w:r>
      <w:r w:rsidR="00E21101" w:rsidRPr="00F33E3C">
        <w:t xml:space="preserve"> Trinomics </w:t>
      </w:r>
    </w:p>
    <w:p w:rsidR="00D74088" w:rsidRPr="00F33E3C" w:rsidRDefault="00D74088" w:rsidP="00D16599">
      <w:pPr>
        <w:ind w:left="357" w:hanging="357"/>
        <w:rPr>
          <w:b/>
          <w:bCs/>
          <w:smallCaps/>
        </w:rPr>
      </w:pPr>
    </w:p>
    <w:p w:rsidR="006D7178" w:rsidRPr="00F33E3C" w:rsidRDefault="00265E0A" w:rsidP="00D16599">
      <w:pPr>
        <w:rPr>
          <w:spacing w:val="-4"/>
        </w:rPr>
      </w:pPr>
      <w:r w:rsidRPr="00F33E3C">
        <w:rPr>
          <w:b/>
          <w:spacing w:val="-4"/>
        </w:rPr>
        <w:t>David Deller</w:t>
      </w:r>
      <w:r w:rsidR="00D74088" w:rsidRPr="00F33E3C">
        <w:rPr>
          <w:b/>
          <w:spacing w:val="-4"/>
        </w:rPr>
        <w:t xml:space="preserve"> (</w:t>
      </w:r>
      <w:r w:rsidRPr="00F33E3C">
        <w:rPr>
          <w:b/>
          <w:spacing w:val="-4"/>
        </w:rPr>
        <w:t xml:space="preserve">University of </w:t>
      </w:r>
      <w:r w:rsidR="00CA2EEF" w:rsidRPr="00F33E3C">
        <w:rPr>
          <w:b/>
          <w:spacing w:val="-4"/>
        </w:rPr>
        <w:t>East</w:t>
      </w:r>
      <w:r w:rsidRPr="00F33E3C">
        <w:rPr>
          <w:b/>
          <w:spacing w:val="-4"/>
        </w:rPr>
        <w:t xml:space="preserve"> Anglia</w:t>
      </w:r>
      <w:r w:rsidR="00D74088" w:rsidRPr="00F33E3C">
        <w:rPr>
          <w:b/>
          <w:spacing w:val="-4"/>
        </w:rPr>
        <w:t xml:space="preserve">) </w:t>
      </w:r>
      <w:r w:rsidR="00CA5FD7" w:rsidRPr="00F33E3C">
        <w:rPr>
          <w:spacing w:val="-4"/>
        </w:rPr>
        <w:t xml:space="preserve">presented </w:t>
      </w:r>
      <w:r w:rsidR="00CD0CAC" w:rsidRPr="00F33E3C">
        <w:rPr>
          <w:spacing w:val="-4"/>
        </w:rPr>
        <w:t>a report co-authored with Catherine Waddams</w:t>
      </w:r>
      <w:r w:rsidR="00CD0CAC" w:rsidRPr="00F33E3C">
        <w:rPr>
          <w:rStyle w:val="FootnoteReference"/>
          <w:spacing w:val="-4"/>
        </w:rPr>
        <w:footnoteReference w:id="1"/>
      </w:r>
      <w:r w:rsidR="00CD0CAC" w:rsidRPr="00F33E3C">
        <w:rPr>
          <w:spacing w:val="-4"/>
        </w:rPr>
        <w:t xml:space="preserve">. He presented the main findings of the report including the differences in </w:t>
      </w:r>
      <w:r w:rsidR="00A23873" w:rsidRPr="00F33E3C">
        <w:rPr>
          <w:spacing w:val="-4"/>
        </w:rPr>
        <w:t xml:space="preserve">the </w:t>
      </w:r>
      <w:r w:rsidR="00CD0CAC" w:rsidRPr="00F33E3C">
        <w:rPr>
          <w:spacing w:val="-4"/>
        </w:rPr>
        <w:t xml:space="preserve">affordability of domestic energy services across Member States, household types and across the income distribution. </w:t>
      </w:r>
      <w:r w:rsidR="00CC638E">
        <w:rPr>
          <w:spacing w:val="-4"/>
        </w:rPr>
        <w:t>The</w:t>
      </w:r>
      <w:r w:rsidR="00CC638E" w:rsidRPr="00F33E3C">
        <w:rPr>
          <w:spacing w:val="-4"/>
        </w:rPr>
        <w:t xml:space="preserve"> </w:t>
      </w:r>
      <w:r w:rsidR="00CD0CAC" w:rsidRPr="00F33E3C">
        <w:rPr>
          <w:spacing w:val="-4"/>
        </w:rPr>
        <w:t xml:space="preserve">research found that </w:t>
      </w:r>
      <w:r w:rsidR="009F7F8C" w:rsidRPr="00F33E3C">
        <w:rPr>
          <w:spacing w:val="-4"/>
        </w:rPr>
        <w:t xml:space="preserve">the relative increase of energy expenditure and the </w:t>
      </w:r>
      <w:r w:rsidR="00CD0CAC" w:rsidRPr="00F33E3C">
        <w:rPr>
          <w:spacing w:val="-4"/>
        </w:rPr>
        <w:t>lack of affordability</w:t>
      </w:r>
      <w:r w:rsidR="001917C8">
        <w:rPr>
          <w:spacing w:val="-4"/>
        </w:rPr>
        <w:t xml:space="preserve"> faced by</w:t>
      </w:r>
      <w:r w:rsidR="001917C8" w:rsidRPr="00F33E3C">
        <w:rPr>
          <w:spacing w:val="-4"/>
        </w:rPr>
        <w:t xml:space="preserve"> lower income groups </w:t>
      </w:r>
      <w:r w:rsidR="00061EAC" w:rsidRPr="00F33E3C">
        <w:rPr>
          <w:spacing w:val="-4"/>
        </w:rPr>
        <w:t>were</w:t>
      </w:r>
      <w:r w:rsidR="00CD0CAC" w:rsidRPr="00F33E3C">
        <w:rPr>
          <w:spacing w:val="-4"/>
        </w:rPr>
        <w:t xml:space="preserve"> more acute </w:t>
      </w:r>
      <w:r w:rsidR="00CC638E">
        <w:rPr>
          <w:spacing w:val="-4"/>
        </w:rPr>
        <w:t>i</w:t>
      </w:r>
      <w:r w:rsidR="00CC638E" w:rsidRPr="00F33E3C">
        <w:rPr>
          <w:spacing w:val="-4"/>
        </w:rPr>
        <w:t xml:space="preserve">n energy </w:t>
      </w:r>
      <w:r w:rsidR="00CD0CAC" w:rsidRPr="00F33E3C">
        <w:rPr>
          <w:spacing w:val="-4"/>
        </w:rPr>
        <w:t>than for other type of utility services</w:t>
      </w:r>
      <w:r w:rsidR="00281B83" w:rsidRPr="00F33E3C">
        <w:rPr>
          <w:spacing w:val="-4"/>
        </w:rPr>
        <w:t xml:space="preserve"> and therefore merits specific attention</w:t>
      </w:r>
      <w:r w:rsidR="00CD0CAC" w:rsidRPr="00F33E3C">
        <w:rPr>
          <w:spacing w:val="-4"/>
        </w:rPr>
        <w:t xml:space="preserve">. </w:t>
      </w:r>
      <w:r w:rsidR="009F7F8C" w:rsidRPr="00F33E3C">
        <w:rPr>
          <w:spacing w:val="-4"/>
        </w:rPr>
        <w:t>Further</w:t>
      </w:r>
      <w:r w:rsidR="001917C8">
        <w:rPr>
          <w:spacing w:val="-4"/>
        </w:rPr>
        <w:t>more</w:t>
      </w:r>
      <w:r w:rsidR="009F7F8C" w:rsidRPr="00F33E3C">
        <w:rPr>
          <w:spacing w:val="-4"/>
        </w:rPr>
        <w:t xml:space="preserve">, the correlation between perceptions (EU SILC data) and real expenditure on energy was not </w:t>
      </w:r>
      <w:r w:rsidR="00061EAC" w:rsidRPr="00F33E3C">
        <w:rPr>
          <w:spacing w:val="-4"/>
        </w:rPr>
        <w:t>significant</w:t>
      </w:r>
      <w:r w:rsidR="009F7F8C" w:rsidRPr="00F33E3C">
        <w:rPr>
          <w:spacing w:val="-4"/>
        </w:rPr>
        <w:t xml:space="preserve">. Therefore, </w:t>
      </w:r>
      <w:r w:rsidR="00AC2B85" w:rsidRPr="00F33E3C">
        <w:rPr>
          <w:b/>
          <w:spacing w:val="-4"/>
        </w:rPr>
        <w:t xml:space="preserve">Mr Deller </w:t>
      </w:r>
      <w:r w:rsidR="00CD0CAC" w:rsidRPr="00F33E3C">
        <w:rPr>
          <w:spacing w:val="-4"/>
        </w:rPr>
        <w:t>also insisted on the importance of distributional consideration</w:t>
      </w:r>
      <w:r w:rsidR="009F7F8C" w:rsidRPr="00F33E3C">
        <w:rPr>
          <w:spacing w:val="-4"/>
        </w:rPr>
        <w:t xml:space="preserve"> and further work</w:t>
      </w:r>
      <w:r w:rsidR="00CD0CAC" w:rsidRPr="00F33E3C">
        <w:rPr>
          <w:spacing w:val="-4"/>
        </w:rPr>
        <w:t xml:space="preserve"> when assessing the metric</w:t>
      </w:r>
      <w:r w:rsidR="00AC2B85" w:rsidRPr="00F33E3C">
        <w:rPr>
          <w:spacing w:val="-4"/>
        </w:rPr>
        <w:t>s</w:t>
      </w:r>
      <w:r w:rsidR="00CD0CAC" w:rsidRPr="00F33E3C">
        <w:rPr>
          <w:spacing w:val="-4"/>
        </w:rPr>
        <w:t xml:space="preserve"> </w:t>
      </w:r>
      <w:r w:rsidR="00AC2B85" w:rsidRPr="00F33E3C">
        <w:rPr>
          <w:spacing w:val="-4"/>
        </w:rPr>
        <w:t xml:space="preserve">and </w:t>
      </w:r>
      <w:r w:rsidR="00CD0CAC" w:rsidRPr="00F33E3C">
        <w:rPr>
          <w:spacing w:val="-4"/>
        </w:rPr>
        <w:t>design</w:t>
      </w:r>
      <w:r w:rsidR="00AC2B85" w:rsidRPr="00F33E3C">
        <w:rPr>
          <w:spacing w:val="-4"/>
        </w:rPr>
        <w:t>ing</w:t>
      </w:r>
      <w:r w:rsidR="00CD0CAC" w:rsidRPr="00F33E3C">
        <w:rPr>
          <w:spacing w:val="-4"/>
        </w:rPr>
        <w:t xml:space="preserve"> the policies</w:t>
      </w:r>
      <w:r w:rsidR="00AC2B85" w:rsidRPr="00F33E3C">
        <w:rPr>
          <w:spacing w:val="-4"/>
        </w:rPr>
        <w:t xml:space="preserve"> to measure and tackle energy poverty</w:t>
      </w:r>
      <w:r w:rsidR="005F6B0E" w:rsidRPr="00F33E3C">
        <w:rPr>
          <w:spacing w:val="-4"/>
        </w:rPr>
        <w:t xml:space="preserve">. </w:t>
      </w:r>
    </w:p>
    <w:p w:rsidR="006D7178" w:rsidRPr="00F33E3C" w:rsidRDefault="006D7178" w:rsidP="00E95B51">
      <w:pPr>
        <w:rPr>
          <w:spacing w:val="-4"/>
        </w:rPr>
      </w:pPr>
    </w:p>
    <w:p w:rsidR="00576425" w:rsidRPr="00F33E3C" w:rsidRDefault="00265E0A" w:rsidP="00D16599">
      <w:pPr>
        <w:rPr>
          <w:spacing w:val="-4"/>
        </w:rPr>
      </w:pPr>
      <w:r w:rsidRPr="00F33E3C">
        <w:rPr>
          <w:b/>
          <w:spacing w:val="-4"/>
        </w:rPr>
        <w:t>Jessica Yearwood</w:t>
      </w:r>
      <w:r w:rsidR="00D74088" w:rsidRPr="00F33E3C">
        <w:rPr>
          <w:b/>
          <w:spacing w:val="-4"/>
        </w:rPr>
        <w:t xml:space="preserve"> (</w:t>
      </w:r>
      <w:r w:rsidRPr="00F33E3C">
        <w:rPr>
          <w:b/>
          <w:spacing w:val="-4"/>
        </w:rPr>
        <w:t>Trinomics</w:t>
      </w:r>
      <w:r w:rsidR="00D74088" w:rsidRPr="00F33E3C">
        <w:rPr>
          <w:b/>
          <w:spacing w:val="-4"/>
        </w:rPr>
        <w:t xml:space="preserve">) </w:t>
      </w:r>
      <w:r w:rsidR="005F6B0E" w:rsidRPr="00F33E3C">
        <w:rPr>
          <w:spacing w:val="-4"/>
        </w:rPr>
        <w:t xml:space="preserve">presented the work plan for the </w:t>
      </w:r>
      <w:r w:rsidR="00CC638E">
        <w:rPr>
          <w:spacing w:val="-4"/>
        </w:rPr>
        <w:t>project</w:t>
      </w:r>
      <w:r w:rsidR="00CC638E" w:rsidRPr="00F33E3C">
        <w:rPr>
          <w:spacing w:val="-4"/>
        </w:rPr>
        <w:t xml:space="preserve"> </w:t>
      </w:r>
      <w:r w:rsidR="005F6B0E" w:rsidRPr="00F33E3C">
        <w:rPr>
          <w:i/>
          <w:spacing w:val="-4"/>
        </w:rPr>
        <w:t>'</w:t>
      </w:r>
      <w:r w:rsidR="00AC2B85" w:rsidRPr="00F33E3C">
        <w:rPr>
          <w:i/>
          <w:spacing w:val="-4"/>
        </w:rPr>
        <w:t>S</w:t>
      </w:r>
      <w:r w:rsidR="005F6B0E" w:rsidRPr="00F33E3C">
        <w:rPr>
          <w:i/>
          <w:spacing w:val="-4"/>
        </w:rPr>
        <w:t>electing indicators to measure energy poverty'</w:t>
      </w:r>
      <w:r w:rsidR="00CC638E">
        <w:rPr>
          <w:spacing w:val="-4"/>
        </w:rPr>
        <w:t xml:space="preserve"> launched by DG ENER</w:t>
      </w:r>
      <w:r w:rsidR="005F6B0E" w:rsidRPr="00F33E3C">
        <w:rPr>
          <w:spacing w:val="-4"/>
        </w:rPr>
        <w:t xml:space="preserve">. </w:t>
      </w:r>
      <w:r w:rsidR="00281B83" w:rsidRPr="00F33E3C">
        <w:rPr>
          <w:spacing w:val="-4"/>
        </w:rPr>
        <w:t>S</w:t>
      </w:r>
      <w:r w:rsidR="005F6B0E" w:rsidRPr="00F33E3C">
        <w:rPr>
          <w:spacing w:val="-4"/>
        </w:rPr>
        <w:t xml:space="preserve">he summarised the methodology that will be </w:t>
      </w:r>
      <w:r w:rsidR="00AC2B85" w:rsidRPr="00F33E3C">
        <w:rPr>
          <w:spacing w:val="-4"/>
        </w:rPr>
        <w:t>followed</w:t>
      </w:r>
      <w:r w:rsidR="005F6B0E" w:rsidRPr="00F33E3C">
        <w:rPr>
          <w:spacing w:val="-4"/>
        </w:rPr>
        <w:t xml:space="preserve"> to select a set of indicators to measure, compare and monitor the level of energy poverty </w:t>
      </w:r>
      <w:r w:rsidR="00AC2B85" w:rsidRPr="00F33E3C">
        <w:rPr>
          <w:spacing w:val="-4"/>
        </w:rPr>
        <w:t xml:space="preserve">across the EU </w:t>
      </w:r>
      <w:r w:rsidR="005F6B0E" w:rsidRPr="00F33E3C">
        <w:rPr>
          <w:spacing w:val="-4"/>
        </w:rPr>
        <w:t xml:space="preserve">and the impact of </w:t>
      </w:r>
      <w:r w:rsidR="00AC2B85" w:rsidRPr="00F33E3C">
        <w:rPr>
          <w:spacing w:val="-4"/>
        </w:rPr>
        <w:t>Member States policies to tackle energy poverty</w:t>
      </w:r>
      <w:r w:rsidR="005F6B0E" w:rsidRPr="00F33E3C">
        <w:rPr>
          <w:spacing w:val="-4"/>
        </w:rPr>
        <w:t xml:space="preserve">. </w:t>
      </w:r>
    </w:p>
    <w:p w:rsidR="00E95B51" w:rsidRPr="00F33E3C" w:rsidRDefault="00E95B51" w:rsidP="00D16599">
      <w:pPr>
        <w:rPr>
          <w:spacing w:val="-4"/>
        </w:rPr>
      </w:pPr>
    </w:p>
    <w:p w:rsidR="002D69A2" w:rsidRPr="00F33E3C" w:rsidRDefault="005F6B0E" w:rsidP="00AC2B85">
      <w:pPr>
        <w:rPr>
          <w:spacing w:val="-4"/>
        </w:rPr>
      </w:pPr>
      <w:r w:rsidRPr="00F33E3C">
        <w:rPr>
          <w:spacing w:val="-4"/>
        </w:rPr>
        <w:t xml:space="preserve">In the subsequent discussion, </w:t>
      </w:r>
      <w:r w:rsidR="00AC2B85" w:rsidRPr="00F33E3C">
        <w:rPr>
          <w:b/>
          <w:spacing w:val="-4"/>
        </w:rPr>
        <w:t>Mr Deller (University of East Anglia)</w:t>
      </w:r>
      <w:r w:rsidR="009D309D" w:rsidRPr="00F33E3C">
        <w:rPr>
          <w:spacing w:val="-4"/>
        </w:rPr>
        <w:t xml:space="preserve"> </w:t>
      </w:r>
      <w:r w:rsidRPr="00F33E3C">
        <w:rPr>
          <w:spacing w:val="-4"/>
        </w:rPr>
        <w:t xml:space="preserve">recalled the distinction between indicators that measure the level of energy poverty and indicators that measure the impact of policies. </w:t>
      </w:r>
      <w:r w:rsidRPr="007C1998">
        <w:rPr>
          <w:spacing w:val="-4"/>
        </w:rPr>
        <w:t xml:space="preserve">Various members of the group agreed on the importance </w:t>
      </w:r>
      <w:r w:rsidR="007C1998" w:rsidRPr="00436BE8">
        <w:rPr>
          <w:spacing w:val="-4"/>
        </w:rPr>
        <w:t xml:space="preserve">of </w:t>
      </w:r>
      <w:r w:rsidRPr="007C1998">
        <w:rPr>
          <w:spacing w:val="-4"/>
        </w:rPr>
        <w:t>target</w:t>
      </w:r>
      <w:r w:rsidR="007C1998" w:rsidRPr="00436BE8">
        <w:rPr>
          <w:spacing w:val="-4"/>
        </w:rPr>
        <w:t>ed</w:t>
      </w:r>
      <w:r w:rsidRPr="007C1998">
        <w:rPr>
          <w:spacing w:val="-4"/>
        </w:rPr>
        <w:t xml:space="preserve"> investment in energy efficiency </w:t>
      </w:r>
      <w:r w:rsidR="00AC2B85" w:rsidRPr="00436BE8">
        <w:rPr>
          <w:spacing w:val="-4"/>
        </w:rPr>
        <w:t>in</w:t>
      </w:r>
      <w:r w:rsidRPr="00436BE8">
        <w:rPr>
          <w:spacing w:val="-4"/>
        </w:rPr>
        <w:t>to the most deprived areas</w:t>
      </w:r>
      <w:r w:rsidR="00CC638E" w:rsidRPr="00436BE8">
        <w:rPr>
          <w:spacing w:val="-4"/>
        </w:rPr>
        <w:t>,</w:t>
      </w:r>
      <w:r w:rsidR="002936FB" w:rsidRPr="00436BE8">
        <w:rPr>
          <w:spacing w:val="-4"/>
        </w:rPr>
        <w:t xml:space="preserve"> particularly where more precise data was unavailable</w:t>
      </w:r>
      <w:r w:rsidRPr="00436BE8">
        <w:rPr>
          <w:spacing w:val="-4"/>
        </w:rPr>
        <w:t xml:space="preserve">. </w:t>
      </w:r>
      <w:r w:rsidR="007C1998" w:rsidRPr="00436BE8">
        <w:rPr>
          <w:spacing w:val="-4"/>
        </w:rPr>
        <w:t xml:space="preserve">In this context, </w:t>
      </w:r>
      <w:r w:rsidR="007C1998">
        <w:rPr>
          <w:spacing w:val="-4"/>
        </w:rPr>
        <w:t xml:space="preserve">the </w:t>
      </w:r>
      <w:r w:rsidR="007C1998" w:rsidRPr="007C1998">
        <w:rPr>
          <w:spacing w:val="-4"/>
        </w:rPr>
        <w:t xml:space="preserve">Area Based Schemes were mentioned as </w:t>
      </w:r>
      <w:r w:rsidR="007C1998">
        <w:rPr>
          <w:spacing w:val="-4"/>
        </w:rPr>
        <w:t>a good practic</w:t>
      </w:r>
      <w:r w:rsidR="007C1998" w:rsidRPr="007C1998">
        <w:rPr>
          <w:spacing w:val="-4"/>
        </w:rPr>
        <w:t>e.</w:t>
      </w:r>
    </w:p>
    <w:p w:rsidR="002D69A2" w:rsidRPr="00F33E3C" w:rsidRDefault="002D69A2" w:rsidP="00737FFD">
      <w:pPr>
        <w:rPr>
          <w:spacing w:val="-4"/>
        </w:rPr>
      </w:pPr>
    </w:p>
    <w:p w:rsidR="005F6B0E" w:rsidRPr="00F33E3C" w:rsidRDefault="002D69A2" w:rsidP="00737FFD">
      <w:pPr>
        <w:rPr>
          <w:spacing w:val="-4"/>
        </w:rPr>
      </w:pPr>
      <w:r w:rsidRPr="00F33E3C">
        <w:rPr>
          <w:spacing w:val="-4"/>
        </w:rPr>
        <w:t xml:space="preserve">In order to calculate the level of energy poverty and the impact of policies, </w:t>
      </w:r>
      <w:r w:rsidR="00EC4BBE" w:rsidRPr="00F33E3C">
        <w:rPr>
          <w:b/>
          <w:spacing w:val="-4"/>
        </w:rPr>
        <w:t>Mr Deller (University of East Anglia)</w:t>
      </w:r>
      <w:r w:rsidRPr="00F33E3C">
        <w:rPr>
          <w:spacing w:val="-4"/>
        </w:rPr>
        <w:t xml:space="preserve"> </w:t>
      </w:r>
      <w:r w:rsidR="000005EC" w:rsidRPr="000005EC">
        <w:rPr>
          <w:spacing w:val="-4"/>
        </w:rPr>
        <w:t xml:space="preserve">suggested on looking at the following </w:t>
      </w:r>
      <w:r w:rsidRPr="00F33E3C">
        <w:rPr>
          <w:spacing w:val="-4"/>
        </w:rPr>
        <w:t xml:space="preserve">three </w:t>
      </w:r>
      <w:r w:rsidR="00EC4BBE" w:rsidRPr="00F33E3C">
        <w:rPr>
          <w:spacing w:val="-4"/>
        </w:rPr>
        <w:t>pieces</w:t>
      </w:r>
      <w:r w:rsidRPr="00F33E3C">
        <w:rPr>
          <w:spacing w:val="-4"/>
        </w:rPr>
        <w:t xml:space="preserve"> of information: household's income, household's energy consumption (which can be gathered using smart meters) and the energy efficiency of the housing stock. </w:t>
      </w:r>
      <w:r w:rsidR="00061EAC" w:rsidRPr="00F33E3C">
        <w:rPr>
          <w:b/>
          <w:spacing w:val="-4"/>
        </w:rPr>
        <w:t>Ms</w:t>
      </w:r>
      <w:r w:rsidR="00BD0233" w:rsidRPr="00F33E3C">
        <w:rPr>
          <w:b/>
          <w:spacing w:val="-4"/>
        </w:rPr>
        <w:t xml:space="preserve"> Ranscombe</w:t>
      </w:r>
      <w:r w:rsidR="00BD0233" w:rsidRPr="00F33E3C">
        <w:rPr>
          <w:spacing w:val="-4"/>
        </w:rPr>
        <w:t xml:space="preserve"> </w:t>
      </w:r>
      <w:r w:rsidR="00061EAC" w:rsidRPr="00F33E3C">
        <w:rPr>
          <w:b/>
        </w:rPr>
        <w:t xml:space="preserve">(Citizens Advice) </w:t>
      </w:r>
      <w:r w:rsidR="00BD0233" w:rsidRPr="00F33E3C">
        <w:rPr>
          <w:spacing w:val="-4"/>
        </w:rPr>
        <w:t>suggested that energy poverty or consumer vulnerability could be one of the indicators in the Energy Union reporting.</w:t>
      </w:r>
    </w:p>
    <w:p w:rsidR="002032BC" w:rsidRDefault="002032BC">
      <w:pPr>
        <w:rPr>
          <w:i/>
          <w:spacing w:val="-4"/>
        </w:rPr>
      </w:pPr>
      <w:r>
        <w:rPr>
          <w:i/>
          <w:spacing w:val="-4"/>
        </w:rPr>
        <w:br w:type="page"/>
      </w:r>
    </w:p>
    <w:p w:rsidR="00337796" w:rsidRPr="00F33E3C" w:rsidRDefault="00265E0A" w:rsidP="00E6026E">
      <w:pPr>
        <w:spacing w:after="120"/>
        <w:ind w:left="357" w:hanging="357"/>
        <w:rPr>
          <w:b/>
          <w:bCs/>
        </w:rPr>
      </w:pPr>
      <w:r w:rsidRPr="00F33E3C">
        <w:rPr>
          <w:b/>
          <w:bCs/>
        </w:rPr>
        <w:t>4. Targeted Assistance for Vulnerable Consumers and Energy Poor</w:t>
      </w:r>
    </w:p>
    <w:p w:rsidR="00265E0A" w:rsidRPr="00F33E3C" w:rsidRDefault="00265E0A" w:rsidP="00265E0A">
      <w:pPr>
        <w:pStyle w:val="ListParagraph"/>
        <w:numPr>
          <w:ilvl w:val="0"/>
          <w:numId w:val="32"/>
        </w:numPr>
        <w:ind w:left="714" w:hanging="357"/>
      </w:pPr>
      <w:r w:rsidRPr="00F33E3C">
        <w:t>Presentation on energy efficiency: How to avoid a poverty trap for tenants and overcome the 'split incentive'</w:t>
      </w:r>
      <w:r w:rsidR="00CC638E">
        <w:t>,</w:t>
      </w:r>
      <w:r w:rsidRPr="00F33E3C">
        <w:t xml:space="preserve"> from IUT </w:t>
      </w:r>
    </w:p>
    <w:p w:rsidR="00265E0A" w:rsidRPr="00F33E3C" w:rsidRDefault="00265E0A" w:rsidP="00265E0A">
      <w:pPr>
        <w:rPr>
          <w:sz w:val="16"/>
          <w:szCs w:val="16"/>
        </w:rPr>
      </w:pPr>
    </w:p>
    <w:p w:rsidR="00265E0A" w:rsidRPr="00F33E3C" w:rsidRDefault="00265E0A" w:rsidP="00265E0A">
      <w:pPr>
        <w:pStyle w:val="ListParagraph"/>
        <w:numPr>
          <w:ilvl w:val="0"/>
          <w:numId w:val="32"/>
        </w:numPr>
        <w:ind w:left="714" w:hanging="357"/>
      </w:pPr>
      <w:r w:rsidRPr="00F33E3C">
        <w:t xml:space="preserve">Presentation </w:t>
      </w:r>
      <w:r w:rsidR="00CA2EEF" w:rsidRPr="00F33E3C">
        <w:t>of energy efficiency directive and energy performance of buildings directive</w:t>
      </w:r>
      <w:r w:rsidR="00CC638E">
        <w:t>, from</w:t>
      </w:r>
      <w:r w:rsidR="00CC638E" w:rsidRPr="00F33E3C">
        <w:t xml:space="preserve"> </w:t>
      </w:r>
      <w:r w:rsidR="00CA2EEF" w:rsidRPr="00F33E3C">
        <w:t>DG ENER C.3</w:t>
      </w:r>
    </w:p>
    <w:p w:rsidR="00265E0A" w:rsidRPr="00F33E3C" w:rsidRDefault="00265E0A" w:rsidP="00E6026E">
      <w:pPr>
        <w:spacing w:after="120"/>
        <w:ind w:left="357" w:hanging="357"/>
        <w:rPr>
          <w:b/>
          <w:bCs/>
          <w:smallCaps/>
        </w:rPr>
      </w:pPr>
    </w:p>
    <w:p w:rsidR="00CC4243" w:rsidRPr="00F33E3C" w:rsidRDefault="00265E0A" w:rsidP="00D16599">
      <w:pPr>
        <w:rPr>
          <w:spacing w:val="-4"/>
        </w:rPr>
      </w:pPr>
      <w:r w:rsidRPr="00F33E3C">
        <w:rPr>
          <w:b/>
          <w:spacing w:val="-4"/>
        </w:rPr>
        <w:t>Pasquale Davide Lanzillotti</w:t>
      </w:r>
      <w:r w:rsidRPr="00F33E3C">
        <w:rPr>
          <w:spacing w:val="-4"/>
        </w:rPr>
        <w:t xml:space="preserve"> </w:t>
      </w:r>
      <w:r w:rsidR="00EC4BBE" w:rsidRPr="00F33E3C">
        <w:rPr>
          <w:b/>
          <w:spacing w:val="-4"/>
        </w:rPr>
        <w:t xml:space="preserve">(IUT) </w:t>
      </w:r>
      <w:r w:rsidR="00E23E16" w:rsidRPr="00F33E3C">
        <w:rPr>
          <w:spacing w:val="-4"/>
        </w:rPr>
        <w:t xml:space="preserve">presented various initiatives to </w:t>
      </w:r>
      <w:r w:rsidR="00061EAC" w:rsidRPr="00F33E3C">
        <w:rPr>
          <w:spacing w:val="-4"/>
        </w:rPr>
        <w:t xml:space="preserve">attenuate </w:t>
      </w:r>
      <w:r w:rsidR="00E23E16" w:rsidRPr="00F33E3C">
        <w:rPr>
          <w:spacing w:val="-4"/>
        </w:rPr>
        <w:t xml:space="preserve">the </w:t>
      </w:r>
      <w:r w:rsidR="00E23E16" w:rsidRPr="00F33E3C">
        <w:rPr>
          <w:i/>
          <w:spacing w:val="-4"/>
        </w:rPr>
        <w:t>split incentive</w:t>
      </w:r>
      <w:r w:rsidR="00061EAC" w:rsidRPr="00F33E3C">
        <w:rPr>
          <w:i/>
          <w:spacing w:val="-4"/>
        </w:rPr>
        <w:t xml:space="preserve"> dilemma</w:t>
      </w:r>
      <w:r w:rsidR="00E23E16" w:rsidRPr="00F33E3C">
        <w:rPr>
          <w:spacing w:val="-4"/>
        </w:rPr>
        <w:t xml:space="preserve"> between landlords and tenants. In his pres</w:t>
      </w:r>
      <w:r w:rsidR="009C6CFB" w:rsidRPr="00F33E3C">
        <w:rPr>
          <w:spacing w:val="-4"/>
        </w:rPr>
        <w:t>entation, he also suggested changes to strengthen the provisions of the EPBD and the EED</w:t>
      </w:r>
      <w:r w:rsidR="00CF763E" w:rsidRPr="00F33E3C">
        <w:rPr>
          <w:spacing w:val="-4"/>
        </w:rPr>
        <w:t xml:space="preserve"> and pointed out tenancy</w:t>
      </w:r>
      <w:r w:rsidR="00CC638E">
        <w:rPr>
          <w:spacing w:val="-4"/>
        </w:rPr>
        <w:t xml:space="preserve"> status</w:t>
      </w:r>
      <w:r w:rsidR="00CF763E" w:rsidRPr="00F33E3C">
        <w:rPr>
          <w:spacing w:val="-4"/>
        </w:rPr>
        <w:t xml:space="preserve"> as an </w:t>
      </w:r>
      <w:r w:rsidR="00061EAC" w:rsidRPr="00F33E3C">
        <w:rPr>
          <w:spacing w:val="-4"/>
        </w:rPr>
        <w:t>exacerbator</w:t>
      </w:r>
      <w:r w:rsidR="00CF763E" w:rsidRPr="00F33E3C">
        <w:rPr>
          <w:spacing w:val="-4"/>
        </w:rPr>
        <w:t xml:space="preserve"> of vulnerability even in relatively wealthy Member States</w:t>
      </w:r>
      <w:r w:rsidR="009C6CFB" w:rsidRPr="00F33E3C">
        <w:rPr>
          <w:spacing w:val="-4"/>
        </w:rPr>
        <w:t xml:space="preserve">. </w:t>
      </w:r>
    </w:p>
    <w:p w:rsidR="005C19DB" w:rsidRPr="00F33E3C" w:rsidRDefault="005C19DB" w:rsidP="00D16599">
      <w:pPr>
        <w:rPr>
          <w:spacing w:val="-4"/>
        </w:rPr>
      </w:pPr>
    </w:p>
    <w:p w:rsidR="009C6CFB" w:rsidRPr="00F33E3C" w:rsidRDefault="001917C8" w:rsidP="009C6CFB">
      <w:pPr>
        <w:rPr>
          <w:spacing w:val="-4"/>
        </w:rPr>
      </w:pPr>
      <w:r>
        <w:rPr>
          <w:b/>
          <w:spacing w:val="-4"/>
        </w:rPr>
        <w:t>Mr</w:t>
      </w:r>
      <w:r w:rsidR="00CA2EEF" w:rsidRPr="00F33E3C">
        <w:rPr>
          <w:b/>
          <w:spacing w:val="-4"/>
        </w:rPr>
        <w:t xml:space="preserve"> Ladefoged</w:t>
      </w:r>
      <w:r w:rsidR="003D5DF1" w:rsidRPr="00F33E3C">
        <w:rPr>
          <w:b/>
          <w:spacing w:val="-4"/>
        </w:rPr>
        <w:t xml:space="preserve"> </w:t>
      </w:r>
      <w:r w:rsidR="00FA574C" w:rsidRPr="00F33E3C">
        <w:rPr>
          <w:b/>
          <w:spacing w:val="-4"/>
        </w:rPr>
        <w:t>(</w:t>
      </w:r>
      <w:r w:rsidR="00CA2EEF" w:rsidRPr="00F33E3C">
        <w:rPr>
          <w:b/>
          <w:spacing w:val="-4"/>
        </w:rPr>
        <w:t>DG ENER</w:t>
      </w:r>
      <w:r w:rsidR="00FA574C" w:rsidRPr="00F33E3C">
        <w:rPr>
          <w:b/>
          <w:spacing w:val="-4"/>
        </w:rPr>
        <w:t xml:space="preserve">) </w:t>
      </w:r>
      <w:r w:rsidR="00CA2EEF" w:rsidRPr="00F33E3C">
        <w:rPr>
          <w:spacing w:val="-4"/>
        </w:rPr>
        <w:t>presented</w:t>
      </w:r>
      <w:r w:rsidR="00CA2EEF" w:rsidRPr="00F33E3C">
        <w:rPr>
          <w:b/>
          <w:spacing w:val="-4"/>
        </w:rPr>
        <w:t xml:space="preserve"> </w:t>
      </w:r>
      <w:r w:rsidR="009C6CFB" w:rsidRPr="00F33E3C">
        <w:rPr>
          <w:spacing w:val="-4"/>
        </w:rPr>
        <w:t xml:space="preserve">the activities currently undertaken in relation to the revision of the EPBD and the EED. </w:t>
      </w:r>
      <w:r w:rsidR="00CC638E">
        <w:rPr>
          <w:spacing w:val="-4"/>
        </w:rPr>
        <w:t>He</w:t>
      </w:r>
      <w:r w:rsidR="00EC4BBE" w:rsidRPr="00F33E3C">
        <w:rPr>
          <w:b/>
          <w:spacing w:val="-4"/>
        </w:rPr>
        <w:t xml:space="preserve"> </w:t>
      </w:r>
      <w:r w:rsidR="00EC4BBE" w:rsidRPr="00F33E3C">
        <w:rPr>
          <w:spacing w:val="-4"/>
        </w:rPr>
        <w:t>presented</w:t>
      </w:r>
      <w:r w:rsidR="009C6CFB" w:rsidRPr="00F33E3C">
        <w:rPr>
          <w:spacing w:val="-4"/>
        </w:rPr>
        <w:t xml:space="preserve"> some of the responses </w:t>
      </w:r>
      <w:r w:rsidR="00EC4BBE" w:rsidRPr="00F33E3C">
        <w:rPr>
          <w:spacing w:val="-4"/>
        </w:rPr>
        <w:t>from</w:t>
      </w:r>
      <w:r w:rsidR="009C6CFB" w:rsidRPr="00F33E3C">
        <w:rPr>
          <w:spacing w:val="-4"/>
        </w:rPr>
        <w:t xml:space="preserve"> the public consultation on the EPBD as well as the activities that will be carried out to set up the EU Building Stock Observatory. </w:t>
      </w:r>
      <w:r w:rsidR="00BD0233" w:rsidRPr="00F33E3C">
        <w:rPr>
          <w:spacing w:val="-4"/>
        </w:rPr>
        <w:t xml:space="preserve">He invited the participants to respond to the consultation </w:t>
      </w:r>
      <w:r w:rsidR="002610D5" w:rsidRPr="00F33E3C">
        <w:rPr>
          <w:spacing w:val="-4"/>
        </w:rPr>
        <w:t xml:space="preserve">on the review of the Energy Efficiency Directive </w:t>
      </w:r>
      <w:r>
        <w:rPr>
          <w:spacing w:val="-4"/>
        </w:rPr>
        <w:t xml:space="preserve">that will be </w:t>
      </w:r>
      <w:r w:rsidR="00BD0233" w:rsidRPr="00F33E3C">
        <w:rPr>
          <w:spacing w:val="-4"/>
        </w:rPr>
        <w:t>open</w:t>
      </w:r>
      <w:r>
        <w:rPr>
          <w:spacing w:val="-4"/>
        </w:rPr>
        <w:t>ed until the 29 January</w:t>
      </w:r>
      <w:r w:rsidR="002610D5" w:rsidRPr="00F33E3C">
        <w:rPr>
          <w:rStyle w:val="FootnoteReference"/>
          <w:spacing w:val="-4"/>
        </w:rPr>
        <w:footnoteReference w:id="2"/>
      </w:r>
      <w:r w:rsidR="002610D5" w:rsidRPr="00F33E3C">
        <w:rPr>
          <w:spacing w:val="-4"/>
        </w:rPr>
        <w:t>.</w:t>
      </w:r>
    </w:p>
    <w:p w:rsidR="009C6CFB" w:rsidRPr="00F33E3C" w:rsidRDefault="009C6CFB" w:rsidP="009C6CFB">
      <w:pPr>
        <w:rPr>
          <w:spacing w:val="-4"/>
        </w:rPr>
      </w:pPr>
    </w:p>
    <w:p w:rsidR="00405414" w:rsidRPr="00F33E3C" w:rsidRDefault="009C6CFB" w:rsidP="009C6CFB">
      <w:pPr>
        <w:rPr>
          <w:spacing w:val="-4"/>
        </w:rPr>
      </w:pPr>
      <w:r w:rsidRPr="00F33E3C">
        <w:rPr>
          <w:spacing w:val="-4"/>
        </w:rPr>
        <w:t>In the discussion</w:t>
      </w:r>
      <w:r w:rsidR="002610D5" w:rsidRPr="00F33E3C">
        <w:t xml:space="preserve">, </w:t>
      </w:r>
      <w:r w:rsidR="002610D5" w:rsidRPr="00F33E3C">
        <w:rPr>
          <w:b/>
        </w:rPr>
        <w:t xml:space="preserve">the Chair </w:t>
      </w:r>
      <w:r w:rsidR="002610D5" w:rsidRPr="00F33E3C">
        <w:rPr>
          <w:b/>
          <w:spacing w:val="-4"/>
        </w:rPr>
        <w:t>(</w:t>
      </w:r>
      <w:r w:rsidRPr="00F33E3C">
        <w:rPr>
          <w:b/>
          <w:spacing w:val="-4"/>
        </w:rPr>
        <w:t>Carina Törnblom</w:t>
      </w:r>
      <w:r w:rsidR="002610D5" w:rsidRPr="00F33E3C">
        <w:rPr>
          <w:b/>
          <w:spacing w:val="-4"/>
        </w:rPr>
        <w:t>)</w:t>
      </w:r>
      <w:r w:rsidRPr="00F33E3C">
        <w:rPr>
          <w:spacing w:val="-4"/>
        </w:rPr>
        <w:t xml:space="preserve"> stressed the importance of understanding local housing market and the social obligations between landlords and tenants in order to set up </w:t>
      </w:r>
      <w:r w:rsidR="00405414" w:rsidRPr="00F33E3C">
        <w:rPr>
          <w:spacing w:val="-4"/>
        </w:rPr>
        <w:t xml:space="preserve">the right </w:t>
      </w:r>
      <w:r w:rsidRPr="00F33E3C">
        <w:rPr>
          <w:spacing w:val="-4"/>
        </w:rPr>
        <w:t xml:space="preserve">policies that facilitate investment and helps tenants to understand and </w:t>
      </w:r>
      <w:r w:rsidR="00EC4BBE" w:rsidRPr="00F33E3C">
        <w:rPr>
          <w:spacing w:val="-4"/>
        </w:rPr>
        <w:t>monitor</w:t>
      </w:r>
      <w:r w:rsidRPr="00F33E3C">
        <w:rPr>
          <w:spacing w:val="-4"/>
        </w:rPr>
        <w:t xml:space="preserve"> their energy consumption. </w:t>
      </w:r>
      <w:r w:rsidR="00405414" w:rsidRPr="00F33E3C">
        <w:rPr>
          <w:spacing w:val="-4"/>
        </w:rPr>
        <w:t xml:space="preserve">In this regard, </w:t>
      </w:r>
      <w:r w:rsidR="00EC4BBE" w:rsidRPr="00F33E3C">
        <w:rPr>
          <w:b/>
          <w:spacing w:val="-4"/>
        </w:rPr>
        <w:t>Mr</w:t>
      </w:r>
      <w:r w:rsidR="00EC4BBE" w:rsidRPr="00F33E3C">
        <w:rPr>
          <w:spacing w:val="-4"/>
        </w:rPr>
        <w:t xml:space="preserve"> </w:t>
      </w:r>
      <w:r w:rsidR="00EC4BBE" w:rsidRPr="00F33E3C">
        <w:rPr>
          <w:b/>
          <w:spacing w:val="-4"/>
        </w:rPr>
        <w:t xml:space="preserve">Ladefoged (DG ENER) </w:t>
      </w:r>
      <w:r w:rsidR="00405414" w:rsidRPr="00F33E3C">
        <w:rPr>
          <w:spacing w:val="-4"/>
        </w:rPr>
        <w:t xml:space="preserve">insisted </w:t>
      </w:r>
      <w:r w:rsidR="00EC4BBE" w:rsidRPr="00F33E3C">
        <w:rPr>
          <w:spacing w:val="-4"/>
        </w:rPr>
        <w:t>upon</w:t>
      </w:r>
      <w:r w:rsidR="00405414" w:rsidRPr="00F33E3C">
        <w:rPr>
          <w:spacing w:val="-4"/>
        </w:rPr>
        <w:t xml:space="preserve"> the importance of </w:t>
      </w:r>
      <w:r w:rsidR="00EC4BBE" w:rsidRPr="00F33E3C">
        <w:rPr>
          <w:spacing w:val="-4"/>
        </w:rPr>
        <w:t xml:space="preserve">measuring </w:t>
      </w:r>
      <w:r w:rsidR="00405414" w:rsidRPr="00F33E3C">
        <w:rPr>
          <w:spacing w:val="-4"/>
        </w:rPr>
        <w:t>energy consumption</w:t>
      </w:r>
      <w:r w:rsidR="00EC4BBE" w:rsidRPr="00F33E3C">
        <w:rPr>
          <w:spacing w:val="-4"/>
        </w:rPr>
        <w:t>, for example using individual meters</w:t>
      </w:r>
      <w:r w:rsidR="00CF763E" w:rsidRPr="00F33E3C">
        <w:rPr>
          <w:spacing w:val="-4"/>
        </w:rPr>
        <w:t xml:space="preserve"> or heat cost allocators</w:t>
      </w:r>
      <w:r w:rsidR="00EC4BBE" w:rsidRPr="00F33E3C">
        <w:rPr>
          <w:spacing w:val="-4"/>
        </w:rPr>
        <w:t xml:space="preserve">, </w:t>
      </w:r>
      <w:r w:rsidR="00405414" w:rsidRPr="00F33E3C">
        <w:rPr>
          <w:spacing w:val="-4"/>
        </w:rPr>
        <w:t xml:space="preserve">as a prerequisite to allocate the cost of energy fairly across households </w:t>
      </w:r>
      <w:r w:rsidR="00EC4BBE" w:rsidRPr="00F33E3C">
        <w:rPr>
          <w:spacing w:val="-4"/>
        </w:rPr>
        <w:t xml:space="preserve">and </w:t>
      </w:r>
      <w:r w:rsidR="00405414" w:rsidRPr="00F33E3C">
        <w:rPr>
          <w:spacing w:val="-4"/>
        </w:rPr>
        <w:t>empower consumers</w:t>
      </w:r>
      <w:r w:rsidR="00EC4BBE" w:rsidRPr="00F33E3C">
        <w:rPr>
          <w:spacing w:val="-4"/>
        </w:rPr>
        <w:t xml:space="preserve"> with the right information</w:t>
      </w:r>
      <w:r w:rsidR="00405414" w:rsidRPr="00F33E3C">
        <w:rPr>
          <w:spacing w:val="-4"/>
        </w:rPr>
        <w:t xml:space="preserve">. </w:t>
      </w:r>
    </w:p>
    <w:p w:rsidR="00405414" w:rsidRPr="00F33E3C" w:rsidRDefault="00405414" w:rsidP="009C6CFB">
      <w:pPr>
        <w:rPr>
          <w:spacing w:val="-4"/>
        </w:rPr>
      </w:pPr>
    </w:p>
    <w:p w:rsidR="005C19DB" w:rsidRPr="00F33E3C" w:rsidRDefault="00405414" w:rsidP="009C6CFB">
      <w:pPr>
        <w:rPr>
          <w:spacing w:val="-4"/>
        </w:rPr>
      </w:pPr>
      <w:r w:rsidRPr="00F33E3C">
        <w:rPr>
          <w:spacing w:val="-4"/>
        </w:rPr>
        <w:t xml:space="preserve">Various members of the group agreed about the </w:t>
      </w:r>
      <w:r w:rsidR="00EC4BBE" w:rsidRPr="00F33E3C">
        <w:rPr>
          <w:spacing w:val="-4"/>
        </w:rPr>
        <w:t>relevance</w:t>
      </w:r>
      <w:r w:rsidRPr="00F33E3C">
        <w:rPr>
          <w:spacing w:val="-4"/>
        </w:rPr>
        <w:t xml:space="preserve"> of investing in energy efficien</w:t>
      </w:r>
      <w:r w:rsidR="007C1998">
        <w:rPr>
          <w:spacing w:val="-4"/>
        </w:rPr>
        <w:t>t measures</w:t>
      </w:r>
      <w:r w:rsidRPr="00F33E3C">
        <w:rPr>
          <w:spacing w:val="-4"/>
        </w:rPr>
        <w:t xml:space="preserve"> in the housing stock across all tenures as the long-term strategy to tackle energy poverty. </w:t>
      </w:r>
      <w:r w:rsidRPr="00F33E3C">
        <w:rPr>
          <w:b/>
          <w:spacing w:val="-4"/>
        </w:rPr>
        <w:t>Katarzyna Wardal (EFIEES)</w:t>
      </w:r>
      <w:r w:rsidRPr="00F33E3C">
        <w:rPr>
          <w:spacing w:val="-4"/>
        </w:rPr>
        <w:t xml:space="preserve"> </w:t>
      </w:r>
      <w:r w:rsidR="00CC638E">
        <w:rPr>
          <w:spacing w:val="-4"/>
        </w:rPr>
        <w:t>informed about</w:t>
      </w:r>
      <w:r w:rsidRPr="00F33E3C">
        <w:rPr>
          <w:spacing w:val="-4"/>
        </w:rPr>
        <w:t xml:space="preserve"> a report which </w:t>
      </w:r>
      <w:r w:rsidR="00EC4BBE" w:rsidRPr="00F33E3C">
        <w:rPr>
          <w:spacing w:val="-4"/>
        </w:rPr>
        <w:t>assesses</w:t>
      </w:r>
      <w:r w:rsidRPr="00F33E3C">
        <w:rPr>
          <w:spacing w:val="-4"/>
        </w:rPr>
        <w:t xml:space="preserve"> </w:t>
      </w:r>
      <w:r w:rsidR="00EC4BBE" w:rsidRPr="00F33E3C">
        <w:rPr>
          <w:spacing w:val="-4"/>
        </w:rPr>
        <w:t xml:space="preserve">the </w:t>
      </w:r>
      <w:r w:rsidRPr="00F33E3C">
        <w:rPr>
          <w:spacing w:val="-4"/>
        </w:rPr>
        <w:t>barriers for the implementation of the EED</w:t>
      </w:r>
      <w:r w:rsidR="00CC638E">
        <w:rPr>
          <w:spacing w:val="-4"/>
        </w:rPr>
        <w:t xml:space="preserve"> (subsequently distributed to participants </w:t>
      </w:r>
      <w:r w:rsidRPr="00F33E3C">
        <w:rPr>
          <w:spacing w:val="-4"/>
        </w:rPr>
        <w:t xml:space="preserve">by </w:t>
      </w:r>
      <w:r w:rsidR="00EC4BBE" w:rsidRPr="00F33E3C">
        <w:rPr>
          <w:spacing w:val="-4"/>
        </w:rPr>
        <w:t xml:space="preserve">DG </w:t>
      </w:r>
      <w:r w:rsidRPr="00F33E3C">
        <w:rPr>
          <w:spacing w:val="-4"/>
        </w:rPr>
        <w:t>ENER on 11 December 2015</w:t>
      </w:r>
      <w:r w:rsidR="00CC638E">
        <w:rPr>
          <w:spacing w:val="-4"/>
        </w:rPr>
        <w:t>)</w:t>
      </w:r>
      <w:r w:rsidRPr="00F33E3C">
        <w:rPr>
          <w:spacing w:val="-4"/>
        </w:rPr>
        <w:t xml:space="preserve">. </w:t>
      </w:r>
    </w:p>
    <w:p w:rsidR="00E1154A" w:rsidRDefault="00E1154A" w:rsidP="00D16599">
      <w:pPr>
        <w:ind w:left="360" w:hanging="360"/>
        <w:rPr>
          <w:b/>
          <w:bCs/>
          <w:smallCaps/>
        </w:rPr>
      </w:pPr>
    </w:p>
    <w:p w:rsidR="00EF1F72" w:rsidRPr="00F33E3C" w:rsidRDefault="00CA2EEF" w:rsidP="00E6026E">
      <w:pPr>
        <w:spacing w:after="120"/>
        <w:ind w:left="357" w:hanging="357"/>
        <w:rPr>
          <w:b/>
          <w:bCs/>
          <w:smallCaps/>
        </w:rPr>
      </w:pPr>
      <w:r w:rsidRPr="00F33E3C">
        <w:rPr>
          <w:b/>
          <w:bCs/>
          <w:smallCaps/>
        </w:rPr>
        <w:t>5</w:t>
      </w:r>
      <w:r w:rsidR="00EF1F72" w:rsidRPr="00F33E3C">
        <w:rPr>
          <w:b/>
          <w:bCs/>
          <w:smallCaps/>
        </w:rPr>
        <w:t>.</w:t>
      </w:r>
      <w:r w:rsidR="00EF1F72" w:rsidRPr="00F33E3C">
        <w:rPr>
          <w:b/>
          <w:bCs/>
          <w:smallCaps/>
        </w:rPr>
        <w:tab/>
      </w:r>
      <w:r w:rsidRPr="00F33E3C">
        <w:rPr>
          <w:b/>
          <w:spacing w:val="-4"/>
        </w:rPr>
        <w:t>Next steps – VCWG objectives and deliverables for 2015-2016</w:t>
      </w:r>
    </w:p>
    <w:p w:rsidR="003E7A62" w:rsidRPr="00F33E3C" w:rsidRDefault="00CA2EEF" w:rsidP="002A0234">
      <w:pPr>
        <w:autoSpaceDE w:val="0"/>
        <w:autoSpaceDN w:val="0"/>
        <w:adjustRightInd w:val="0"/>
      </w:pPr>
      <w:r w:rsidRPr="00F33E3C">
        <w:rPr>
          <w:b/>
        </w:rPr>
        <w:t>Eero Ailio</w:t>
      </w:r>
      <w:r w:rsidR="00EF1F72" w:rsidRPr="00F33E3C">
        <w:rPr>
          <w:b/>
        </w:rPr>
        <w:t xml:space="preserve"> (</w:t>
      </w:r>
      <w:r w:rsidRPr="00F33E3C">
        <w:rPr>
          <w:b/>
        </w:rPr>
        <w:t>DG ENER</w:t>
      </w:r>
      <w:r w:rsidR="00EF1F72" w:rsidRPr="00F33E3C">
        <w:rPr>
          <w:b/>
        </w:rPr>
        <w:t>)</w:t>
      </w:r>
      <w:r w:rsidRPr="00F33E3C">
        <w:t xml:space="preserve"> </w:t>
      </w:r>
      <w:r w:rsidR="003E7A62" w:rsidRPr="00F33E3C">
        <w:t xml:space="preserve">introduced three </w:t>
      </w:r>
      <w:r w:rsidR="00CF763E" w:rsidRPr="00F33E3C">
        <w:t>key</w:t>
      </w:r>
      <w:r w:rsidR="003E7A62" w:rsidRPr="00F33E3C">
        <w:t xml:space="preserve"> issues in relation to energy poverty</w:t>
      </w:r>
      <w:r w:rsidR="00EC4BBE" w:rsidRPr="00F33E3C">
        <w:t xml:space="preserve"> identified </w:t>
      </w:r>
      <w:r w:rsidR="00CF763E" w:rsidRPr="00F33E3C">
        <w:t xml:space="preserve">as relevant </w:t>
      </w:r>
      <w:r w:rsidR="00EC4BBE" w:rsidRPr="00F33E3C">
        <w:t xml:space="preserve">in </w:t>
      </w:r>
      <w:r w:rsidR="00CF763E" w:rsidRPr="00F33E3C">
        <w:t xml:space="preserve">Commission’s internal assessments, </w:t>
      </w:r>
      <w:r w:rsidR="00EC4BBE" w:rsidRPr="00F33E3C">
        <w:t>academic literature and various policy documents</w:t>
      </w:r>
      <w:r w:rsidR="00CF763E" w:rsidRPr="00F33E3C">
        <w:t xml:space="preserve"> from stakeholders</w:t>
      </w:r>
      <w:r w:rsidR="003E7A62" w:rsidRPr="00F33E3C">
        <w:t xml:space="preserve">: (i) </w:t>
      </w:r>
      <w:r w:rsidR="00BD0233" w:rsidRPr="00F33E3C">
        <w:t xml:space="preserve">achieving </w:t>
      </w:r>
      <w:r w:rsidR="003E7A62" w:rsidRPr="00F33E3C">
        <w:t xml:space="preserve">a common concept of energy poverty; (ii) </w:t>
      </w:r>
      <w:r w:rsidR="00BD0233" w:rsidRPr="00F33E3C">
        <w:t xml:space="preserve">improving </w:t>
      </w:r>
      <w:r w:rsidR="003E7A62" w:rsidRPr="00F33E3C">
        <w:t xml:space="preserve">indicators to measure energy poverty; (iii) </w:t>
      </w:r>
      <w:r w:rsidR="00BD0233" w:rsidRPr="00F33E3C">
        <w:t>identifying measures</w:t>
      </w:r>
      <w:r w:rsidR="003E7A62" w:rsidRPr="00F33E3C">
        <w:t xml:space="preserve"> to tackle energy poverty. </w:t>
      </w:r>
      <w:r w:rsidR="00BD0233" w:rsidRPr="00F33E3C">
        <w:t>He</w:t>
      </w:r>
      <w:r w:rsidR="003E7A62" w:rsidRPr="00F33E3C">
        <w:t xml:space="preserve"> proposed to gather the views of the group </w:t>
      </w:r>
      <w:r w:rsidR="00EC4BBE" w:rsidRPr="00F33E3C">
        <w:t xml:space="preserve">about these three issues using a survey </w:t>
      </w:r>
      <w:r w:rsidR="003E7A62" w:rsidRPr="00F33E3C">
        <w:t xml:space="preserve">and to produce a report </w:t>
      </w:r>
      <w:r w:rsidR="00EC4BBE" w:rsidRPr="00F33E3C">
        <w:t>based</w:t>
      </w:r>
      <w:r w:rsidR="003E7A62" w:rsidRPr="00F33E3C">
        <w:t xml:space="preserve"> </w:t>
      </w:r>
      <w:r w:rsidR="00EC4BBE" w:rsidRPr="00F33E3C">
        <w:t xml:space="preserve">on </w:t>
      </w:r>
      <w:r w:rsidR="003E7A62" w:rsidRPr="00F33E3C">
        <w:t xml:space="preserve">the main findings </w:t>
      </w:r>
      <w:r w:rsidR="00EC4BBE" w:rsidRPr="00F33E3C">
        <w:t>of th</w:t>
      </w:r>
      <w:r w:rsidR="001917C8">
        <w:t>e</w:t>
      </w:r>
      <w:r w:rsidR="00EC4BBE" w:rsidRPr="00F33E3C">
        <w:t xml:space="preserve"> survey </w:t>
      </w:r>
      <w:r w:rsidR="003E7A62" w:rsidRPr="00F33E3C">
        <w:t>which can be presented to the London Forum</w:t>
      </w:r>
      <w:r w:rsidR="00BD0233" w:rsidRPr="00F33E3C">
        <w:t xml:space="preserve"> and later fed back into the Energy Union process. </w:t>
      </w:r>
    </w:p>
    <w:p w:rsidR="003E7A62" w:rsidRPr="00F33E3C" w:rsidRDefault="003E7A62" w:rsidP="002A0234">
      <w:pPr>
        <w:autoSpaceDE w:val="0"/>
        <w:autoSpaceDN w:val="0"/>
        <w:adjustRightInd w:val="0"/>
      </w:pPr>
    </w:p>
    <w:p w:rsidR="003E7A62" w:rsidRPr="00F33E3C" w:rsidRDefault="003E7A62" w:rsidP="002A0234">
      <w:pPr>
        <w:autoSpaceDE w:val="0"/>
        <w:autoSpaceDN w:val="0"/>
        <w:adjustRightInd w:val="0"/>
      </w:pPr>
      <w:r w:rsidRPr="00F33E3C">
        <w:t xml:space="preserve">The members of the group welcomed the idea and provided helpful suggestions about the wording of the questions </w:t>
      </w:r>
      <w:r w:rsidRPr="00F33E3C">
        <w:rPr>
          <w:b/>
        </w:rPr>
        <w:t>(</w:t>
      </w:r>
      <w:r w:rsidR="00A12830" w:rsidRPr="00F33E3C">
        <w:rPr>
          <w:b/>
        </w:rPr>
        <w:t>Marine Cornelis</w:t>
      </w:r>
      <w:r w:rsidR="001917C8">
        <w:rPr>
          <w:b/>
        </w:rPr>
        <w:t>,</w:t>
      </w:r>
      <w:r w:rsidR="00A12830" w:rsidRPr="00F33E3C">
        <w:rPr>
          <w:b/>
        </w:rPr>
        <w:t xml:space="preserve"> NEON</w:t>
      </w:r>
      <w:r w:rsidRPr="00F33E3C">
        <w:rPr>
          <w:b/>
        </w:rPr>
        <w:t>)</w:t>
      </w:r>
      <w:r w:rsidRPr="00F33E3C">
        <w:t>; the structure of the questions (</w:t>
      </w:r>
      <w:r w:rsidR="00A12830" w:rsidRPr="00F33E3C">
        <w:rPr>
          <w:b/>
        </w:rPr>
        <w:t>Thomas Lowe</w:t>
      </w:r>
      <w:r w:rsidR="001917C8">
        <w:rPr>
          <w:b/>
        </w:rPr>
        <w:t>,</w:t>
      </w:r>
      <w:r w:rsidR="00A12830" w:rsidRPr="00F33E3C">
        <w:rPr>
          <w:b/>
        </w:rPr>
        <w:t xml:space="preserve"> Eurogas</w:t>
      </w:r>
      <w:r w:rsidRPr="00F33E3C">
        <w:t xml:space="preserve">); and the possibility to test the questionnaire before </w:t>
      </w:r>
      <w:r w:rsidR="00CC638E" w:rsidRPr="00F33E3C">
        <w:t>circulat</w:t>
      </w:r>
      <w:r w:rsidR="00CC638E">
        <w:t>ing</w:t>
      </w:r>
      <w:r w:rsidR="00CC638E" w:rsidRPr="00F33E3C">
        <w:t xml:space="preserve"> </w:t>
      </w:r>
      <w:r w:rsidRPr="00F33E3C">
        <w:t>it to the group</w:t>
      </w:r>
      <w:r w:rsidR="00EC4BBE" w:rsidRPr="00F33E3C">
        <w:t xml:space="preserve"> (</w:t>
      </w:r>
      <w:r w:rsidR="00A12830" w:rsidRPr="00F33E3C">
        <w:rPr>
          <w:b/>
        </w:rPr>
        <w:t>Cosmo Graham</w:t>
      </w:r>
      <w:r w:rsidR="001917C8">
        <w:rPr>
          <w:b/>
        </w:rPr>
        <w:t>,</w:t>
      </w:r>
      <w:r w:rsidR="00A12830" w:rsidRPr="00F33E3C">
        <w:rPr>
          <w:b/>
        </w:rPr>
        <w:t xml:space="preserve"> University of Leicester</w:t>
      </w:r>
      <w:r w:rsidR="00EC4BBE" w:rsidRPr="00F33E3C">
        <w:t>)</w:t>
      </w:r>
      <w:r w:rsidRPr="00F33E3C">
        <w:t xml:space="preserve">. </w:t>
      </w:r>
    </w:p>
    <w:p w:rsidR="00131306" w:rsidRDefault="00131306" w:rsidP="00D16599">
      <w:pPr>
        <w:autoSpaceDE w:val="0"/>
        <w:autoSpaceDN w:val="0"/>
        <w:adjustRightInd w:val="0"/>
      </w:pPr>
    </w:p>
    <w:p w:rsidR="00E60201" w:rsidRPr="00F33E3C" w:rsidRDefault="00E60201" w:rsidP="00D16599">
      <w:pPr>
        <w:autoSpaceDE w:val="0"/>
        <w:autoSpaceDN w:val="0"/>
        <w:adjustRightInd w:val="0"/>
      </w:pPr>
    </w:p>
    <w:p w:rsidR="003E7A62" w:rsidRPr="00F33E3C" w:rsidRDefault="00EC4BBE" w:rsidP="00D16599">
      <w:pPr>
        <w:autoSpaceDE w:val="0"/>
        <w:autoSpaceDN w:val="0"/>
        <w:adjustRightInd w:val="0"/>
      </w:pPr>
      <w:r w:rsidRPr="00F33E3C">
        <w:rPr>
          <w:b/>
        </w:rPr>
        <w:t>Mr Ailio (DG ENER)</w:t>
      </w:r>
      <w:r w:rsidRPr="00F33E3C">
        <w:t xml:space="preserve"> </w:t>
      </w:r>
      <w:r w:rsidR="00694D4B" w:rsidRPr="00F33E3C">
        <w:t>recalled that in the conclusion</w:t>
      </w:r>
      <w:r w:rsidRPr="00F33E3C">
        <w:t>s</w:t>
      </w:r>
      <w:r w:rsidR="00694D4B" w:rsidRPr="00F33E3C">
        <w:t xml:space="preserve"> of the previous London Forum, it was agreed that the Vulnerable Consumer Working Group will work towards a common understanding of the concept of energy poverty. </w:t>
      </w:r>
      <w:r w:rsidR="00BD0233" w:rsidRPr="00F33E3C">
        <w:t xml:space="preserve">To this end, </w:t>
      </w:r>
      <w:r w:rsidRPr="00F33E3C">
        <w:t>DG ENER will send the questionnaire</w:t>
      </w:r>
      <w:r w:rsidR="003E7A62" w:rsidRPr="00F33E3C">
        <w:t xml:space="preserve"> before Christmas</w:t>
      </w:r>
      <w:r w:rsidRPr="00F33E3C">
        <w:t xml:space="preserve"> and the </w:t>
      </w:r>
      <w:r w:rsidR="003E7A62" w:rsidRPr="00F33E3C">
        <w:t>group will have until mid-January to send their responses</w:t>
      </w:r>
      <w:r w:rsidRPr="00F33E3C">
        <w:t xml:space="preserve">. A summary of the responses </w:t>
      </w:r>
      <w:r w:rsidR="003E7A62" w:rsidRPr="00F33E3C">
        <w:t xml:space="preserve">will be presented to the group on the 26 January. </w:t>
      </w:r>
    </w:p>
    <w:p w:rsidR="003E7A62" w:rsidRPr="00F33E3C" w:rsidRDefault="003E7A62" w:rsidP="00D16599">
      <w:pPr>
        <w:autoSpaceDE w:val="0"/>
        <w:autoSpaceDN w:val="0"/>
        <w:adjustRightInd w:val="0"/>
      </w:pPr>
    </w:p>
    <w:p w:rsidR="00CC0BFC" w:rsidRPr="00F33E3C" w:rsidRDefault="003E7A62" w:rsidP="00D16599">
      <w:pPr>
        <w:autoSpaceDE w:val="0"/>
        <w:autoSpaceDN w:val="0"/>
        <w:adjustRightInd w:val="0"/>
      </w:pPr>
      <w:r w:rsidRPr="00F33E3C">
        <w:rPr>
          <w:b/>
        </w:rPr>
        <w:t>The Chair (</w:t>
      </w:r>
      <w:r w:rsidR="00A008EB" w:rsidRPr="00F33E3C">
        <w:rPr>
          <w:b/>
        </w:rPr>
        <w:t>Jan Pan</w:t>
      </w:r>
      <w:r w:rsidR="00D55AA0" w:rsidRPr="00F33E3C">
        <w:rPr>
          <w:b/>
        </w:rPr>
        <w:t>ek</w:t>
      </w:r>
      <w:r w:rsidRPr="00F33E3C">
        <w:rPr>
          <w:b/>
        </w:rPr>
        <w:t>)</w:t>
      </w:r>
      <w:r w:rsidR="00A008EB" w:rsidRPr="00F33E3C">
        <w:t xml:space="preserve"> </w:t>
      </w:r>
      <w:r w:rsidR="00CC638E">
        <w:t>clarified</w:t>
      </w:r>
      <w:r w:rsidR="00694D4B" w:rsidRPr="00F33E3C">
        <w:t xml:space="preserve"> that gathering the</w:t>
      </w:r>
      <w:r w:rsidR="00EC4BBE" w:rsidRPr="00F33E3C">
        <w:t xml:space="preserve"> group's</w:t>
      </w:r>
      <w:r w:rsidR="00694D4B" w:rsidRPr="00F33E3C">
        <w:t xml:space="preserve"> views through the questionnaire was the first step towards producing a report </w:t>
      </w:r>
      <w:r w:rsidR="00EC4BBE" w:rsidRPr="00F33E3C">
        <w:t>in which</w:t>
      </w:r>
      <w:r w:rsidR="00694D4B" w:rsidRPr="00F33E3C">
        <w:t xml:space="preserve"> the group will express a common opinion about these issues</w:t>
      </w:r>
      <w:r w:rsidR="00EC4BBE" w:rsidRPr="00F33E3C">
        <w:t xml:space="preserve">. This report </w:t>
      </w:r>
      <w:r w:rsidR="00694D4B" w:rsidRPr="00F33E3C">
        <w:t xml:space="preserve">will </w:t>
      </w:r>
      <w:r w:rsidR="00EC4BBE" w:rsidRPr="00F33E3C">
        <w:t xml:space="preserve">also </w:t>
      </w:r>
      <w:r w:rsidR="00694D4B" w:rsidRPr="00F33E3C">
        <w:t xml:space="preserve">feed into the Commission's proposals to review the energy legislation. </w:t>
      </w:r>
    </w:p>
    <w:p w:rsidR="00CC638E" w:rsidRDefault="00CC638E" w:rsidP="00990925"/>
    <w:p w:rsidR="00D026CC" w:rsidRPr="00F33E3C" w:rsidRDefault="00CC638E" w:rsidP="00990925">
      <w:r w:rsidRPr="00436BE8">
        <w:rPr>
          <w:b/>
        </w:rPr>
        <w:t>The Chairs</w:t>
      </w:r>
      <w:r>
        <w:t xml:space="preserve"> concluded the meeting by thanking all for active participation and recalled that the next meeting will be held on 26 January (further details will follow).</w:t>
      </w:r>
      <w:r w:rsidR="000272EC" w:rsidRPr="00F33E3C">
        <w:br w:type="page"/>
      </w:r>
    </w:p>
    <w:p w:rsidR="00EA1AD3" w:rsidRPr="00F33E3C" w:rsidRDefault="00EA1AD3" w:rsidP="00D16599">
      <w:pPr>
        <w:jc w:val="center"/>
        <w:rPr>
          <w:b/>
          <w:szCs w:val="24"/>
        </w:rPr>
      </w:pPr>
      <w:r w:rsidRPr="00F33E3C">
        <w:rPr>
          <w:b/>
          <w:szCs w:val="24"/>
        </w:rPr>
        <w:t>A</w:t>
      </w:r>
      <w:r w:rsidR="00147437" w:rsidRPr="00F33E3C">
        <w:rPr>
          <w:b/>
          <w:szCs w:val="24"/>
        </w:rPr>
        <w:t>NNEX</w:t>
      </w:r>
      <w:r w:rsidRPr="00F33E3C">
        <w:rPr>
          <w:b/>
          <w:szCs w:val="24"/>
        </w:rPr>
        <w:t xml:space="preserve"> I</w:t>
      </w:r>
    </w:p>
    <w:p w:rsidR="00EA1AD3" w:rsidRPr="00F33E3C" w:rsidRDefault="00EA1AD3" w:rsidP="00D16599">
      <w:pPr>
        <w:jc w:val="center"/>
        <w:rPr>
          <w:b/>
          <w:szCs w:val="24"/>
        </w:rPr>
      </w:pPr>
      <w:r w:rsidRPr="00F33E3C">
        <w:rPr>
          <w:b/>
          <w:szCs w:val="24"/>
        </w:rPr>
        <w:t>List of Participants</w:t>
      </w:r>
    </w:p>
    <w:tbl>
      <w:tblPr>
        <w:tblpPr w:leftFromText="180" w:rightFromText="180" w:vertAnchor="page" w:horzAnchor="margin" w:tblpXSpec="center" w:tblpY="25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19"/>
        <w:gridCol w:w="1276"/>
        <w:gridCol w:w="3543"/>
        <w:gridCol w:w="1701"/>
      </w:tblGrid>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Mr</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AILIO</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Eero</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DG ENER B.3</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Commission</w:t>
            </w:r>
          </w:p>
        </w:tc>
      </w:tr>
      <w:tr w:rsidR="00C459FE" w:rsidRPr="00F33E3C" w:rsidTr="00AE2F8B">
        <w:trPr>
          <w:trHeight w:val="340"/>
        </w:trPr>
        <w:tc>
          <w:tcPr>
            <w:tcW w:w="708" w:type="dxa"/>
            <w:shd w:val="clear" w:color="auto" w:fill="auto"/>
            <w:vAlign w:val="center"/>
          </w:tcPr>
          <w:p w:rsidR="00983D03" w:rsidRPr="00F33E3C" w:rsidRDefault="00983D03" w:rsidP="00AE2F8B">
            <w:pPr>
              <w:jc w:val="left"/>
              <w:rPr>
                <w:sz w:val="22"/>
                <w:szCs w:val="22"/>
              </w:rPr>
            </w:pPr>
            <w:r w:rsidRPr="00F33E3C">
              <w:rPr>
                <w:sz w:val="22"/>
                <w:szCs w:val="22"/>
              </w:rPr>
              <w:t>Ms</w:t>
            </w:r>
          </w:p>
        </w:tc>
        <w:tc>
          <w:tcPr>
            <w:tcW w:w="2519" w:type="dxa"/>
            <w:shd w:val="clear" w:color="auto" w:fill="auto"/>
            <w:vAlign w:val="center"/>
          </w:tcPr>
          <w:p w:rsidR="00983D03" w:rsidRPr="00F33E3C" w:rsidRDefault="00983D03" w:rsidP="00AE2F8B">
            <w:pPr>
              <w:jc w:val="left"/>
              <w:rPr>
                <w:sz w:val="22"/>
                <w:szCs w:val="22"/>
              </w:rPr>
            </w:pPr>
            <w:r w:rsidRPr="00F33E3C">
              <w:rPr>
                <w:sz w:val="22"/>
                <w:szCs w:val="22"/>
              </w:rPr>
              <w:t>BERES</w:t>
            </w:r>
          </w:p>
        </w:tc>
        <w:tc>
          <w:tcPr>
            <w:tcW w:w="1276" w:type="dxa"/>
            <w:shd w:val="clear" w:color="auto" w:fill="auto"/>
            <w:vAlign w:val="center"/>
          </w:tcPr>
          <w:p w:rsidR="00983D03" w:rsidRPr="00F33E3C" w:rsidRDefault="00983D03" w:rsidP="00AE2F8B">
            <w:pPr>
              <w:jc w:val="left"/>
              <w:rPr>
                <w:sz w:val="22"/>
                <w:szCs w:val="22"/>
              </w:rPr>
            </w:pPr>
            <w:r w:rsidRPr="00F33E3C">
              <w:rPr>
                <w:sz w:val="22"/>
                <w:szCs w:val="22"/>
              </w:rPr>
              <w:t>Zsuzsa</w:t>
            </w:r>
          </w:p>
        </w:tc>
        <w:tc>
          <w:tcPr>
            <w:tcW w:w="3543" w:type="dxa"/>
            <w:shd w:val="clear" w:color="auto" w:fill="auto"/>
            <w:vAlign w:val="center"/>
          </w:tcPr>
          <w:p w:rsidR="00983D03" w:rsidRPr="00F33E3C" w:rsidRDefault="00983D03" w:rsidP="00AE2F8B">
            <w:pPr>
              <w:jc w:val="left"/>
              <w:rPr>
                <w:sz w:val="22"/>
                <w:szCs w:val="22"/>
              </w:rPr>
            </w:pPr>
            <w:r w:rsidRPr="00F33E3C">
              <w:rPr>
                <w:sz w:val="22"/>
                <w:szCs w:val="22"/>
              </w:rPr>
              <w:t>Ministry of National Development</w:t>
            </w:r>
          </w:p>
        </w:tc>
        <w:tc>
          <w:tcPr>
            <w:tcW w:w="1701" w:type="dxa"/>
            <w:shd w:val="clear" w:color="auto" w:fill="auto"/>
            <w:vAlign w:val="center"/>
          </w:tcPr>
          <w:p w:rsidR="00983D03" w:rsidRPr="00F33E3C" w:rsidRDefault="004F7CD0" w:rsidP="00AE2F8B">
            <w:pPr>
              <w:jc w:val="left"/>
              <w:rPr>
                <w:sz w:val="22"/>
                <w:szCs w:val="22"/>
              </w:rPr>
            </w:pPr>
            <w:r>
              <w:rPr>
                <w:sz w:val="22"/>
                <w:szCs w:val="22"/>
              </w:rPr>
              <w:t>Hungary</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Ms</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BLAKE</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Lara</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DG JUST E.6</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Commission</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Ms</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CIUTI</w:t>
            </w:r>
          </w:p>
        </w:tc>
        <w:tc>
          <w:tcPr>
            <w:tcW w:w="1276" w:type="dxa"/>
            <w:shd w:val="clear" w:color="auto" w:fill="auto"/>
            <w:vAlign w:val="center"/>
          </w:tcPr>
          <w:p w:rsidR="00AE2F8B" w:rsidRPr="00F33E3C" w:rsidRDefault="00B211D4" w:rsidP="00AE2F8B">
            <w:pPr>
              <w:jc w:val="left"/>
              <w:rPr>
                <w:sz w:val="22"/>
                <w:szCs w:val="22"/>
              </w:rPr>
            </w:pPr>
            <w:hyperlink r:id="rId10" w:history="1">
              <w:r w:rsidR="00AE2F8B" w:rsidRPr="00F33E3C">
                <w:rPr>
                  <w:sz w:val="22"/>
                  <w:szCs w:val="22"/>
                </w:rPr>
                <w:t>Aurelie</w:t>
              </w:r>
            </w:hyperlink>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RWADE</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Belgium</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Ms</w:t>
            </w:r>
          </w:p>
        </w:tc>
        <w:tc>
          <w:tcPr>
            <w:tcW w:w="2519" w:type="dxa"/>
            <w:shd w:val="clear" w:color="auto" w:fill="auto"/>
            <w:vAlign w:val="center"/>
          </w:tcPr>
          <w:p w:rsidR="00AE2F8B" w:rsidRPr="00F33E3C" w:rsidRDefault="00B211D4" w:rsidP="00AE2F8B">
            <w:pPr>
              <w:jc w:val="left"/>
              <w:rPr>
                <w:sz w:val="22"/>
                <w:szCs w:val="22"/>
              </w:rPr>
            </w:pPr>
            <w:hyperlink r:id="rId11" w:history="1">
              <w:r w:rsidR="00AE2F8B" w:rsidRPr="00F33E3C">
                <w:rPr>
                  <w:sz w:val="22"/>
                  <w:szCs w:val="22"/>
                </w:rPr>
                <w:t>CORNELIS</w:t>
              </w:r>
            </w:hyperlink>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Marine</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NEON</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Belgium</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Ms</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COSAC</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Arina</w:t>
            </w:r>
          </w:p>
        </w:tc>
        <w:tc>
          <w:tcPr>
            <w:tcW w:w="3543" w:type="dxa"/>
            <w:shd w:val="clear" w:color="auto" w:fill="auto"/>
            <w:vAlign w:val="center"/>
          </w:tcPr>
          <w:p w:rsidR="00AE2F8B" w:rsidRPr="00F33E3C" w:rsidRDefault="00AE2F8B" w:rsidP="00AE2F8B">
            <w:pPr>
              <w:jc w:val="left"/>
              <w:rPr>
                <w:sz w:val="22"/>
                <w:szCs w:val="22"/>
                <w:lang w:val="fr-BE"/>
              </w:rPr>
            </w:pPr>
            <w:r w:rsidRPr="00F33E3C">
              <w:rPr>
                <w:sz w:val="22"/>
                <w:szCs w:val="22"/>
                <w:lang w:val="fr-BE"/>
              </w:rPr>
              <w:t>OFGEM</w:t>
            </w:r>
          </w:p>
        </w:tc>
        <w:tc>
          <w:tcPr>
            <w:tcW w:w="1701" w:type="dxa"/>
            <w:shd w:val="clear" w:color="auto" w:fill="auto"/>
            <w:vAlign w:val="center"/>
          </w:tcPr>
          <w:p w:rsidR="00AE2F8B" w:rsidRPr="00F33E3C" w:rsidRDefault="002320E3" w:rsidP="00AE2F8B">
            <w:pPr>
              <w:jc w:val="left"/>
              <w:rPr>
                <w:sz w:val="22"/>
                <w:szCs w:val="22"/>
              </w:rPr>
            </w:pPr>
            <w:r w:rsidRPr="00F33E3C">
              <w:rPr>
                <w:sz w:val="22"/>
                <w:szCs w:val="22"/>
              </w:rPr>
              <w:t>United Kingdom</w:t>
            </w:r>
          </w:p>
        </w:tc>
      </w:tr>
      <w:tr w:rsidR="00C459FE" w:rsidRPr="00F33E3C" w:rsidTr="00AE2F8B">
        <w:trPr>
          <w:trHeight w:val="340"/>
        </w:trPr>
        <w:tc>
          <w:tcPr>
            <w:tcW w:w="708" w:type="dxa"/>
            <w:shd w:val="clear" w:color="auto" w:fill="auto"/>
            <w:vAlign w:val="center"/>
          </w:tcPr>
          <w:p w:rsidR="002B5D44" w:rsidRPr="00F33E3C" w:rsidRDefault="002B5D44" w:rsidP="00AE2F8B">
            <w:pPr>
              <w:jc w:val="left"/>
              <w:rPr>
                <w:sz w:val="22"/>
                <w:szCs w:val="22"/>
              </w:rPr>
            </w:pPr>
            <w:r w:rsidRPr="00F33E3C">
              <w:rPr>
                <w:sz w:val="22"/>
                <w:szCs w:val="22"/>
              </w:rPr>
              <w:t>Mr</w:t>
            </w:r>
          </w:p>
        </w:tc>
        <w:tc>
          <w:tcPr>
            <w:tcW w:w="2519" w:type="dxa"/>
            <w:shd w:val="clear" w:color="auto" w:fill="auto"/>
            <w:vAlign w:val="center"/>
          </w:tcPr>
          <w:p w:rsidR="002B5D44" w:rsidRPr="00F33E3C" w:rsidRDefault="002B5D44" w:rsidP="00AE2F8B">
            <w:pPr>
              <w:jc w:val="left"/>
              <w:rPr>
                <w:sz w:val="22"/>
                <w:szCs w:val="22"/>
              </w:rPr>
            </w:pPr>
            <w:r w:rsidRPr="00F33E3C">
              <w:rPr>
                <w:sz w:val="22"/>
                <w:szCs w:val="22"/>
              </w:rPr>
              <w:t>DELLER</w:t>
            </w:r>
          </w:p>
        </w:tc>
        <w:tc>
          <w:tcPr>
            <w:tcW w:w="1276" w:type="dxa"/>
            <w:shd w:val="clear" w:color="auto" w:fill="auto"/>
            <w:vAlign w:val="center"/>
          </w:tcPr>
          <w:p w:rsidR="002B5D44" w:rsidRPr="00F33E3C" w:rsidRDefault="002B5D44" w:rsidP="00AE2F8B">
            <w:pPr>
              <w:jc w:val="left"/>
              <w:rPr>
                <w:sz w:val="22"/>
                <w:szCs w:val="22"/>
              </w:rPr>
            </w:pPr>
            <w:r w:rsidRPr="00F33E3C">
              <w:rPr>
                <w:sz w:val="22"/>
                <w:szCs w:val="22"/>
              </w:rPr>
              <w:t>David</w:t>
            </w:r>
          </w:p>
        </w:tc>
        <w:tc>
          <w:tcPr>
            <w:tcW w:w="3543" w:type="dxa"/>
            <w:shd w:val="clear" w:color="auto" w:fill="auto"/>
            <w:vAlign w:val="center"/>
          </w:tcPr>
          <w:p w:rsidR="002B5D44" w:rsidRPr="00F33E3C" w:rsidRDefault="002B5D44" w:rsidP="00AE2F8B">
            <w:pPr>
              <w:jc w:val="left"/>
              <w:rPr>
                <w:sz w:val="22"/>
                <w:szCs w:val="22"/>
                <w:lang w:val="fr-BE"/>
              </w:rPr>
            </w:pPr>
            <w:r w:rsidRPr="00F33E3C">
              <w:rPr>
                <w:sz w:val="22"/>
                <w:szCs w:val="22"/>
                <w:lang w:val="fr-BE"/>
              </w:rPr>
              <w:t>Centre for Compétition Policy</w:t>
            </w:r>
          </w:p>
        </w:tc>
        <w:tc>
          <w:tcPr>
            <w:tcW w:w="1701" w:type="dxa"/>
            <w:shd w:val="clear" w:color="auto" w:fill="auto"/>
            <w:vAlign w:val="center"/>
          </w:tcPr>
          <w:p w:rsidR="002B5D44" w:rsidRPr="00F33E3C" w:rsidRDefault="002B5D44" w:rsidP="004F7CD0">
            <w:pPr>
              <w:jc w:val="left"/>
              <w:rPr>
                <w:sz w:val="22"/>
                <w:szCs w:val="22"/>
              </w:rPr>
            </w:pPr>
            <w:r w:rsidRPr="00F33E3C">
              <w:rPr>
                <w:sz w:val="22"/>
                <w:szCs w:val="22"/>
              </w:rPr>
              <w:t xml:space="preserve">United </w:t>
            </w:r>
            <w:r w:rsidR="004F7CD0" w:rsidRPr="00F33E3C">
              <w:rPr>
                <w:sz w:val="22"/>
                <w:szCs w:val="22"/>
              </w:rPr>
              <w:t>King</w:t>
            </w:r>
            <w:r w:rsidR="004F7CD0">
              <w:rPr>
                <w:sz w:val="22"/>
                <w:szCs w:val="22"/>
              </w:rPr>
              <w:t>do</w:t>
            </w:r>
            <w:r w:rsidR="004F7CD0" w:rsidRPr="00F33E3C">
              <w:rPr>
                <w:sz w:val="22"/>
                <w:szCs w:val="22"/>
              </w:rPr>
              <w:t>m</w:t>
            </w:r>
          </w:p>
        </w:tc>
      </w:tr>
      <w:tr w:rsidR="00C459FE" w:rsidRPr="00F33E3C" w:rsidTr="00AE2F8B">
        <w:trPr>
          <w:trHeight w:val="340"/>
        </w:trPr>
        <w:tc>
          <w:tcPr>
            <w:tcW w:w="708" w:type="dxa"/>
            <w:shd w:val="clear" w:color="auto" w:fill="auto"/>
            <w:vAlign w:val="center"/>
          </w:tcPr>
          <w:p w:rsidR="002B5D44" w:rsidRPr="00F33E3C" w:rsidRDefault="002B5D44" w:rsidP="00AE2F8B">
            <w:pPr>
              <w:jc w:val="left"/>
              <w:rPr>
                <w:sz w:val="22"/>
                <w:szCs w:val="22"/>
              </w:rPr>
            </w:pPr>
            <w:r w:rsidRPr="00F33E3C">
              <w:rPr>
                <w:sz w:val="22"/>
                <w:szCs w:val="22"/>
              </w:rPr>
              <w:t>Mr</w:t>
            </w:r>
          </w:p>
        </w:tc>
        <w:tc>
          <w:tcPr>
            <w:tcW w:w="2519" w:type="dxa"/>
            <w:shd w:val="clear" w:color="auto" w:fill="auto"/>
            <w:vAlign w:val="center"/>
          </w:tcPr>
          <w:p w:rsidR="002B5D44" w:rsidRPr="00F33E3C" w:rsidRDefault="002B5D44" w:rsidP="00AE2F8B">
            <w:pPr>
              <w:jc w:val="left"/>
              <w:rPr>
                <w:sz w:val="22"/>
                <w:szCs w:val="22"/>
              </w:rPr>
            </w:pPr>
            <w:r w:rsidRPr="00F33E3C">
              <w:rPr>
                <w:sz w:val="22"/>
                <w:szCs w:val="22"/>
              </w:rPr>
              <w:t>DIJOL</w:t>
            </w:r>
          </w:p>
        </w:tc>
        <w:tc>
          <w:tcPr>
            <w:tcW w:w="1276" w:type="dxa"/>
            <w:shd w:val="clear" w:color="auto" w:fill="auto"/>
            <w:vAlign w:val="center"/>
          </w:tcPr>
          <w:p w:rsidR="002B5D44" w:rsidRPr="00F33E3C" w:rsidRDefault="002B5D44" w:rsidP="00AE2F8B">
            <w:pPr>
              <w:jc w:val="left"/>
              <w:rPr>
                <w:sz w:val="22"/>
                <w:szCs w:val="22"/>
              </w:rPr>
            </w:pPr>
            <w:r w:rsidRPr="00F33E3C">
              <w:rPr>
                <w:sz w:val="22"/>
                <w:szCs w:val="22"/>
              </w:rPr>
              <w:t>Julien</w:t>
            </w:r>
          </w:p>
        </w:tc>
        <w:tc>
          <w:tcPr>
            <w:tcW w:w="3543" w:type="dxa"/>
            <w:shd w:val="clear" w:color="auto" w:fill="auto"/>
            <w:vAlign w:val="center"/>
          </w:tcPr>
          <w:p w:rsidR="002B5D44" w:rsidRPr="00F33E3C" w:rsidRDefault="00983D03" w:rsidP="00AE2F8B">
            <w:pPr>
              <w:jc w:val="left"/>
              <w:rPr>
                <w:sz w:val="22"/>
                <w:szCs w:val="22"/>
                <w:lang w:val="fr-BE"/>
              </w:rPr>
            </w:pPr>
            <w:r w:rsidRPr="00F33E3C">
              <w:rPr>
                <w:sz w:val="22"/>
                <w:szCs w:val="22"/>
                <w:lang w:val="fr-BE"/>
              </w:rPr>
              <w:t>Housing Europe</w:t>
            </w:r>
          </w:p>
        </w:tc>
        <w:tc>
          <w:tcPr>
            <w:tcW w:w="1701" w:type="dxa"/>
            <w:shd w:val="clear" w:color="auto" w:fill="auto"/>
            <w:vAlign w:val="center"/>
          </w:tcPr>
          <w:p w:rsidR="002B5D44" w:rsidRPr="00F33E3C" w:rsidRDefault="004F7CD0" w:rsidP="00AE2F8B">
            <w:pPr>
              <w:jc w:val="left"/>
              <w:rPr>
                <w:sz w:val="22"/>
                <w:szCs w:val="22"/>
              </w:rPr>
            </w:pPr>
            <w:r>
              <w:rPr>
                <w:sz w:val="22"/>
                <w:szCs w:val="22"/>
              </w:rPr>
              <w:t>Belgium</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Mr</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DOLIGÉ</w:t>
            </w:r>
          </w:p>
        </w:tc>
        <w:tc>
          <w:tcPr>
            <w:tcW w:w="1276" w:type="dxa"/>
            <w:shd w:val="clear" w:color="auto" w:fill="auto"/>
            <w:vAlign w:val="center"/>
          </w:tcPr>
          <w:p w:rsidR="00AE2F8B" w:rsidRPr="00F33E3C" w:rsidRDefault="00B211D4" w:rsidP="00AE2F8B">
            <w:pPr>
              <w:jc w:val="left"/>
              <w:rPr>
                <w:sz w:val="22"/>
                <w:szCs w:val="22"/>
              </w:rPr>
            </w:pPr>
            <w:hyperlink r:id="rId12" w:history="1">
              <w:r w:rsidR="00AE2F8B" w:rsidRPr="00F33E3C">
                <w:rPr>
                  <w:sz w:val="22"/>
                  <w:szCs w:val="22"/>
                </w:rPr>
                <w:t xml:space="preserve">Sébastien </w:t>
              </w:r>
            </w:hyperlink>
          </w:p>
        </w:tc>
        <w:tc>
          <w:tcPr>
            <w:tcW w:w="3543" w:type="dxa"/>
            <w:shd w:val="clear" w:color="auto" w:fill="auto"/>
            <w:vAlign w:val="center"/>
          </w:tcPr>
          <w:p w:rsidR="00AE2F8B" w:rsidRPr="00F33E3C" w:rsidRDefault="00AE2F8B" w:rsidP="00AE2F8B">
            <w:pPr>
              <w:jc w:val="left"/>
              <w:rPr>
                <w:sz w:val="22"/>
                <w:szCs w:val="22"/>
                <w:lang w:val="fr-BE"/>
              </w:rPr>
            </w:pPr>
            <w:r w:rsidRPr="00F33E3C">
              <w:rPr>
                <w:sz w:val="22"/>
                <w:szCs w:val="22"/>
                <w:lang w:val="fr-BE"/>
              </w:rPr>
              <w:t>EURELECTRIC</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Organisation</w:t>
            </w:r>
          </w:p>
        </w:tc>
      </w:tr>
      <w:tr w:rsidR="00C459FE" w:rsidRPr="00F33E3C" w:rsidTr="00AE2F8B">
        <w:trPr>
          <w:trHeight w:val="340"/>
        </w:trPr>
        <w:tc>
          <w:tcPr>
            <w:tcW w:w="708" w:type="dxa"/>
            <w:shd w:val="clear" w:color="auto" w:fill="auto"/>
            <w:vAlign w:val="center"/>
          </w:tcPr>
          <w:p w:rsidR="00983D03" w:rsidRPr="00F33E3C" w:rsidRDefault="00983D03" w:rsidP="00AE2F8B">
            <w:pPr>
              <w:jc w:val="left"/>
              <w:rPr>
                <w:sz w:val="22"/>
                <w:szCs w:val="22"/>
              </w:rPr>
            </w:pPr>
            <w:r w:rsidRPr="00F33E3C">
              <w:rPr>
                <w:sz w:val="22"/>
                <w:szCs w:val="22"/>
              </w:rPr>
              <w:t>Ms</w:t>
            </w:r>
          </w:p>
        </w:tc>
        <w:tc>
          <w:tcPr>
            <w:tcW w:w="2519" w:type="dxa"/>
            <w:shd w:val="clear" w:color="auto" w:fill="auto"/>
            <w:vAlign w:val="center"/>
          </w:tcPr>
          <w:p w:rsidR="00983D03" w:rsidRPr="00F33E3C" w:rsidRDefault="00983D03" w:rsidP="00AE2F8B">
            <w:pPr>
              <w:jc w:val="left"/>
              <w:rPr>
                <w:sz w:val="22"/>
                <w:szCs w:val="22"/>
              </w:rPr>
            </w:pPr>
            <w:r w:rsidRPr="00F33E3C">
              <w:rPr>
                <w:sz w:val="22"/>
                <w:szCs w:val="22"/>
              </w:rPr>
              <w:t>FONDI</w:t>
            </w:r>
          </w:p>
        </w:tc>
        <w:tc>
          <w:tcPr>
            <w:tcW w:w="1276" w:type="dxa"/>
            <w:shd w:val="clear" w:color="auto" w:fill="auto"/>
            <w:vAlign w:val="center"/>
          </w:tcPr>
          <w:p w:rsidR="00983D03" w:rsidRPr="00F33E3C" w:rsidRDefault="00983D03" w:rsidP="00AE2F8B">
            <w:pPr>
              <w:jc w:val="left"/>
              <w:rPr>
                <w:sz w:val="22"/>
                <w:szCs w:val="22"/>
              </w:rPr>
            </w:pPr>
            <w:r w:rsidRPr="00F33E3C">
              <w:rPr>
                <w:sz w:val="22"/>
                <w:szCs w:val="22"/>
              </w:rPr>
              <w:t>Ludovica Sara</w:t>
            </w:r>
          </w:p>
        </w:tc>
        <w:tc>
          <w:tcPr>
            <w:tcW w:w="3543" w:type="dxa"/>
            <w:shd w:val="clear" w:color="auto" w:fill="auto"/>
            <w:vAlign w:val="center"/>
          </w:tcPr>
          <w:p w:rsidR="00983D03" w:rsidRPr="00F33E3C" w:rsidRDefault="00983D03" w:rsidP="00AE2F8B">
            <w:pPr>
              <w:jc w:val="left"/>
              <w:rPr>
                <w:sz w:val="22"/>
                <w:szCs w:val="22"/>
                <w:lang w:val="fr-BE"/>
              </w:rPr>
            </w:pPr>
            <w:r w:rsidRPr="00F33E3C">
              <w:rPr>
                <w:sz w:val="22"/>
                <w:szCs w:val="22"/>
                <w:lang w:val="fr-BE"/>
              </w:rPr>
              <w:t>CEDEC</w:t>
            </w:r>
          </w:p>
        </w:tc>
        <w:tc>
          <w:tcPr>
            <w:tcW w:w="1701" w:type="dxa"/>
            <w:shd w:val="clear" w:color="auto" w:fill="auto"/>
            <w:vAlign w:val="center"/>
          </w:tcPr>
          <w:p w:rsidR="00983D03" w:rsidRPr="00F33E3C" w:rsidRDefault="004F7CD0" w:rsidP="00AE2F8B">
            <w:pPr>
              <w:jc w:val="left"/>
              <w:rPr>
                <w:sz w:val="22"/>
                <w:szCs w:val="22"/>
              </w:rPr>
            </w:pPr>
            <w:r>
              <w:rPr>
                <w:sz w:val="22"/>
                <w:szCs w:val="22"/>
              </w:rPr>
              <w:t>European Organisation</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Mr</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FONSECA</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Paulo</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DECO</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Portugal</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 xml:space="preserve">Mr </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FRIEDEL</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Michael</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DG ENER B.3</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Commission</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Mr</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GRAHAM</w:t>
            </w:r>
          </w:p>
        </w:tc>
        <w:tc>
          <w:tcPr>
            <w:tcW w:w="1276" w:type="dxa"/>
            <w:shd w:val="clear" w:color="auto" w:fill="auto"/>
            <w:vAlign w:val="center"/>
          </w:tcPr>
          <w:p w:rsidR="00AE2F8B" w:rsidRPr="00F33E3C" w:rsidRDefault="00B211D4" w:rsidP="00AE2F8B">
            <w:pPr>
              <w:jc w:val="left"/>
              <w:rPr>
                <w:sz w:val="22"/>
                <w:szCs w:val="22"/>
              </w:rPr>
            </w:pPr>
            <w:hyperlink r:id="rId13" w:history="1">
              <w:r w:rsidR="00AE2F8B" w:rsidRPr="00F33E3C">
                <w:rPr>
                  <w:sz w:val="22"/>
                  <w:szCs w:val="22"/>
                </w:rPr>
                <w:t>Cosmo</w:t>
              </w:r>
            </w:hyperlink>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University of Leicester</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United Kingdom</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Mr</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GUINEA</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Oscar</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DG ENER B.3</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Commission</w:t>
            </w:r>
          </w:p>
        </w:tc>
      </w:tr>
      <w:tr w:rsidR="00C459FE" w:rsidRPr="00F33E3C" w:rsidTr="00AE2F8B">
        <w:trPr>
          <w:trHeight w:val="340"/>
        </w:trPr>
        <w:tc>
          <w:tcPr>
            <w:tcW w:w="708" w:type="dxa"/>
            <w:shd w:val="clear" w:color="auto" w:fill="auto"/>
            <w:vAlign w:val="center"/>
          </w:tcPr>
          <w:p w:rsidR="00983D03" w:rsidRPr="00F33E3C" w:rsidRDefault="00983D03" w:rsidP="00AE2F8B">
            <w:pPr>
              <w:jc w:val="left"/>
              <w:rPr>
                <w:sz w:val="22"/>
                <w:szCs w:val="22"/>
              </w:rPr>
            </w:pPr>
            <w:r w:rsidRPr="00F33E3C">
              <w:rPr>
                <w:sz w:val="22"/>
                <w:szCs w:val="22"/>
              </w:rPr>
              <w:t>Ms</w:t>
            </w:r>
          </w:p>
        </w:tc>
        <w:tc>
          <w:tcPr>
            <w:tcW w:w="2519" w:type="dxa"/>
            <w:shd w:val="clear" w:color="auto" w:fill="auto"/>
            <w:vAlign w:val="center"/>
          </w:tcPr>
          <w:p w:rsidR="00983D03" w:rsidRPr="00F33E3C" w:rsidRDefault="00983D03" w:rsidP="00AE2F8B">
            <w:pPr>
              <w:jc w:val="left"/>
              <w:rPr>
                <w:sz w:val="22"/>
                <w:szCs w:val="22"/>
              </w:rPr>
            </w:pPr>
            <w:r w:rsidRPr="00F33E3C">
              <w:rPr>
                <w:sz w:val="22"/>
                <w:szCs w:val="22"/>
              </w:rPr>
              <w:t>HAASOVA</w:t>
            </w:r>
          </w:p>
        </w:tc>
        <w:tc>
          <w:tcPr>
            <w:tcW w:w="1276" w:type="dxa"/>
            <w:shd w:val="clear" w:color="auto" w:fill="auto"/>
            <w:vAlign w:val="center"/>
          </w:tcPr>
          <w:p w:rsidR="00983D03" w:rsidRPr="00F33E3C" w:rsidRDefault="00983D03" w:rsidP="00AE2F8B">
            <w:pPr>
              <w:jc w:val="left"/>
              <w:rPr>
                <w:sz w:val="22"/>
                <w:szCs w:val="22"/>
              </w:rPr>
            </w:pPr>
            <w:r w:rsidRPr="00F33E3C">
              <w:rPr>
                <w:sz w:val="22"/>
                <w:szCs w:val="22"/>
              </w:rPr>
              <w:t>Jana</w:t>
            </w:r>
          </w:p>
        </w:tc>
        <w:tc>
          <w:tcPr>
            <w:tcW w:w="3543" w:type="dxa"/>
            <w:shd w:val="clear" w:color="auto" w:fill="auto"/>
            <w:vAlign w:val="center"/>
          </w:tcPr>
          <w:p w:rsidR="00983D03" w:rsidRPr="00F33E3C" w:rsidRDefault="00983D03" w:rsidP="00AE2F8B">
            <w:pPr>
              <w:jc w:val="left"/>
              <w:rPr>
                <w:sz w:val="22"/>
                <w:szCs w:val="22"/>
              </w:rPr>
            </w:pPr>
            <w:r w:rsidRPr="00F33E3C">
              <w:rPr>
                <w:sz w:val="22"/>
                <w:szCs w:val="22"/>
              </w:rPr>
              <w:t>ERO CZ</w:t>
            </w:r>
          </w:p>
        </w:tc>
        <w:tc>
          <w:tcPr>
            <w:tcW w:w="1701" w:type="dxa"/>
            <w:shd w:val="clear" w:color="auto" w:fill="auto"/>
            <w:vAlign w:val="center"/>
          </w:tcPr>
          <w:p w:rsidR="00983D03" w:rsidRPr="00F33E3C" w:rsidRDefault="00983D03" w:rsidP="004F7CD0">
            <w:pPr>
              <w:jc w:val="left"/>
              <w:rPr>
                <w:sz w:val="22"/>
                <w:szCs w:val="22"/>
              </w:rPr>
            </w:pPr>
            <w:r w:rsidRPr="00F33E3C">
              <w:rPr>
                <w:sz w:val="22"/>
                <w:szCs w:val="22"/>
              </w:rPr>
              <w:t>Czech</w:t>
            </w:r>
            <w:r w:rsidR="004F7CD0">
              <w:rPr>
                <w:sz w:val="22"/>
                <w:szCs w:val="22"/>
              </w:rPr>
              <w:t xml:space="preserve"> R</w:t>
            </w:r>
            <w:r w:rsidRPr="00F33E3C">
              <w:rPr>
                <w:sz w:val="22"/>
                <w:szCs w:val="22"/>
              </w:rPr>
              <w:t>epublic</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Ms</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KLEMOLA</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Nina</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EASME B.1.2</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Commission</w:t>
            </w:r>
          </w:p>
        </w:tc>
      </w:tr>
      <w:tr w:rsidR="0091328E" w:rsidRPr="00F33E3C" w:rsidTr="00AE2F8B">
        <w:trPr>
          <w:trHeight w:val="340"/>
        </w:trPr>
        <w:tc>
          <w:tcPr>
            <w:tcW w:w="708" w:type="dxa"/>
            <w:shd w:val="clear" w:color="auto" w:fill="auto"/>
            <w:vAlign w:val="center"/>
          </w:tcPr>
          <w:p w:rsidR="0091328E" w:rsidRPr="00F33E3C" w:rsidRDefault="0091328E" w:rsidP="00AE2F8B">
            <w:pPr>
              <w:jc w:val="left"/>
              <w:rPr>
                <w:sz w:val="22"/>
                <w:szCs w:val="22"/>
              </w:rPr>
            </w:pPr>
            <w:r>
              <w:rPr>
                <w:sz w:val="22"/>
                <w:szCs w:val="22"/>
              </w:rPr>
              <w:t>Mr</w:t>
            </w:r>
          </w:p>
        </w:tc>
        <w:tc>
          <w:tcPr>
            <w:tcW w:w="2519" w:type="dxa"/>
            <w:shd w:val="clear" w:color="auto" w:fill="auto"/>
            <w:vAlign w:val="center"/>
          </w:tcPr>
          <w:p w:rsidR="0091328E" w:rsidRPr="00F33E3C" w:rsidRDefault="0091328E" w:rsidP="00AE2F8B">
            <w:pPr>
              <w:jc w:val="left"/>
              <w:rPr>
                <w:sz w:val="22"/>
                <w:szCs w:val="22"/>
              </w:rPr>
            </w:pPr>
            <w:r>
              <w:rPr>
                <w:sz w:val="22"/>
                <w:szCs w:val="22"/>
              </w:rPr>
              <w:t>LADEFOGED</w:t>
            </w:r>
          </w:p>
        </w:tc>
        <w:tc>
          <w:tcPr>
            <w:tcW w:w="1276" w:type="dxa"/>
            <w:shd w:val="clear" w:color="auto" w:fill="auto"/>
            <w:vAlign w:val="center"/>
          </w:tcPr>
          <w:p w:rsidR="0091328E" w:rsidRPr="00F33E3C" w:rsidRDefault="0091328E" w:rsidP="00AE2F8B">
            <w:pPr>
              <w:jc w:val="left"/>
              <w:rPr>
                <w:sz w:val="22"/>
                <w:szCs w:val="22"/>
              </w:rPr>
            </w:pPr>
            <w:r>
              <w:rPr>
                <w:sz w:val="22"/>
                <w:szCs w:val="22"/>
              </w:rPr>
              <w:t>Niels</w:t>
            </w:r>
          </w:p>
        </w:tc>
        <w:tc>
          <w:tcPr>
            <w:tcW w:w="3543" w:type="dxa"/>
            <w:shd w:val="clear" w:color="auto" w:fill="auto"/>
            <w:vAlign w:val="center"/>
          </w:tcPr>
          <w:p w:rsidR="0091328E" w:rsidRPr="00F33E3C" w:rsidRDefault="0091328E" w:rsidP="00AE2F8B">
            <w:pPr>
              <w:jc w:val="left"/>
              <w:rPr>
                <w:sz w:val="22"/>
                <w:szCs w:val="22"/>
              </w:rPr>
            </w:pPr>
            <w:r>
              <w:rPr>
                <w:sz w:val="22"/>
                <w:szCs w:val="22"/>
              </w:rPr>
              <w:t>DG ENER C.3</w:t>
            </w:r>
          </w:p>
        </w:tc>
        <w:tc>
          <w:tcPr>
            <w:tcW w:w="1701" w:type="dxa"/>
            <w:shd w:val="clear" w:color="auto" w:fill="auto"/>
            <w:vAlign w:val="center"/>
          </w:tcPr>
          <w:p w:rsidR="0091328E" w:rsidRPr="00F33E3C" w:rsidRDefault="0091328E" w:rsidP="00AE2F8B">
            <w:pPr>
              <w:jc w:val="left"/>
              <w:rPr>
                <w:sz w:val="22"/>
                <w:szCs w:val="22"/>
              </w:rPr>
            </w:pPr>
            <w:r w:rsidRPr="0091328E">
              <w:rPr>
                <w:sz w:val="22"/>
                <w:szCs w:val="22"/>
              </w:rPr>
              <w:t>European Commission</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Mr</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LANDI</w:t>
            </w:r>
          </w:p>
        </w:tc>
        <w:tc>
          <w:tcPr>
            <w:tcW w:w="1276" w:type="dxa"/>
            <w:shd w:val="clear" w:color="auto" w:fill="auto"/>
            <w:vAlign w:val="center"/>
          </w:tcPr>
          <w:p w:rsidR="00AE2F8B" w:rsidRPr="00F33E3C" w:rsidRDefault="00B211D4" w:rsidP="00AE2F8B">
            <w:pPr>
              <w:jc w:val="left"/>
              <w:rPr>
                <w:sz w:val="22"/>
                <w:szCs w:val="22"/>
              </w:rPr>
            </w:pPr>
            <w:hyperlink r:id="rId14" w:history="1">
              <w:r w:rsidR="00AE2F8B" w:rsidRPr="00F33E3C">
                <w:rPr>
                  <w:sz w:val="22"/>
                  <w:szCs w:val="22"/>
                </w:rPr>
                <w:t xml:space="preserve">Paolo </w:t>
              </w:r>
            </w:hyperlink>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Fondazione Consumo Sostenibile</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Italy</w:t>
            </w:r>
          </w:p>
        </w:tc>
      </w:tr>
      <w:tr w:rsidR="0091328E" w:rsidRPr="00F33E3C" w:rsidTr="00AE2F8B">
        <w:trPr>
          <w:trHeight w:val="340"/>
        </w:trPr>
        <w:tc>
          <w:tcPr>
            <w:tcW w:w="708" w:type="dxa"/>
            <w:shd w:val="clear" w:color="auto" w:fill="auto"/>
            <w:vAlign w:val="center"/>
          </w:tcPr>
          <w:p w:rsidR="0091328E" w:rsidRPr="00F33E3C" w:rsidRDefault="0091328E" w:rsidP="00AE2F8B">
            <w:pPr>
              <w:jc w:val="left"/>
              <w:rPr>
                <w:sz w:val="22"/>
                <w:szCs w:val="22"/>
              </w:rPr>
            </w:pPr>
            <w:r>
              <w:rPr>
                <w:sz w:val="22"/>
                <w:szCs w:val="22"/>
              </w:rPr>
              <w:t xml:space="preserve">Mr </w:t>
            </w:r>
          </w:p>
        </w:tc>
        <w:tc>
          <w:tcPr>
            <w:tcW w:w="2519" w:type="dxa"/>
            <w:shd w:val="clear" w:color="auto" w:fill="auto"/>
            <w:vAlign w:val="center"/>
          </w:tcPr>
          <w:p w:rsidR="0091328E" w:rsidRPr="00F33E3C" w:rsidRDefault="0091328E" w:rsidP="00AE2F8B">
            <w:pPr>
              <w:jc w:val="left"/>
              <w:rPr>
                <w:sz w:val="22"/>
                <w:szCs w:val="22"/>
              </w:rPr>
            </w:pPr>
            <w:r>
              <w:rPr>
                <w:sz w:val="22"/>
                <w:szCs w:val="22"/>
              </w:rPr>
              <w:t>LANZILLOTTI</w:t>
            </w:r>
          </w:p>
        </w:tc>
        <w:tc>
          <w:tcPr>
            <w:tcW w:w="1276" w:type="dxa"/>
            <w:shd w:val="clear" w:color="auto" w:fill="auto"/>
            <w:vAlign w:val="center"/>
          </w:tcPr>
          <w:p w:rsidR="0091328E" w:rsidRDefault="0091328E" w:rsidP="00AE2F8B">
            <w:pPr>
              <w:jc w:val="left"/>
            </w:pPr>
            <w:r>
              <w:t>P. Davide</w:t>
            </w:r>
          </w:p>
        </w:tc>
        <w:tc>
          <w:tcPr>
            <w:tcW w:w="3543" w:type="dxa"/>
            <w:shd w:val="clear" w:color="auto" w:fill="auto"/>
            <w:vAlign w:val="center"/>
          </w:tcPr>
          <w:p w:rsidR="0091328E" w:rsidRPr="00F33E3C" w:rsidRDefault="0091328E" w:rsidP="00AE2F8B">
            <w:pPr>
              <w:jc w:val="left"/>
              <w:rPr>
                <w:sz w:val="22"/>
                <w:szCs w:val="22"/>
              </w:rPr>
            </w:pPr>
            <w:r>
              <w:rPr>
                <w:sz w:val="22"/>
                <w:szCs w:val="22"/>
              </w:rPr>
              <w:t>International Union of Tenants</w:t>
            </w:r>
          </w:p>
        </w:tc>
        <w:tc>
          <w:tcPr>
            <w:tcW w:w="1701" w:type="dxa"/>
            <w:shd w:val="clear" w:color="auto" w:fill="auto"/>
            <w:vAlign w:val="center"/>
          </w:tcPr>
          <w:p w:rsidR="0091328E" w:rsidRPr="00F33E3C" w:rsidRDefault="0091328E" w:rsidP="00AE2F8B">
            <w:pPr>
              <w:jc w:val="left"/>
              <w:rPr>
                <w:sz w:val="22"/>
                <w:szCs w:val="22"/>
              </w:rPr>
            </w:pPr>
            <w:r w:rsidRPr="00F33E3C">
              <w:rPr>
                <w:sz w:val="22"/>
                <w:szCs w:val="22"/>
              </w:rPr>
              <w:t>European Organisation</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Mr</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LOWE</w:t>
            </w:r>
          </w:p>
        </w:tc>
        <w:tc>
          <w:tcPr>
            <w:tcW w:w="1276" w:type="dxa"/>
            <w:shd w:val="clear" w:color="auto" w:fill="auto"/>
            <w:vAlign w:val="center"/>
          </w:tcPr>
          <w:p w:rsidR="00AE2F8B" w:rsidRPr="00F33E3C" w:rsidRDefault="00B211D4" w:rsidP="00AE2F8B">
            <w:pPr>
              <w:jc w:val="left"/>
              <w:rPr>
                <w:sz w:val="22"/>
                <w:szCs w:val="22"/>
              </w:rPr>
            </w:pPr>
            <w:hyperlink r:id="rId15" w:history="1">
              <w:r w:rsidR="00AE2F8B" w:rsidRPr="00F33E3C">
                <w:rPr>
                  <w:sz w:val="22"/>
                  <w:szCs w:val="22"/>
                </w:rPr>
                <w:t xml:space="preserve">Thomas </w:t>
              </w:r>
            </w:hyperlink>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EUROGAS</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Organisation</w:t>
            </w:r>
          </w:p>
        </w:tc>
      </w:tr>
      <w:tr w:rsidR="00C459FE" w:rsidRPr="00F33E3C" w:rsidTr="00AE2F8B">
        <w:trPr>
          <w:trHeight w:val="340"/>
        </w:trPr>
        <w:tc>
          <w:tcPr>
            <w:tcW w:w="708" w:type="dxa"/>
            <w:shd w:val="clear" w:color="auto" w:fill="auto"/>
            <w:vAlign w:val="center"/>
          </w:tcPr>
          <w:p w:rsidR="00983D03" w:rsidRPr="00F33E3C" w:rsidRDefault="00983D03" w:rsidP="00AE2F8B">
            <w:pPr>
              <w:jc w:val="left"/>
              <w:rPr>
                <w:sz w:val="22"/>
                <w:szCs w:val="22"/>
              </w:rPr>
            </w:pPr>
            <w:r w:rsidRPr="00F33E3C">
              <w:rPr>
                <w:sz w:val="22"/>
                <w:szCs w:val="22"/>
              </w:rPr>
              <w:t>Ms</w:t>
            </w:r>
          </w:p>
        </w:tc>
        <w:tc>
          <w:tcPr>
            <w:tcW w:w="2519" w:type="dxa"/>
            <w:shd w:val="clear" w:color="auto" w:fill="auto"/>
            <w:vAlign w:val="center"/>
          </w:tcPr>
          <w:p w:rsidR="00983D03" w:rsidRPr="00F33E3C" w:rsidRDefault="00983D03" w:rsidP="00AE2F8B">
            <w:pPr>
              <w:jc w:val="left"/>
              <w:rPr>
                <w:sz w:val="22"/>
                <w:szCs w:val="22"/>
              </w:rPr>
            </w:pPr>
            <w:r w:rsidRPr="00F33E3C">
              <w:rPr>
                <w:sz w:val="22"/>
                <w:szCs w:val="22"/>
              </w:rPr>
              <w:t>MARIN</w:t>
            </w:r>
          </w:p>
        </w:tc>
        <w:tc>
          <w:tcPr>
            <w:tcW w:w="1276" w:type="dxa"/>
            <w:shd w:val="clear" w:color="auto" w:fill="auto"/>
            <w:vAlign w:val="center"/>
          </w:tcPr>
          <w:p w:rsidR="00983D03" w:rsidRPr="00F33E3C" w:rsidRDefault="00436BE8" w:rsidP="00AE2F8B">
            <w:pPr>
              <w:jc w:val="left"/>
              <w:rPr>
                <w:sz w:val="22"/>
                <w:szCs w:val="22"/>
              </w:rPr>
            </w:pPr>
            <w:r w:rsidRPr="00F33E3C">
              <w:rPr>
                <w:sz w:val="22"/>
                <w:szCs w:val="22"/>
              </w:rPr>
              <w:t>Nadia</w:t>
            </w:r>
          </w:p>
        </w:tc>
        <w:tc>
          <w:tcPr>
            <w:tcW w:w="3543" w:type="dxa"/>
            <w:shd w:val="clear" w:color="auto" w:fill="auto"/>
            <w:vAlign w:val="center"/>
          </w:tcPr>
          <w:p w:rsidR="00983D03" w:rsidRPr="00F33E3C" w:rsidRDefault="00983D03" w:rsidP="00AE2F8B">
            <w:pPr>
              <w:jc w:val="left"/>
              <w:rPr>
                <w:sz w:val="22"/>
                <w:szCs w:val="22"/>
              </w:rPr>
            </w:pPr>
            <w:r w:rsidRPr="00F33E3C">
              <w:rPr>
                <w:sz w:val="22"/>
                <w:szCs w:val="22"/>
              </w:rPr>
              <w:t>DG JUST E.6</w:t>
            </w:r>
          </w:p>
        </w:tc>
        <w:tc>
          <w:tcPr>
            <w:tcW w:w="1701" w:type="dxa"/>
            <w:shd w:val="clear" w:color="auto" w:fill="auto"/>
            <w:vAlign w:val="center"/>
          </w:tcPr>
          <w:p w:rsidR="00983D03" w:rsidRPr="00F33E3C" w:rsidRDefault="00983D03" w:rsidP="00AE2F8B">
            <w:pPr>
              <w:jc w:val="left"/>
              <w:rPr>
                <w:sz w:val="22"/>
                <w:szCs w:val="22"/>
              </w:rPr>
            </w:pPr>
            <w:r w:rsidRPr="00F33E3C">
              <w:rPr>
                <w:sz w:val="22"/>
                <w:szCs w:val="22"/>
              </w:rPr>
              <w:t>European Commission</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Mr</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PANEK</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Jan</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DG ENER B.3</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Commission</w:t>
            </w:r>
          </w:p>
        </w:tc>
      </w:tr>
      <w:tr w:rsidR="00C459FE" w:rsidRPr="00F33E3C" w:rsidTr="00436BE8">
        <w:trPr>
          <w:trHeight w:val="445"/>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Ms</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RANSCOMBE</w:t>
            </w:r>
          </w:p>
        </w:tc>
        <w:tc>
          <w:tcPr>
            <w:tcW w:w="1276" w:type="dxa"/>
            <w:shd w:val="clear" w:color="auto" w:fill="auto"/>
            <w:vAlign w:val="center"/>
          </w:tcPr>
          <w:p w:rsidR="00AE2F8B" w:rsidRPr="00F33E3C" w:rsidRDefault="00B211D4" w:rsidP="00AE2F8B">
            <w:pPr>
              <w:jc w:val="left"/>
              <w:rPr>
                <w:sz w:val="22"/>
                <w:szCs w:val="22"/>
              </w:rPr>
            </w:pPr>
            <w:hyperlink r:id="rId16" w:history="1">
              <w:r w:rsidR="00AE2F8B" w:rsidRPr="00F33E3C">
                <w:rPr>
                  <w:sz w:val="22"/>
                  <w:szCs w:val="22"/>
                </w:rPr>
                <w:t xml:space="preserve">Heidi </w:t>
              </w:r>
            </w:hyperlink>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Citizens advice</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United Kingdom</w:t>
            </w:r>
          </w:p>
        </w:tc>
      </w:tr>
      <w:tr w:rsidR="00C459FE" w:rsidRPr="00F33E3C" w:rsidTr="00436BE8">
        <w:trPr>
          <w:trHeight w:val="423"/>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Mr</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SZYMANSKI</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Akadiusz</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Ministry of Economy</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Poland</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Ms</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TÖRNBLOM</w:t>
            </w:r>
          </w:p>
        </w:tc>
        <w:tc>
          <w:tcPr>
            <w:tcW w:w="1276" w:type="dxa"/>
            <w:shd w:val="clear" w:color="auto" w:fill="auto"/>
            <w:vAlign w:val="center"/>
          </w:tcPr>
          <w:p w:rsidR="00AE2F8B" w:rsidRPr="00F33E3C" w:rsidRDefault="00AE2F8B" w:rsidP="00AE2F8B">
            <w:pPr>
              <w:jc w:val="left"/>
              <w:rPr>
                <w:sz w:val="22"/>
                <w:szCs w:val="22"/>
              </w:rPr>
            </w:pPr>
            <w:r w:rsidRPr="00F33E3C">
              <w:rPr>
                <w:sz w:val="22"/>
                <w:szCs w:val="22"/>
              </w:rPr>
              <w:t>Carina</w:t>
            </w:r>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DG JUST E.6</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Commission</w:t>
            </w:r>
          </w:p>
        </w:tc>
      </w:tr>
      <w:tr w:rsidR="0091328E" w:rsidRPr="00F33E3C" w:rsidTr="00AE2F8B">
        <w:trPr>
          <w:trHeight w:val="340"/>
        </w:trPr>
        <w:tc>
          <w:tcPr>
            <w:tcW w:w="708" w:type="dxa"/>
            <w:shd w:val="clear" w:color="auto" w:fill="auto"/>
            <w:vAlign w:val="center"/>
          </w:tcPr>
          <w:p w:rsidR="0091328E" w:rsidRPr="00F33E3C" w:rsidRDefault="0091328E" w:rsidP="00AE2F8B">
            <w:pPr>
              <w:jc w:val="left"/>
              <w:rPr>
                <w:sz w:val="22"/>
                <w:szCs w:val="22"/>
              </w:rPr>
            </w:pPr>
            <w:r>
              <w:rPr>
                <w:sz w:val="22"/>
                <w:szCs w:val="22"/>
              </w:rPr>
              <w:t>Mr</w:t>
            </w:r>
          </w:p>
        </w:tc>
        <w:tc>
          <w:tcPr>
            <w:tcW w:w="2519" w:type="dxa"/>
            <w:shd w:val="clear" w:color="auto" w:fill="auto"/>
            <w:vAlign w:val="center"/>
          </w:tcPr>
          <w:p w:rsidR="0091328E" w:rsidRPr="00F33E3C" w:rsidRDefault="0091328E" w:rsidP="00AE2F8B">
            <w:pPr>
              <w:jc w:val="left"/>
              <w:rPr>
                <w:sz w:val="22"/>
                <w:szCs w:val="22"/>
              </w:rPr>
            </w:pPr>
            <w:r>
              <w:rPr>
                <w:sz w:val="22"/>
                <w:szCs w:val="22"/>
              </w:rPr>
              <w:t>VAN HAASTEREN</w:t>
            </w:r>
          </w:p>
        </w:tc>
        <w:tc>
          <w:tcPr>
            <w:tcW w:w="1276" w:type="dxa"/>
            <w:shd w:val="clear" w:color="auto" w:fill="auto"/>
            <w:vAlign w:val="center"/>
          </w:tcPr>
          <w:p w:rsidR="0091328E" w:rsidRPr="00F33E3C" w:rsidRDefault="0091328E" w:rsidP="00AE2F8B">
            <w:pPr>
              <w:jc w:val="left"/>
              <w:rPr>
                <w:sz w:val="22"/>
                <w:szCs w:val="22"/>
              </w:rPr>
            </w:pPr>
            <w:r>
              <w:rPr>
                <w:sz w:val="22"/>
                <w:szCs w:val="22"/>
              </w:rPr>
              <w:t>Augustijn</w:t>
            </w:r>
          </w:p>
        </w:tc>
        <w:tc>
          <w:tcPr>
            <w:tcW w:w="3543" w:type="dxa"/>
            <w:shd w:val="clear" w:color="auto" w:fill="auto"/>
            <w:vAlign w:val="center"/>
          </w:tcPr>
          <w:p w:rsidR="0091328E" w:rsidRPr="00F33E3C" w:rsidRDefault="0091328E" w:rsidP="00AE2F8B">
            <w:pPr>
              <w:jc w:val="left"/>
              <w:rPr>
                <w:sz w:val="22"/>
                <w:szCs w:val="22"/>
              </w:rPr>
            </w:pPr>
            <w:r>
              <w:rPr>
                <w:sz w:val="22"/>
                <w:szCs w:val="22"/>
              </w:rPr>
              <w:t>DG ENER B.2</w:t>
            </w:r>
          </w:p>
        </w:tc>
        <w:tc>
          <w:tcPr>
            <w:tcW w:w="1701" w:type="dxa"/>
            <w:shd w:val="clear" w:color="auto" w:fill="auto"/>
            <w:vAlign w:val="center"/>
          </w:tcPr>
          <w:p w:rsidR="0091328E" w:rsidRPr="00F33E3C" w:rsidRDefault="0091328E" w:rsidP="00AE2F8B">
            <w:pPr>
              <w:jc w:val="left"/>
              <w:rPr>
                <w:sz w:val="22"/>
                <w:szCs w:val="22"/>
              </w:rPr>
            </w:pPr>
            <w:r w:rsidRPr="0091328E">
              <w:rPr>
                <w:sz w:val="22"/>
                <w:szCs w:val="22"/>
              </w:rPr>
              <w:t>European Commission</w:t>
            </w:r>
          </w:p>
        </w:tc>
      </w:tr>
      <w:tr w:rsidR="00C459FE" w:rsidRPr="00F33E3C" w:rsidTr="00AE2F8B">
        <w:trPr>
          <w:trHeight w:val="340"/>
        </w:trPr>
        <w:tc>
          <w:tcPr>
            <w:tcW w:w="708" w:type="dxa"/>
            <w:shd w:val="clear" w:color="auto" w:fill="auto"/>
            <w:vAlign w:val="center"/>
          </w:tcPr>
          <w:p w:rsidR="00AE2F8B" w:rsidRPr="00F33E3C" w:rsidRDefault="00AE2F8B" w:rsidP="00AE2F8B">
            <w:pPr>
              <w:jc w:val="left"/>
              <w:rPr>
                <w:sz w:val="22"/>
                <w:szCs w:val="22"/>
              </w:rPr>
            </w:pPr>
            <w:r w:rsidRPr="00F33E3C">
              <w:rPr>
                <w:sz w:val="22"/>
                <w:szCs w:val="22"/>
              </w:rPr>
              <w:t>Ms</w:t>
            </w:r>
          </w:p>
        </w:tc>
        <w:tc>
          <w:tcPr>
            <w:tcW w:w="2519" w:type="dxa"/>
            <w:shd w:val="clear" w:color="auto" w:fill="auto"/>
            <w:vAlign w:val="center"/>
          </w:tcPr>
          <w:p w:rsidR="00AE2F8B" w:rsidRPr="00F33E3C" w:rsidRDefault="00AE2F8B" w:rsidP="00AE2F8B">
            <w:pPr>
              <w:jc w:val="left"/>
              <w:rPr>
                <w:sz w:val="22"/>
                <w:szCs w:val="22"/>
              </w:rPr>
            </w:pPr>
            <w:r w:rsidRPr="00F33E3C">
              <w:rPr>
                <w:sz w:val="22"/>
                <w:szCs w:val="22"/>
              </w:rPr>
              <w:t>WARDAL</w:t>
            </w:r>
          </w:p>
        </w:tc>
        <w:tc>
          <w:tcPr>
            <w:tcW w:w="1276" w:type="dxa"/>
            <w:shd w:val="clear" w:color="auto" w:fill="auto"/>
            <w:vAlign w:val="center"/>
          </w:tcPr>
          <w:p w:rsidR="00AE2F8B" w:rsidRPr="00F33E3C" w:rsidRDefault="00B211D4" w:rsidP="00AE2F8B">
            <w:pPr>
              <w:jc w:val="left"/>
              <w:rPr>
                <w:sz w:val="22"/>
                <w:szCs w:val="22"/>
              </w:rPr>
            </w:pPr>
            <w:hyperlink r:id="rId17" w:history="1">
              <w:r w:rsidR="00AE2F8B" w:rsidRPr="00F33E3C">
                <w:rPr>
                  <w:sz w:val="22"/>
                  <w:szCs w:val="22"/>
                </w:rPr>
                <w:t>Katarzyna</w:t>
              </w:r>
            </w:hyperlink>
          </w:p>
        </w:tc>
        <w:tc>
          <w:tcPr>
            <w:tcW w:w="3543" w:type="dxa"/>
            <w:shd w:val="clear" w:color="auto" w:fill="auto"/>
            <w:vAlign w:val="center"/>
          </w:tcPr>
          <w:p w:rsidR="00AE2F8B" w:rsidRPr="00F33E3C" w:rsidRDefault="00AE2F8B" w:rsidP="00AE2F8B">
            <w:pPr>
              <w:jc w:val="left"/>
              <w:rPr>
                <w:sz w:val="22"/>
                <w:szCs w:val="22"/>
              </w:rPr>
            </w:pPr>
            <w:r w:rsidRPr="00F33E3C">
              <w:rPr>
                <w:sz w:val="22"/>
                <w:szCs w:val="22"/>
              </w:rPr>
              <w:t>EFIEES</w:t>
            </w:r>
          </w:p>
        </w:tc>
        <w:tc>
          <w:tcPr>
            <w:tcW w:w="1701" w:type="dxa"/>
            <w:shd w:val="clear" w:color="auto" w:fill="auto"/>
            <w:vAlign w:val="center"/>
          </w:tcPr>
          <w:p w:rsidR="00AE2F8B" w:rsidRPr="00F33E3C" w:rsidRDefault="00AE2F8B" w:rsidP="00AE2F8B">
            <w:pPr>
              <w:jc w:val="left"/>
              <w:rPr>
                <w:sz w:val="22"/>
                <w:szCs w:val="22"/>
              </w:rPr>
            </w:pPr>
            <w:r w:rsidRPr="00F33E3C">
              <w:rPr>
                <w:sz w:val="22"/>
                <w:szCs w:val="22"/>
              </w:rPr>
              <w:t>European Organisation</w:t>
            </w:r>
          </w:p>
        </w:tc>
      </w:tr>
      <w:tr w:rsidR="00C459FE" w:rsidRPr="00F33E3C" w:rsidTr="00AE2F8B">
        <w:trPr>
          <w:trHeight w:val="340"/>
        </w:trPr>
        <w:tc>
          <w:tcPr>
            <w:tcW w:w="708" w:type="dxa"/>
            <w:shd w:val="clear" w:color="auto" w:fill="auto"/>
            <w:vAlign w:val="center"/>
          </w:tcPr>
          <w:p w:rsidR="00983D03" w:rsidRPr="00F33E3C" w:rsidRDefault="00983D03" w:rsidP="00AE2F8B">
            <w:pPr>
              <w:jc w:val="left"/>
              <w:rPr>
                <w:sz w:val="22"/>
                <w:szCs w:val="22"/>
              </w:rPr>
            </w:pPr>
            <w:r w:rsidRPr="00F33E3C">
              <w:rPr>
                <w:sz w:val="22"/>
                <w:szCs w:val="22"/>
              </w:rPr>
              <w:t>Ms</w:t>
            </w:r>
          </w:p>
        </w:tc>
        <w:tc>
          <w:tcPr>
            <w:tcW w:w="2519" w:type="dxa"/>
            <w:shd w:val="clear" w:color="auto" w:fill="auto"/>
            <w:vAlign w:val="center"/>
          </w:tcPr>
          <w:p w:rsidR="00983D03" w:rsidRPr="00F33E3C" w:rsidRDefault="00983D03" w:rsidP="00AE2F8B">
            <w:pPr>
              <w:jc w:val="left"/>
              <w:rPr>
                <w:sz w:val="22"/>
                <w:szCs w:val="22"/>
              </w:rPr>
            </w:pPr>
            <w:r w:rsidRPr="00F33E3C">
              <w:rPr>
                <w:sz w:val="22"/>
                <w:szCs w:val="22"/>
              </w:rPr>
              <w:t>YEARWOOD</w:t>
            </w:r>
          </w:p>
        </w:tc>
        <w:tc>
          <w:tcPr>
            <w:tcW w:w="1276" w:type="dxa"/>
            <w:shd w:val="clear" w:color="auto" w:fill="auto"/>
            <w:vAlign w:val="center"/>
          </w:tcPr>
          <w:p w:rsidR="00983D03" w:rsidRPr="00F33E3C" w:rsidRDefault="00983D03" w:rsidP="00AE2F8B">
            <w:pPr>
              <w:jc w:val="left"/>
              <w:rPr>
                <w:sz w:val="22"/>
                <w:szCs w:val="22"/>
              </w:rPr>
            </w:pPr>
            <w:r w:rsidRPr="00F33E3C">
              <w:rPr>
                <w:sz w:val="22"/>
                <w:szCs w:val="22"/>
              </w:rPr>
              <w:t>Jessica</w:t>
            </w:r>
          </w:p>
        </w:tc>
        <w:tc>
          <w:tcPr>
            <w:tcW w:w="3543" w:type="dxa"/>
            <w:shd w:val="clear" w:color="auto" w:fill="auto"/>
            <w:vAlign w:val="center"/>
          </w:tcPr>
          <w:p w:rsidR="00983D03" w:rsidRPr="00F33E3C" w:rsidRDefault="00983D03" w:rsidP="00AE2F8B">
            <w:pPr>
              <w:jc w:val="left"/>
              <w:rPr>
                <w:sz w:val="22"/>
                <w:szCs w:val="22"/>
              </w:rPr>
            </w:pPr>
            <w:r w:rsidRPr="00F33E3C">
              <w:rPr>
                <w:sz w:val="22"/>
                <w:szCs w:val="22"/>
              </w:rPr>
              <w:t>Trinomics</w:t>
            </w:r>
          </w:p>
        </w:tc>
        <w:tc>
          <w:tcPr>
            <w:tcW w:w="1701" w:type="dxa"/>
            <w:shd w:val="clear" w:color="auto" w:fill="auto"/>
            <w:vAlign w:val="center"/>
          </w:tcPr>
          <w:p w:rsidR="00983D03" w:rsidRPr="00F33E3C" w:rsidRDefault="00983D03" w:rsidP="00AE2F8B">
            <w:pPr>
              <w:jc w:val="left"/>
              <w:rPr>
                <w:sz w:val="22"/>
                <w:szCs w:val="22"/>
              </w:rPr>
            </w:pPr>
          </w:p>
        </w:tc>
      </w:tr>
    </w:tbl>
    <w:p w:rsidR="00D026CC" w:rsidRPr="00F33E3C" w:rsidRDefault="00D026CC" w:rsidP="00D16599">
      <w:pPr>
        <w:jc w:val="center"/>
        <w:rPr>
          <w:sz w:val="22"/>
          <w:szCs w:val="22"/>
        </w:rPr>
      </w:pPr>
      <w:r w:rsidRPr="00F33E3C">
        <w:rPr>
          <w:sz w:val="22"/>
          <w:szCs w:val="22"/>
        </w:rPr>
        <w:br w:type="page"/>
      </w:r>
    </w:p>
    <w:p w:rsidR="00D026CC" w:rsidRPr="00F33E3C" w:rsidRDefault="00D026CC" w:rsidP="00D16599">
      <w:pPr>
        <w:jc w:val="center"/>
        <w:rPr>
          <w:b/>
          <w:szCs w:val="24"/>
        </w:rPr>
      </w:pPr>
      <w:r w:rsidRPr="00F33E3C">
        <w:rPr>
          <w:b/>
          <w:szCs w:val="24"/>
        </w:rPr>
        <w:t>ANNEX II</w:t>
      </w:r>
    </w:p>
    <w:p w:rsidR="00817AC4" w:rsidRPr="00F33E3C" w:rsidRDefault="00817AC4" w:rsidP="00D16599">
      <w:pPr>
        <w:jc w:val="center"/>
        <w:rPr>
          <w:b/>
          <w:szCs w:val="24"/>
        </w:rPr>
      </w:pPr>
    </w:p>
    <w:tbl>
      <w:tblPr>
        <w:tblW w:w="9468" w:type="dxa"/>
        <w:tblInd w:w="284" w:type="dxa"/>
        <w:tblLayout w:type="fixed"/>
        <w:tblCellMar>
          <w:left w:w="0" w:type="dxa"/>
          <w:right w:w="0" w:type="dxa"/>
        </w:tblCellMar>
        <w:tblLook w:val="0000" w:firstRow="0" w:lastRow="0" w:firstColumn="0" w:lastColumn="0" w:noHBand="0" w:noVBand="0"/>
      </w:tblPr>
      <w:tblGrid>
        <w:gridCol w:w="2381"/>
        <w:gridCol w:w="7087"/>
      </w:tblGrid>
      <w:tr w:rsidR="00C459FE" w:rsidRPr="00F33E3C" w:rsidTr="000256E7">
        <w:trPr>
          <w:trHeight w:val="1440"/>
        </w:trPr>
        <w:tc>
          <w:tcPr>
            <w:tcW w:w="2381" w:type="dxa"/>
            <w:tcBorders>
              <w:top w:val="nil"/>
              <w:left w:val="nil"/>
              <w:bottom w:val="nil"/>
              <w:right w:val="nil"/>
            </w:tcBorders>
          </w:tcPr>
          <w:p w:rsidR="000A4CEC" w:rsidRPr="00F33E3C" w:rsidRDefault="000A4CEC" w:rsidP="000256E7">
            <w:pPr>
              <w:widowControl w:val="0"/>
              <w:autoSpaceDE w:val="0"/>
              <w:autoSpaceDN w:val="0"/>
              <w:ind w:right="85"/>
              <w:rPr>
                <w:rFonts w:ascii="Arial" w:hAnsi="Arial" w:cs="Arial"/>
                <w:szCs w:val="24"/>
                <w:lang w:eastAsia="en-GB"/>
              </w:rPr>
            </w:pPr>
            <w:r w:rsidRPr="00F33E3C">
              <w:rPr>
                <w:rFonts w:ascii="Arial" w:hAnsi="Arial" w:cs="Arial"/>
                <w:noProof/>
                <w:sz w:val="20"/>
                <w:lang w:eastAsia="en-GB"/>
              </w:rPr>
              <w:drawing>
                <wp:inline distT="0" distB="0" distL="0" distR="0" wp14:anchorId="4FECAC0E" wp14:editId="459175D1">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0A4CEC" w:rsidRPr="00F33E3C" w:rsidRDefault="000A4CEC" w:rsidP="000256E7">
            <w:pPr>
              <w:widowControl w:val="0"/>
              <w:autoSpaceDE w:val="0"/>
              <w:autoSpaceDN w:val="0"/>
              <w:spacing w:before="90"/>
              <w:ind w:right="85"/>
              <w:rPr>
                <w:rFonts w:ascii="Arial" w:hAnsi="Arial" w:cs="Arial"/>
                <w:szCs w:val="24"/>
                <w:lang w:eastAsia="en-GB"/>
              </w:rPr>
            </w:pPr>
            <w:r w:rsidRPr="00F33E3C">
              <w:rPr>
                <w:rFonts w:ascii="Arial" w:hAnsi="Arial" w:cs="Arial"/>
                <w:szCs w:val="24"/>
                <w:lang w:eastAsia="en-GB"/>
              </w:rPr>
              <w:t>EUROPEAN COMMISSION</w:t>
            </w:r>
          </w:p>
          <w:p w:rsidR="000A4CEC" w:rsidRPr="00F33E3C" w:rsidRDefault="000A4CEC" w:rsidP="000256E7">
            <w:pPr>
              <w:widowControl w:val="0"/>
              <w:autoSpaceDE w:val="0"/>
              <w:autoSpaceDN w:val="0"/>
              <w:ind w:right="85"/>
              <w:rPr>
                <w:rFonts w:ascii="Arial" w:hAnsi="Arial" w:cs="Arial"/>
                <w:sz w:val="16"/>
                <w:szCs w:val="16"/>
                <w:lang w:eastAsia="en-GB"/>
              </w:rPr>
            </w:pPr>
            <w:r w:rsidRPr="00F33E3C">
              <w:rPr>
                <w:rFonts w:ascii="Arial" w:hAnsi="Arial" w:cs="Arial"/>
                <w:sz w:val="16"/>
                <w:szCs w:val="16"/>
                <w:lang w:eastAsia="en-GB"/>
              </w:rPr>
              <w:t>DIRECTORATE-GENERAL FOR ENERGY</w:t>
            </w:r>
          </w:p>
          <w:p w:rsidR="000A4CEC" w:rsidRPr="00F33E3C" w:rsidRDefault="000A4CEC" w:rsidP="000256E7">
            <w:pPr>
              <w:widowControl w:val="0"/>
              <w:autoSpaceDE w:val="0"/>
              <w:autoSpaceDN w:val="0"/>
              <w:ind w:right="85"/>
              <w:rPr>
                <w:rFonts w:ascii="Arial" w:hAnsi="Arial" w:cs="Arial"/>
                <w:sz w:val="16"/>
                <w:szCs w:val="16"/>
                <w:lang w:eastAsia="en-GB"/>
              </w:rPr>
            </w:pPr>
          </w:p>
          <w:p w:rsidR="000A4CEC" w:rsidRPr="00F33E3C" w:rsidRDefault="000A4CEC" w:rsidP="000256E7">
            <w:pPr>
              <w:widowControl w:val="0"/>
              <w:autoSpaceDE w:val="0"/>
              <w:autoSpaceDN w:val="0"/>
              <w:ind w:right="85"/>
              <w:rPr>
                <w:rFonts w:ascii="Arial" w:hAnsi="Arial" w:cs="Arial"/>
                <w:sz w:val="16"/>
                <w:szCs w:val="16"/>
                <w:lang w:eastAsia="en-GB"/>
              </w:rPr>
            </w:pPr>
            <w:r w:rsidRPr="00F33E3C">
              <w:rPr>
                <w:rFonts w:ascii="Arial" w:hAnsi="Arial" w:cs="Arial"/>
                <w:sz w:val="16"/>
                <w:szCs w:val="16"/>
                <w:lang w:eastAsia="en-GB"/>
              </w:rPr>
              <w:t>Directorate B - Internal Energy Market</w:t>
            </w:r>
          </w:p>
          <w:p w:rsidR="000A4CEC" w:rsidRPr="00F33E3C" w:rsidRDefault="000A4CEC" w:rsidP="000256E7">
            <w:pPr>
              <w:widowControl w:val="0"/>
              <w:autoSpaceDE w:val="0"/>
              <w:autoSpaceDN w:val="0"/>
              <w:ind w:right="85"/>
              <w:rPr>
                <w:rFonts w:ascii="Arial" w:hAnsi="Arial" w:cs="Arial"/>
                <w:sz w:val="16"/>
                <w:szCs w:val="16"/>
                <w:lang w:eastAsia="en-GB"/>
              </w:rPr>
            </w:pPr>
            <w:r w:rsidRPr="00F33E3C">
              <w:rPr>
                <w:rFonts w:ascii="Arial" w:hAnsi="Arial" w:cs="Arial"/>
                <w:b/>
                <w:bCs/>
                <w:sz w:val="16"/>
                <w:szCs w:val="16"/>
                <w:lang w:eastAsia="en-GB"/>
              </w:rPr>
              <w:t>B.3 - Retail markets; coal &amp; oil</w:t>
            </w:r>
          </w:p>
          <w:p w:rsidR="000A4CEC" w:rsidRPr="00F33E3C" w:rsidRDefault="000A4CEC" w:rsidP="000256E7">
            <w:pPr>
              <w:widowControl w:val="0"/>
              <w:autoSpaceDE w:val="0"/>
              <w:autoSpaceDN w:val="0"/>
              <w:ind w:right="85"/>
              <w:rPr>
                <w:rFonts w:ascii="Arial" w:hAnsi="Arial" w:cs="Arial"/>
                <w:sz w:val="16"/>
                <w:szCs w:val="16"/>
                <w:lang w:eastAsia="en-GB"/>
              </w:rPr>
            </w:pPr>
          </w:p>
        </w:tc>
      </w:tr>
    </w:tbl>
    <w:p w:rsidR="000A4CEC" w:rsidRPr="00F33E3C" w:rsidRDefault="000A4CEC" w:rsidP="000A4CEC">
      <w:pPr>
        <w:jc w:val="center"/>
        <w:rPr>
          <w:b/>
          <w:sz w:val="27"/>
          <w:szCs w:val="27"/>
          <w:lang w:eastAsia="en-GB"/>
        </w:rPr>
      </w:pPr>
      <w:r w:rsidRPr="00F33E3C">
        <w:rPr>
          <w:b/>
          <w:sz w:val="27"/>
          <w:szCs w:val="27"/>
          <w:lang w:eastAsia="en-GB"/>
        </w:rPr>
        <w:t>VULNERABLE CONSUMER WORKING GROUP</w:t>
      </w:r>
    </w:p>
    <w:p w:rsidR="000A4CEC" w:rsidRPr="00F33E3C" w:rsidRDefault="000A4CEC" w:rsidP="000A4CEC">
      <w:pPr>
        <w:jc w:val="center"/>
        <w:rPr>
          <w:b/>
          <w:sz w:val="27"/>
          <w:szCs w:val="27"/>
          <w:lang w:eastAsia="en-GB"/>
        </w:rPr>
      </w:pPr>
      <w:r w:rsidRPr="00F33E3C">
        <w:rPr>
          <w:b/>
          <w:sz w:val="27"/>
          <w:szCs w:val="27"/>
          <w:lang w:eastAsia="en-GB"/>
        </w:rPr>
        <w:t xml:space="preserve">AGENDA </w:t>
      </w:r>
    </w:p>
    <w:p w:rsidR="000A4CEC" w:rsidRPr="00F33E3C" w:rsidRDefault="000A4CEC" w:rsidP="000A4CEC">
      <w:pPr>
        <w:spacing w:line="360" w:lineRule="auto"/>
        <w:jc w:val="center"/>
        <w:rPr>
          <w:b/>
          <w:sz w:val="27"/>
          <w:szCs w:val="27"/>
          <w:lang w:eastAsia="en-GB"/>
        </w:rPr>
      </w:pPr>
      <w:r w:rsidRPr="00F33E3C">
        <w:rPr>
          <w:b/>
          <w:sz w:val="27"/>
          <w:szCs w:val="27"/>
          <w:lang w:eastAsia="en-GB"/>
        </w:rPr>
        <w:t>Brussels, 9 December 2015, 09:30 - 15:00</w:t>
      </w:r>
    </w:p>
    <w:p w:rsidR="000A4CEC" w:rsidRPr="00F33E3C" w:rsidRDefault="000A4CEC" w:rsidP="000A4CEC">
      <w:pPr>
        <w:tabs>
          <w:tab w:val="left" w:pos="2835"/>
        </w:tabs>
        <w:ind w:left="1985"/>
        <w:rPr>
          <w:szCs w:val="24"/>
          <w:lang w:eastAsia="en-GB"/>
        </w:rPr>
      </w:pPr>
      <w:r w:rsidRPr="00F33E3C">
        <w:rPr>
          <w:szCs w:val="24"/>
          <w:lang w:eastAsia="en-GB"/>
        </w:rPr>
        <w:tab/>
        <w:t>Venue:</w:t>
      </w:r>
      <w:r w:rsidRPr="00F33E3C">
        <w:rPr>
          <w:szCs w:val="24"/>
          <w:lang w:eastAsia="en-GB"/>
        </w:rPr>
        <w:tab/>
        <w:t>Meeting room DM 24 03/58</w:t>
      </w:r>
    </w:p>
    <w:p w:rsidR="000A4CEC" w:rsidRPr="00F33E3C" w:rsidRDefault="000A4CEC" w:rsidP="000A4CEC">
      <w:pPr>
        <w:tabs>
          <w:tab w:val="left" w:pos="2835"/>
        </w:tabs>
        <w:ind w:left="1276"/>
        <w:rPr>
          <w:szCs w:val="24"/>
          <w:lang w:eastAsia="en-GB"/>
        </w:rPr>
      </w:pPr>
      <w:r w:rsidRPr="00F33E3C">
        <w:rPr>
          <w:szCs w:val="24"/>
          <w:lang w:eastAsia="en-GB"/>
        </w:rPr>
        <w:tab/>
        <w:t>Rue De Mot 24, 1040 Brussels</w:t>
      </w:r>
    </w:p>
    <w:p w:rsidR="000A4CEC" w:rsidRPr="00F33E3C" w:rsidRDefault="000A4CEC" w:rsidP="000A4CEC"/>
    <w:p w:rsidR="000A4CEC" w:rsidRPr="00F33E3C" w:rsidRDefault="000A4CEC" w:rsidP="000A4CEC">
      <w:pPr>
        <w:tabs>
          <w:tab w:val="left" w:pos="1418"/>
        </w:tabs>
      </w:pPr>
      <w:r w:rsidRPr="00F33E3C">
        <w:t>09:30</w:t>
      </w:r>
      <w:r w:rsidRPr="00F33E3C">
        <w:tab/>
      </w:r>
      <w:r w:rsidRPr="00F33E3C">
        <w:rPr>
          <w:b/>
        </w:rPr>
        <w:t>Welcome</w:t>
      </w:r>
      <w:r w:rsidRPr="00F33E3C">
        <w:t>: Jan Panek, Head of Unit B.3, DG ENER</w:t>
      </w:r>
    </w:p>
    <w:p w:rsidR="000A4CEC" w:rsidRPr="00F33E3C" w:rsidRDefault="000A4CEC" w:rsidP="000A4CEC">
      <w:pPr>
        <w:tabs>
          <w:tab w:val="left" w:pos="1418"/>
        </w:tabs>
      </w:pPr>
      <w:r w:rsidRPr="00F33E3C">
        <w:tab/>
      </w:r>
    </w:p>
    <w:p w:rsidR="000A4CEC" w:rsidRPr="00F33E3C" w:rsidRDefault="000A4CEC" w:rsidP="000A4CEC">
      <w:pPr>
        <w:tabs>
          <w:tab w:val="left" w:pos="1418"/>
        </w:tabs>
        <w:ind w:left="1418" w:hanging="1418"/>
        <w:rPr>
          <w:szCs w:val="24"/>
        </w:rPr>
      </w:pPr>
      <w:r w:rsidRPr="00F33E3C">
        <w:rPr>
          <w:szCs w:val="24"/>
        </w:rPr>
        <w:t>09:45</w:t>
      </w:r>
      <w:r w:rsidRPr="00F33E3C">
        <w:rPr>
          <w:szCs w:val="24"/>
        </w:rPr>
        <w:tab/>
      </w:r>
      <w:r w:rsidRPr="00F33E3C">
        <w:rPr>
          <w:b/>
          <w:szCs w:val="24"/>
        </w:rPr>
        <w:t>Review of</w:t>
      </w:r>
      <w:r w:rsidRPr="00F33E3C">
        <w:rPr>
          <w:szCs w:val="24"/>
        </w:rPr>
        <w:t xml:space="preserve"> </w:t>
      </w:r>
      <w:r w:rsidRPr="00F33E3C">
        <w:rPr>
          <w:b/>
          <w:szCs w:val="24"/>
        </w:rPr>
        <w:t>EU Energy Legislation</w:t>
      </w:r>
    </w:p>
    <w:p w:rsidR="000A4CEC" w:rsidRPr="00F33E3C" w:rsidRDefault="000A4CEC" w:rsidP="000A4CEC">
      <w:pPr>
        <w:numPr>
          <w:ilvl w:val="2"/>
          <w:numId w:val="29"/>
        </w:numPr>
        <w:ind w:left="1637"/>
        <w:jc w:val="left"/>
        <w:rPr>
          <w:u w:val="single"/>
        </w:rPr>
      </w:pPr>
      <w:r w:rsidRPr="00F33E3C">
        <w:rPr>
          <w:u w:val="single"/>
        </w:rPr>
        <w:t>New Energy Market Design Initiative</w:t>
      </w:r>
    </w:p>
    <w:p w:rsidR="000A4CEC" w:rsidRPr="00F33E3C" w:rsidRDefault="000A4CEC" w:rsidP="000A4CEC">
      <w:pPr>
        <w:ind w:left="1701"/>
        <w:rPr>
          <w:szCs w:val="24"/>
        </w:rPr>
      </w:pPr>
      <w:r w:rsidRPr="00F33E3C">
        <w:rPr>
          <w:szCs w:val="24"/>
        </w:rPr>
        <w:t>Short Overview and Q&amp;A</w:t>
      </w:r>
    </w:p>
    <w:p w:rsidR="000A4CEC" w:rsidRPr="00F33E3C" w:rsidRDefault="000A4CEC" w:rsidP="000A4CEC">
      <w:pPr>
        <w:ind w:left="1701"/>
        <w:rPr>
          <w:i/>
          <w:lang w:val="nl-NL"/>
        </w:rPr>
      </w:pPr>
      <w:r w:rsidRPr="00F33E3C">
        <w:rPr>
          <w:i/>
          <w:lang w:val="nl-NL"/>
        </w:rPr>
        <w:t>Augustijn van Haasteren, DG ENER B.2</w:t>
      </w:r>
    </w:p>
    <w:p w:rsidR="000A4CEC" w:rsidRPr="00F33E3C" w:rsidRDefault="000A4CEC" w:rsidP="000A4CEC">
      <w:pPr>
        <w:numPr>
          <w:ilvl w:val="2"/>
          <w:numId w:val="29"/>
        </w:numPr>
        <w:ind w:left="1702" w:hanging="284"/>
        <w:jc w:val="left"/>
        <w:rPr>
          <w:szCs w:val="24"/>
        </w:rPr>
      </w:pPr>
      <w:r w:rsidRPr="00F33E3C">
        <w:rPr>
          <w:u w:val="single"/>
        </w:rPr>
        <w:t>Renewable Energy Directive and Best practises on Renewable Energy Self Consumption</w:t>
      </w:r>
    </w:p>
    <w:p w:rsidR="000A4CEC" w:rsidRPr="00F33E3C" w:rsidRDefault="000A4CEC" w:rsidP="000A4CEC">
      <w:pPr>
        <w:ind w:left="1701"/>
      </w:pPr>
      <w:r w:rsidRPr="00F33E3C">
        <w:rPr>
          <w:szCs w:val="24"/>
        </w:rPr>
        <w:t xml:space="preserve">Short Presentation </w:t>
      </w:r>
      <w:r w:rsidRPr="00F33E3C">
        <w:t>and Q&amp;A</w:t>
      </w:r>
    </w:p>
    <w:p w:rsidR="000A4CEC" w:rsidRPr="00F33E3C" w:rsidRDefault="000A4CEC" w:rsidP="000A4CEC">
      <w:pPr>
        <w:ind w:left="1701"/>
        <w:rPr>
          <w:i/>
        </w:rPr>
      </w:pPr>
      <w:r w:rsidRPr="00F33E3C">
        <w:rPr>
          <w:i/>
        </w:rPr>
        <w:t>Guilio Volpi (tbc), DG ENER C1</w:t>
      </w:r>
    </w:p>
    <w:p w:rsidR="000A4CEC" w:rsidRPr="00F33E3C" w:rsidRDefault="000A4CEC" w:rsidP="000A4CEC">
      <w:pPr>
        <w:tabs>
          <w:tab w:val="left" w:pos="1418"/>
        </w:tabs>
        <w:ind w:left="1418" w:hanging="1418"/>
      </w:pPr>
    </w:p>
    <w:p w:rsidR="000A4CEC" w:rsidRPr="00F33E3C" w:rsidRDefault="000A4CEC" w:rsidP="000A4CEC">
      <w:pPr>
        <w:tabs>
          <w:tab w:val="left" w:pos="1418"/>
          <w:tab w:val="left" w:pos="2127"/>
        </w:tabs>
        <w:ind w:left="1418" w:hanging="1418"/>
        <w:rPr>
          <w:i/>
        </w:rPr>
      </w:pPr>
      <w:r w:rsidRPr="00F33E3C">
        <w:rPr>
          <w:szCs w:val="24"/>
        </w:rPr>
        <w:t>10:45</w:t>
      </w:r>
      <w:r w:rsidRPr="00F33E3C">
        <w:rPr>
          <w:b/>
          <w:i/>
          <w:szCs w:val="24"/>
        </w:rPr>
        <w:tab/>
        <w:t>Coffee Break</w:t>
      </w:r>
    </w:p>
    <w:p w:rsidR="000A4CEC" w:rsidRPr="00F33E3C" w:rsidRDefault="000A4CEC" w:rsidP="000A4CEC">
      <w:pPr>
        <w:tabs>
          <w:tab w:val="left" w:pos="1418"/>
        </w:tabs>
        <w:ind w:left="1418" w:hanging="1418"/>
      </w:pPr>
    </w:p>
    <w:p w:rsidR="000A4CEC" w:rsidRPr="00F33E3C" w:rsidRDefault="000A4CEC" w:rsidP="000A4CEC">
      <w:pPr>
        <w:tabs>
          <w:tab w:val="left" w:pos="1418"/>
        </w:tabs>
        <w:ind w:left="1418" w:hanging="1418"/>
        <w:rPr>
          <w:b/>
        </w:rPr>
      </w:pPr>
      <w:r w:rsidRPr="00F33E3C">
        <w:t>11:00</w:t>
      </w:r>
      <w:r w:rsidRPr="00F33E3C">
        <w:tab/>
      </w:r>
      <w:r w:rsidRPr="00F33E3C">
        <w:rPr>
          <w:b/>
        </w:rPr>
        <w:t xml:space="preserve">Increasing Transparency on Energy Poverty </w:t>
      </w:r>
    </w:p>
    <w:p w:rsidR="000A4CEC" w:rsidRPr="00F33E3C" w:rsidRDefault="000A4CEC" w:rsidP="000A4CEC">
      <w:pPr>
        <w:numPr>
          <w:ilvl w:val="2"/>
          <w:numId w:val="29"/>
        </w:numPr>
        <w:ind w:left="1702" w:hanging="284"/>
        <w:jc w:val="left"/>
        <w:rPr>
          <w:u w:val="single"/>
        </w:rPr>
      </w:pPr>
      <w:r w:rsidRPr="00F33E3C">
        <w:rPr>
          <w:u w:val="single"/>
        </w:rPr>
        <w:t xml:space="preserve">Affordability of utilities' services: extent, practice, policy </w:t>
      </w:r>
    </w:p>
    <w:p w:rsidR="000A4CEC" w:rsidRPr="00F33E3C" w:rsidRDefault="000A4CEC" w:rsidP="000A4CEC">
      <w:pPr>
        <w:ind w:left="1701"/>
      </w:pPr>
      <w:r w:rsidRPr="00F33E3C">
        <w:t>Presentation of CERRE report and Q&amp;A</w:t>
      </w:r>
    </w:p>
    <w:p w:rsidR="000A4CEC" w:rsidRPr="00F33E3C" w:rsidRDefault="000A4CEC" w:rsidP="000A4CEC">
      <w:pPr>
        <w:ind w:left="1701"/>
        <w:rPr>
          <w:i/>
        </w:rPr>
      </w:pPr>
      <w:r w:rsidRPr="00F33E3C">
        <w:rPr>
          <w:i/>
        </w:rPr>
        <w:t>David Deller, University of East Anglia</w:t>
      </w:r>
    </w:p>
    <w:p w:rsidR="000A4CEC" w:rsidRPr="00F33E3C" w:rsidRDefault="000A4CEC" w:rsidP="000A4CEC">
      <w:pPr>
        <w:numPr>
          <w:ilvl w:val="2"/>
          <w:numId w:val="29"/>
        </w:numPr>
        <w:ind w:left="1702" w:hanging="284"/>
        <w:jc w:val="left"/>
        <w:rPr>
          <w:u w:val="single"/>
        </w:rPr>
      </w:pPr>
      <w:r w:rsidRPr="00F33E3C">
        <w:rPr>
          <w:u w:val="single"/>
        </w:rPr>
        <w:t>Selecting Indicators to Measure Energy Poverty</w:t>
      </w:r>
    </w:p>
    <w:p w:rsidR="000A4CEC" w:rsidRPr="00F33E3C" w:rsidRDefault="000A4CEC" w:rsidP="000A4CEC">
      <w:pPr>
        <w:ind w:left="1701"/>
      </w:pPr>
      <w:r w:rsidRPr="00F33E3C">
        <w:t>Outline of the working plan and methodology and Q&amp;A</w:t>
      </w:r>
    </w:p>
    <w:p w:rsidR="000A4CEC" w:rsidRPr="00F33E3C" w:rsidRDefault="000A4CEC" w:rsidP="000A4CEC">
      <w:pPr>
        <w:ind w:left="1701"/>
        <w:rPr>
          <w:i/>
        </w:rPr>
      </w:pPr>
      <w:r w:rsidRPr="00F33E3C">
        <w:rPr>
          <w:i/>
        </w:rPr>
        <w:t xml:space="preserve">Jessica Yearwood, Trinomics </w:t>
      </w:r>
    </w:p>
    <w:p w:rsidR="000A4CEC" w:rsidRPr="00F33E3C" w:rsidRDefault="000A4CEC" w:rsidP="000A4CEC">
      <w:pPr>
        <w:tabs>
          <w:tab w:val="left" w:pos="1418"/>
        </w:tabs>
        <w:ind w:left="1418" w:hanging="1418"/>
        <w:rPr>
          <w:b/>
          <w:u w:val="single"/>
        </w:rPr>
      </w:pPr>
    </w:p>
    <w:p w:rsidR="000A4CEC" w:rsidRPr="00F33E3C" w:rsidRDefault="000A4CEC" w:rsidP="000A4CEC">
      <w:pPr>
        <w:ind w:left="1418" w:hanging="1418"/>
        <w:rPr>
          <w:szCs w:val="24"/>
        </w:rPr>
      </w:pPr>
      <w:r w:rsidRPr="00F33E3C">
        <w:rPr>
          <w:szCs w:val="24"/>
        </w:rPr>
        <w:t>12:15</w:t>
      </w:r>
      <w:r w:rsidRPr="00F33E3C">
        <w:rPr>
          <w:szCs w:val="24"/>
        </w:rPr>
        <w:tab/>
      </w:r>
      <w:r w:rsidRPr="00F33E3C">
        <w:rPr>
          <w:b/>
          <w:szCs w:val="24"/>
        </w:rPr>
        <w:t>Lunch Break</w:t>
      </w:r>
    </w:p>
    <w:p w:rsidR="000A4CEC" w:rsidRPr="00F33E3C" w:rsidRDefault="000A4CEC" w:rsidP="000A4CEC">
      <w:pPr>
        <w:tabs>
          <w:tab w:val="left" w:pos="1418"/>
        </w:tabs>
        <w:ind w:left="1418" w:hanging="1418"/>
        <w:rPr>
          <w:szCs w:val="24"/>
        </w:rPr>
      </w:pPr>
    </w:p>
    <w:p w:rsidR="000A4CEC" w:rsidRPr="00F33E3C" w:rsidRDefault="000A4CEC" w:rsidP="000A4CEC">
      <w:pPr>
        <w:tabs>
          <w:tab w:val="left" w:pos="1418"/>
        </w:tabs>
        <w:ind w:left="1418" w:hanging="1418"/>
        <w:rPr>
          <w:b/>
        </w:rPr>
      </w:pPr>
      <w:r w:rsidRPr="00F33E3C">
        <w:rPr>
          <w:szCs w:val="24"/>
        </w:rPr>
        <w:t>13:00</w:t>
      </w:r>
      <w:r w:rsidRPr="00F33E3C">
        <w:rPr>
          <w:b/>
          <w:szCs w:val="24"/>
        </w:rPr>
        <w:tab/>
      </w:r>
      <w:r w:rsidRPr="00F33E3C">
        <w:rPr>
          <w:b/>
        </w:rPr>
        <w:t>Targeted Assistance for Vulnerable Consumers and Energy Poor</w:t>
      </w:r>
    </w:p>
    <w:p w:rsidR="000A4CEC" w:rsidRPr="00F33E3C" w:rsidRDefault="000A4CEC" w:rsidP="000A4CEC">
      <w:pPr>
        <w:numPr>
          <w:ilvl w:val="2"/>
          <w:numId w:val="29"/>
        </w:numPr>
        <w:ind w:left="1702" w:hanging="284"/>
        <w:jc w:val="left"/>
        <w:rPr>
          <w:u w:val="single"/>
        </w:rPr>
      </w:pPr>
      <w:r w:rsidRPr="00F33E3C">
        <w:rPr>
          <w:u w:val="single"/>
        </w:rPr>
        <w:t>Energy Efficiency: How to avoid a Poverty Trap for Tenants and Overcome the 'Split Incentive'</w:t>
      </w:r>
    </w:p>
    <w:p w:rsidR="000A4CEC" w:rsidRPr="00F33E3C" w:rsidRDefault="000A4CEC" w:rsidP="000A4CEC">
      <w:pPr>
        <w:ind w:left="1701"/>
        <w:rPr>
          <w:lang w:val="it-IT"/>
        </w:rPr>
      </w:pPr>
      <w:r w:rsidRPr="00F33E3C">
        <w:rPr>
          <w:lang w:val="it-IT"/>
        </w:rPr>
        <w:t>Presentation and Q&amp;A</w:t>
      </w:r>
    </w:p>
    <w:p w:rsidR="000A4CEC" w:rsidRPr="00F33E3C" w:rsidRDefault="000A4CEC" w:rsidP="000A4CEC">
      <w:pPr>
        <w:ind w:left="1701"/>
        <w:rPr>
          <w:i/>
          <w:lang w:val="it-IT"/>
        </w:rPr>
      </w:pPr>
      <w:r w:rsidRPr="00F33E3C">
        <w:rPr>
          <w:i/>
          <w:lang w:val="it-IT"/>
        </w:rPr>
        <w:t>Pasquale Davide Lanzillotti (tbc), IUT</w:t>
      </w:r>
    </w:p>
    <w:p w:rsidR="000A4CEC" w:rsidRPr="00F33E3C" w:rsidRDefault="000A4CEC" w:rsidP="000A4CEC">
      <w:pPr>
        <w:numPr>
          <w:ilvl w:val="2"/>
          <w:numId w:val="29"/>
        </w:numPr>
        <w:ind w:left="1702" w:hanging="284"/>
        <w:jc w:val="left"/>
        <w:rPr>
          <w:u w:val="single"/>
        </w:rPr>
      </w:pPr>
      <w:r w:rsidRPr="00F33E3C">
        <w:rPr>
          <w:u w:val="single"/>
        </w:rPr>
        <w:t xml:space="preserve">Energy Efficiency Directive and Energy Performance of Buildings Directive </w:t>
      </w:r>
    </w:p>
    <w:p w:rsidR="000A4CEC" w:rsidRPr="00F33E3C" w:rsidRDefault="000A4CEC" w:rsidP="000A4CEC">
      <w:pPr>
        <w:ind w:left="1701"/>
        <w:rPr>
          <w:szCs w:val="24"/>
        </w:rPr>
      </w:pPr>
      <w:r w:rsidRPr="00F33E3C">
        <w:rPr>
          <w:szCs w:val="24"/>
        </w:rPr>
        <w:t>Short Presentation and Q&amp;A</w:t>
      </w:r>
    </w:p>
    <w:p w:rsidR="000A4CEC" w:rsidRPr="00F33E3C" w:rsidRDefault="000A4CEC" w:rsidP="000A4CEC">
      <w:pPr>
        <w:ind w:left="1701"/>
        <w:rPr>
          <w:i/>
        </w:rPr>
      </w:pPr>
      <w:r w:rsidRPr="00F33E3C">
        <w:rPr>
          <w:i/>
        </w:rPr>
        <w:t>Niels Ladefoged, DG ENER C3</w:t>
      </w:r>
    </w:p>
    <w:p w:rsidR="000A4CEC" w:rsidRPr="00F33E3C" w:rsidRDefault="000A4CEC" w:rsidP="000A4CEC">
      <w:pPr>
        <w:ind w:left="1418" w:hanging="1418"/>
        <w:rPr>
          <w:i/>
        </w:rPr>
      </w:pPr>
    </w:p>
    <w:p w:rsidR="000A4CEC" w:rsidRPr="00F33E3C" w:rsidRDefault="000A4CEC" w:rsidP="000A4CEC">
      <w:pPr>
        <w:ind w:left="1418" w:hanging="1418"/>
        <w:rPr>
          <w:b/>
          <w:szCs w:val="24"/>
        </w:rPr>
      </w:pPr>
      <w:r w:rsidRPr="00F33E3C">
        <w:rPr>
          <w:szCs w:val="24"/>
        </w:rPr>
        <w:t>14:10</w:t>
      </w:r>
      <w:r w:rsidRPr="00F33E3C">
        <w:rPr>
          <w:b/>
          <w:szCs w:val="24"/>
        </w:rPr>
        <w:tab/>
        <w:t>Next steps - VCWG objectives and deliverables for 2015-2016</w:t>
      </w:r>
    </w:p>
    <w:p w:rsidR="000A4CEC" w:rsidRPr="00F33E3C" w:rsidRDefault="000A4CEC" w:rsidP="000A4CEC">
      <w:pPr>
        <w:ind w:left="1418" w:hanging="1418"/>
      </w:pPr>
      <w:r w:rsidRPr="00F33E3C">
        <w:tab/>
        <w:t>Near-term deliverables on consumer vulnerability and energy poverty for New Deal proposals</w:t>
      </w:r>
    </w:p>
    <w:p w:rsidR="000A4CEC" w:rsidRPr="00F33E3C" w:rsidRDefault="000A4CEC" w:rsidP="000A4CEC">
      <w:pPr>
        <w:ind w:left="1418" w:hanging="1418"/>
      </w:pPr>
    </w:p>
    <w:p w:rsidR="000A4CEC" w:rsidRPr="00F33E3C" w:rsidRDefault="000A4CEC" w:rsidP="000A4CEC">
      <w:pPr>
        <w:ind w:left="1418" w:hanging="1418"/>
        <w:rPr>
          <w:szCs w:val="24"/>
        </w:rPr>
      </w:pPr>
      <w:r w:rsidRPr="00F33E3C">
        <w:rPr>
          <w:szCs w:val="24"/>
        </w:rPr>
        <w:t>14:50</w:t>
      </w:r>
      <w:r w:rsidRPr="00F33E3C">
        <w:rPr>
          <w:b/>
          <w:szCs w:val="24"/>
        </w:rPr>
        <w:tab/>
        <w:t xml:space="preserve">Closing </w:t>
      </w:r>
    </w:p>
    <w:sectPr w:rsidR="000A4CEC" w:rsidRPr="00F33E3C" w:rsidSect="00BD5D76">
      <w:footerReference w:type="even" r:id="rId19"/>
      <w:footerReference w:type="default" r:id="rId2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D4" w:rsidRDefault="00B211D4">
      <w:r>
        <w:separator/>
      </w:r>
    </w:p>
  </w:endnote>
  <w:endnote w:type="continuationSeparator" w:id="0">
    <w:p w:rsidR="00B211D4" w:rsidRDefault="00B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FC" w:rsidRDefault="00CC0BFC" w:rsidP="00BD5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BFC" w:rsidRDefault="00CC0BFC" w:rsidP="00BF72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FC" w:rsidRDefault="00CC0BFC" w:rsidP="00BD5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5AF">
      <w:rPr>
        <w:rStyle w:val="PageNumber"/>
        <w:noProof/>
      </w:rPr>
      <w:t>6</w:t>
    </w:r>
    <w:r>
      <w:rPr>
        <w:rStyle w:val="PageNumber"/>
      </w:rPr>
      <w:fldChar w:fldCharType="end"/>
    </w:r>
  </w:p>
  <w:p w:rsidR="00CC0BFC" w:rsidRDefault="00CC0BFC" w:rsidP="00BF725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D4" w:rsidRDefault="00B211D4">
      <w:r>
        <w:separator/>
      </w:r>
    </w:p>
  </w:footnote>
  <w:footnote w:type="continuationSeparator" w:id="0">
    <w:p w:rsidR="00B211D4" w:rsidRDefault="00B211D4">
      <w:r>
        <w:continuationSeparator/>
      </w:r>
    </w:p>
  </w:footnote>
  <w:footnote w:id="1">
    <w:p w:rsidR="00CD0CAC" w:rsidRDefault="00CD0CAC" w:rsidP="00CD0CAC">
      <w:pPr>
        <w:pStyle w:val="FootnoteText"/>
      </w:pPr>
      <w:r>
        <w:rPr>
          <w:rStyle w:val="FootnoteReference"/>
        </w:rPr>
        <w:footnoteRef/>
      </w:r>
      <w:r>
        <w:t xml:space="preserve"> </w:t>
      </w:r>
      <w:r w:rsidR="00436BE8">
        <w:tab/>
      </w:r>
      <w:hyperlink r:id="rId1" w:history="1">
        <w:r w:rsidRPr="009F41AB">
          <w:rPr>
            <w:rStyle w:val="Hyperlink"/>
          </w:rPr>
          <w:t>http://www.cerre.eu/sites/cerre/files/Affordability_FinalReport.pdf</w:t>
        </w:r>
      </w:hyperlink>
      <w:r w:rsidR="009F41AB" w:rsidRPr="009F41AB">
        <w:rPr>
          <w:rStyle w:val="Hyperlink"/>
        </w:rPr>
        <w:t xml:space="preserve"> </w:t>
      </w:r>
    </w:p>
  </w:footnote>
  <w:footnote w:id="2">
    <w:p w:rsidR="002610D5" w:rsidRDefault="002610D5">
      <w:pPr>
        <w:pStyle w:val="FootnoteText"/>
      </w:pPr>
      <w:r>
        <w:rPr>
          <w:rStyle w:val="FootnoteReference"/>
        </w:rPr>
        <w:footnoteRef/>
      </w:r>
      <w:r>
        <w:t xml:space="preserve"> </w:t>
      </w:r>
      <w:r w:rsidR="00436BE8">
        <w:tab/>
      </w:r>
      <w:r>
        <w:t xml:space="preserve">Link to the consultation: </w:t>
      </w:r>
      <w:hyperlink r:id="rId2" w:history="1">
        <w:r w:rsidR="009F41AB" w:rsidRPr="00077B8C">
          <w:rPr>
            <w:rStyle w:val="Hyperlink"/>
          </w:rPr>
          <w:t>https://ec.europa.eu/energy/en/consultations/consultation-review-directive-201227eu-energy-efficiency</w:t>
        </w:r>
      </w:hyperlink>
      <w:r w:rsidR="009F41A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5C17E3"/>
    <w:multiLevelType w:val="hybridMultilevel"/>
    <w:tmpl w:val="369E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60AEE"/>
    <w:multiLevelType w:val="hybridMultilevel"/>
    <w:tmpl w:val="F4C6DAB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94C571C"/>
    <w:multiLevelType w:val="hybridMultilevel"/>
    <w:tmpl w:val="3B3C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6F26EF9"/>
    <w:multiLevelType w:val="hybridMultilevel"/>
    <w:tmpl w:val="3CE22F72"/>
    <w:lvl w:ilvl="0" w:tplc="90C0A8D8">
      <w:start w:val="1"/>
      <w:numFmt w:val="bullet"/>
      <w:lvlText w:val="•"/>
      <w:lvlJc w:val="left"/>
      <w:pPr>
        <w:tabs>
          <w:tab w:val="num" w:pos="720"/>
        </w:tabs>
        <w:ind w:left="720" w:hanging="360"/>
      </w:pPr>
      <w:rPr>
        <w:rFonts w:ascii="Times New Roman" w:hAnsi="Times New Roman" w:hint="default"/>
      </w:rPr>
    </w:lvl>
    <w:lvl w:ilvl="1" w:tplc="0F56C68E">
      <w:start w:val="169"/>
      <w:numFmt w:val="bullet"/>
      <w:lvlText w:val="–"/>
      <w:lvlJc w:val="left"/>
      <w:pPr>
        <w:tabs>
          <w:tab w:val="num" w:pos="1440"/>
        </w:tabs>
        <w:ind w:left="1440" w:hanging="360"/>
      </w:pPr>
      <w:rPr>
        <w:rFonts w:ascii="Times New Roman" w:hAnsi="Times New Roman" w:hint="default"/>
      </w:rPr>
    </w:lvl>
    <w:lvl w:ilvl="2" w:tplc="CFF69092" w:tentative="1">
      <w:start w:val="1"/>
      <w:numFmt w:val="bullet"/>
      <w:lvlText w:val="•"/>
      <w:lvlJc w:val="left"/>
      <w:pPr>
        <w:tabs>
          <w:tab w:val="num" w:pos="2160"/>
        </w:tabs>
        <w:ind w:left="2160" w:hanging="360"/>
      </w:pPr>
      <w:rPr>
        <w:rFonts w:ascii="Times New Roman" w:hAnsi="Times New Roman" w:hint="default"/>
      </w:rPr>
    </w:lvl>
    <w:lvl w:ilvl="3" w:tplc="D4262CBC" w:tentative="1">
      <w:start w:val="1"/>
      <w:numFmt w:val="bullet"/>
      <w:lvlText w:val="•"/>
      <w:lvlJc w:val="left"/>
      <w:pPr>
        <w:tabs>
          <w:tab w:val="num" w:pos="2880"/>
        </w:tabs>
        <w:ind w:left="2880" w:hanging="360"/>
      </w:pPr>
      <w:rPr>
        <w:rFonts w:ascii="Times New Roman" w:hAnsi="Times New Roman" w:hint="default"/>
      </w:rPr>
    </w:lvl>
    <w:lvl w:ilvl="4" w:tplc="95627EE4" w:tentative="1">
      <w:start w:val="1"/>
      <w:numFmt w:val="bullet"/>
      <w:lvlText w:val="•"/>
      <w:lvlJc w:val="left"/>
      <w:pPr>
        <w:tabs>
          <w:tab w:val="num" w:pos="3600"/>
        </w:tabs>
        <w:ind w:left="3600" w:hanging="360"/>
      </w:pPr>
      <w:rPr>
        <w:rFonts w:ascii="Times New Roman" w:hAnsi="Times New Roman" w:hint="default"/>
      </w:rPr>
    </w:lvl>
    <w:lvl w:ilvl="5" w:tplc="9866E50E" w:tentative="1">
      <w:start w:val="1"/>
      <w:numFmt w:val="bullet"/>
      <w:lvlText w:val="•"/>
      <w:lvlJc w:val="left"/>
      <w:pPr>
        <w:tabs>
          <w:tab w:val="num" w:pos="4320"/>
        </w:tabs>
        <w:ind w:left="4320" w:hanging="360"/>
      </w:pPr>
      <w:rPr>
        <w:rFonts w:ascii="Times New Roman" w:hAnsi="Times New Roman" w:hint="default"/>
      </w:rPr>
    </w:lvl>
    <w:lvl w:ilvl="6" w:tplc="D484749C" w:tentative="1">
      <w:start w:val="1"/>
      <w:numFmt w:val="bullet"/>
      <w:lvlText w:val="•"/>
      <w:lvlJc w:val="left"/>
      <w:pPr>
        <w:tabs>
          <w:tab w:val="num" w:pos="5040"/>
        </w:tabs>
        <w:ind w:left="5040" w:hanging="360"/>
      </w:pPr>
      <w:rPr>
        <w:rFonts w:ascii="Times New Roman" w:hAnsi="Times New Roman" w:hint="default"/>
      </w:rPr>
    </w:lvl>
    <w:lvl w:ilvl="7" w:tplc="1C0C60BA" w:tentative="1">
      <w:start w:val="1"/>
      <w:numFmt w:val="bullet"/>
      <w:lvlText w:val="•"/>
      <w:lvlJc w:val="left"/>
      <w:pPr>
        <w:tabs>
          <w:tab w:val="num" w:pos="5760"/>
        </w:tabs>
        <w:ind w:left="5760" w:hanging="360"/>
      </w:pPr>
      <w:rPr>
        <w:rFonts w:ascii="Times New Roman" w:hAnsi="Times New Roman" w:hint="default"/>
      </w:rPr>
    </w:lvl>
    <w:lvl w:ilvl="8" w:tplc="54C0B34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431E69"/>
    <w:multiLevelType w:val="hybridMultilevel"/>
    <w:tmpl w:val="CA6A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01D19"/>
    <w:multiLevelType w:val="hybridMultilevel"/>
    <w:tmpl w:val="238283FA"/>
    <w:lvl w:ilvl="0" w:tplc="8F9E2244">
      <w:start w:val="1"/>
      <w:numFmt w:val="bullet"/>
      <w:lvlText w:val="•"/>
      <w:lvlJc w:val="left"/>
      <w:pPr>
        <w:tabs>
          <w:tab w:val="num" w:pos="720"/>
        </w:tabs>
        <w:ind w:left="720" w:hanging="360"/>
      </w:pPr>
      <w:rPr>
        <w:rFonts w:ascii="Times New Roman" w:hAnsi="Times New Roman" w:hint="default"/>
      </w:rPr>
    </w:lvl>
    <w:lvl w:ilvl="1" w:tplc="D332D7A8" w:tentative="1">
      <w:start w:val="1"/>
      <w:numFmt w:val="bullet"/>
      <w:lvlText w:val="•"/>
      <w:lvlJc w:val="left"/>
      <w:pPr>
        <w:tabs>
          <w:tab w:val="num" w:pos="1440"/>
        </w:tabs>
        <w:ind w:left="1440" w:hanging="360"/>
      </w:pPr>
      <w:rPr>
        <w:rFonts w:ascii="Times New Roman" w:hAnsi="Times New Roman" w:hint="default"/>
      </w:rPr>
    </w:lvl>
    <w:lvl w:ilvl="2" w:tplc="D056103C" w:tentative="1">
      <w:start w:val="1"/>
      <w:numFmt w:val="bullet"/>
      <w:lvlText w:val="•"/>
      <w:lvlJc w:val="left"/>
      <w:pPr>
        <w:tabs>
          <w:tab w:val="num" w:pos="2160"/>
        </w:tabs>
        <w:ind w:left="2160" w:hanging="360"/>
      </w:pPr>
      <w:rPr>
        <w:rFonts w:ascii="Times New Roman" w:hAnsi="Times New Roman" w:hint="default"/>
      </w:rPr>
    </w:lvl>
    <w:lvl w:ilvl="3" w:tplc="20BA0A84" w:tentative="1">
      <w:start w:val="1"/>
      <w:numFmt w:val="bullet"/>
      <w:lvlText w:val="•"/>
      <w:lvlJc w:val="left"/>
      <w:pPr>
        <w:tabs>
          <w:tab w:val="num" w:pos="2880"/>
        </w:tabs>
        <w:ind w:left="2880" w:hanging="360"/>
      </w:pPr>
      <w:rPr>
        <w:rFonts w:ascii="Times New Roman" w:hAnsi="Times New Roman" w:hint="default"/>
      </w:rPr>
    </w:lvl>
    <w:lvl w:ilvl="4" w:tplc="E5987A38" w:tentative="1">
      <w:start w:val="1"/>
      <w:numFmt w:val="bullet"/>
      <w:lvlText w:val="•"/>
      <w:lvlJc w:val="left"/>
      <w:pPr>
        <w:tabs>
          <w:tab w:val="num" w:pos="3600"/>
        </w:tabs>
        <w:ind w:left="3600" w:hanging="360"/>
      </w:pPr>
      <w:rPr>
        <w:rFonts w:ascii="Times New Roman" w:hAnsi="Times New Roman" w:hint="default"/>
      </w:rPr>
    </w:lvl>
    <w:lvl w:ilvl="5" w:tplc="21DAFA76" w:tentative="1">
      <w:start w:val="1"/>
      <w:numFmt w:val="bullet"/>
      <w:lvlText w:val="•"/>
      <w:lvlJc w:val="left"/>
      <w:pPr>
        <w:tabs>
          <w:tab w:val="num" w:pos="4320"/>
        </w:tabs>
        <w:ind w:left="4320" w:hanging="360"/>
      </w:pPr>
      <w:rPr>
        <w:rFonts w:ascii="Times New Roman" w:hAnsi="Times New Roman" w:hint="default"/>
      </w:rPr>
    </w:lvl>
    <w:lvl w:ilvl="6" w:tplc="2FD0B284" w:tentative="1">
      <w:start w:val="1"/>
      <w:numFmt w:val="bullet"/>
      <w:lvlText w:val="•"/>
      <w:lvlJc w:val="left"/>
      <w:pPr>
        <w:tabs>
          <w:tab w:val="num" w:pos="5040"/>
        </w:tabs>
        <w:ind w:left="5040" w:hanging="360"/>
      </w:pPr>
      <w:rPr>
        <w:rFonts w:ascii="Times New Roman" w:hAnsi="Times New Roman" w:hint="default"/>
      </w:rPr>
    </w:lvl>
    <w:lvl w:ilvl="7" w:tplc="E398D978" w:tentative="1">
      <w:start w:val="1"/>
      <w:numFmt w:val="bullet"/>
      <w:lvlText w:val="•"/>
      <w:lvlJc w:val="left"/>
      <w:pPr>
        <w:tabs>
          <w:tab w:val="num" w:pos="5760"/>
        </w:tabs>
        <w:ind w:left="5760" w:hanging="360"/>
      </w:pPr>
      <w:rPr>
        <w:rFonts w:ascii="Times New Roman" w:hAnsi="Times New Roman" w:hint="default"/>
      </w:rPr>
    </w:lvl>
    <w:lvl w:ilvl="8" w:tplc="4BE640A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34026BF7"/>
    <w:multiLevelType w:val="hybridMultilevel"/>
    <w:tmpl w:val="4434D3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145A27"/>
    <w:multiLevelType w:val="hybridMultilevel"/>
    <w:tmpl w:val="A73AFB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B746B97"/>
    <w:multiLevelType w:val="hybridMultilevel"/>
    <w:tmpl w:val="ED00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C5263A"/>
    <w:multiLevelType w:val="hybridMultilevel"/>
    <w:tmpl w:val="926E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941EB6"/>
    <w:multiLevelType w:val="hybridMultilevel"/>
    <w:tmpl w:val="ABB0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nsid w:val="56DA39D3"/>
    <w:multiLevelType w:val="hybridMultilevel"/>
    <w:tmpl w:val="398072EC"/>
    <w:lvl w:ilvl="0" w:tplc="4FFA8CD8">
      <w:start w:val="1"/>
      <w:numFmt w:val="bullet"/>
      <w:lvlText w:val="•"/>
      <w:lvlJc w:val="left"/>
      <w:pPr>
        <w:tabs>
          <w:tab w:val="num" w:pos="720"/>
        </w:tabs>
        <w:ind w:left="720" w:hanging="360"/>
      </w:pPr>
      <w:rPr>
        <w:rFonts w:ascii="Times New Roman" w:hAnsi="Times New Roman" w:hint="default"/>
      </w:rPr>
    </w:lvl>
    <w:lvl w:ilvl="1" w:tplc="A92685D4" w:tentative="1">
      <w:start w:val="1"/>
      <w:numFmt w:val="bullet"/>
      <w:lvlText w:val="•"/>
      <w:lvlJc w:val="left"/>
      <w:pPr>
        <w:tabs>
          <w:tab w:val="num" w:pos="1440"/>
        </w:tabs>
        <w:ind w:left="1440" w:hanging="360"/>
      </w:pPr>
      <w:rPr>
        <w:rFonts w:ascii="Times New Roman" w:hAnsi="Times New Roman" w:hint="default"/>
      </w:rPr>
    </w:lvl>
    <w:lvl w:ilvl="2" w:tplc="7FD6DBCC" w:tentative="1">
      <w:start w:val="1"/>
      <w:numFmt w:val="bullet"/>
      <w:lvlText w:val="•"/>
      <w:lvlJc w:val="left"/>
      <w:pPr>
        <w:tabs>
          <w:tab w:val="num" w:pos="2160"/>
        </w:tabs>
        <w:ind w:left="2160" w:hanging="360"/>
      </w:pPr>
      <w:rPr>
        <w:rFonts w:ascii="Times New Roman" w:hAnsi="Times New Roman" w:hint="default"/>
      </w:rPr>
    </w:lvl>
    <w:lvl w:ilvl="3" w:tplc="DC24FEA2" w:tentative="1">
      <w:start w:val="1"/>
      <w:numFmt w:val="bullet"/>
      <w:lvlText w:val="•"/>
      <w:lvlJc w:val="left"/>
      <w:pPr>
        <w:tabs>
          <w:tab w:val="num" w:pos="2880"/>
        </w:tabs>
        <w:ind w:left="2880" w:hanging="360"/>
      </w:pPr>
      <w:rPr>
        <w:rFonts w:ascii="Times New Roman" w:hAnsi="Times New Roman" w:hint="default"/>
      </w:rPr>
    </w:lvl>
    <w:lvl w:ilvl="4" w:tplc="3EE64F02" w:tentative="1">
      <w:start w:val="1"/>
      <w:numFmt w:val="bullet"/>
      <w:lvlText w:val="•"/>
      <w:lvlJc w:val="left"/>
      <w:pPr>
        <w:tabs>
          <w:tab w:val="num" w:pos="3600"/>
        </w:tabs>
        <w:ind w:left="3600" w:hanging="360"/>
      </w:pPr>
      <w:rPr>
        <w:rFonts w:ascii="Times New Roman" w:hAnsi="Times New Roman" w:hint="default"/>
      </w:rPr>
    </w:lvl>
    <w:lvl w:ilvl="5" w:tplc="627CAA16" w:tentative="1">
      <w:start w:val="1"/>
      <w:numFmt w:val="bullet"/>
      <w:lvlText w:val="•"/>
      <w:lvlJc w:val="left"/>
      <w:pPr>
        <w:tabs>
          <w:tab w:val="num" w:pos="4320"/>
        </w:tabs>
        <w:ind w:left="4320" w:hanging="360"/>
      </w:pPr>
      <w:rPr>
        <w:rFonts w:ascii="Times New Roman" w:hAnsi="Times New Roman" w:hint="default"/>
      </w:rPr>
    </w:lvl>
    <w:lvl w:ilvl="6" w:tplc="88F8F894" w:tentative="1">
      <w:start w:val="1"/>
      <w:numFmt w:val="bullet"/>
      <w:lvlText w:val="•"/>
      <w:lvlJc w:val="left"/>
      <w:pPr>
        <w:tabs>
          <w:tab w:val="num" w:pos="5040"/>
        </w:tabs>
        <w:ind w:left="5040" w:hanging="360"/>
      </w:pPr>
      <w:rPr>
        <w:rFonts w:ascii="Times New Roman" w:hAnsi="Times New Roman" w:hint="default"/>
      </w:rPr>
    </w:lvl>
    <w:lvl w:ilvl="7" w:tplc="F0D495F4" w:tentative="1">
      <w:start w:val="1"/>
      <w:numFmt w:val="bullet"/>
      <w:lvlText w:val="•"/>
      <w:lvlJc w:val="left"/>
      <w:pPr>
        <w:tabs>
          <w:tab w:val="num" w:pos="5760"/>
        </w:tabs>
        <w:ind w:left="5760" w:hanging="360"/>
      </w:pPr>
      <w:rPr>
        <w:rFonts w:ascii="Times New Roman" w:hAnsi="Times New Roman" w:hint="default"/>
      </w:rPr>
    </w:lvl>
    <w:lvl w:ilvl="8" w:tplc="57A480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7C4901"/>
    <w:multiLevelType w:val="hybridMultilevel"/>
    <w:tmpl w:val="CDFE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BEB6B89"/>
    <w:multiLevelType w:val="hybridMultilevel"/>
    <w:tmpl w:val="69FA1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nsid w:val="70D02104"/>
    <w:multiLevelType w:val="hybridMultilevel"/>
    <w:tmpl w:val="A6A8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002751"/>
    <w:multiLevelType w:val="hybridMultilevel"/>
    <w:tmpl w:val="1BD0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24"/>
  </w:num>
  <w:num w:numId="5">
    <w:abstractNumId w:val="14"/>
  </w:num>
  <w:num w:numId="6">
    <w:abstractNumId w:val="12"/>
  </w:num>
  <w:num w:numId="7">
    <w:abstractNumId w:val="7"/>
  </w:num>
  <w:num w:numId="8">
    <w:abstractNumId w:val="6"/>
  </w:num>
  <w:num w:numId="9">
    <w:abstractNumId w:val="27"/>
  </w:num>
  <w:num w:numId="10">
    <w:abstractNumId w:val="29"/>
  </w:num>
  <w:num w:numId="11">
    <w:abstractNumId w:val="28"/>
  </w:num>
  <w:num w:numId="12">
    <w:abstractNumId w:val="31"/>
  </w:num>
  <w:num w:numId="13">
    <w:abstractNumId w:val="11"/>
  </w:num>
  <w:num w:numId="14">
    <w:abstractNumId w:val="15"/>
  </w:num>
  <w:num w:numId="15">
    <w:abstractNumId w:val="17"/>
  </w:num>
  <w:num w:numId="16">
    <w:abstractNumId w:val="16"/>
  </w:num>
  <w:num w:numId="17">
    <w:abstractNumId w:val="4"/>
  </w:num>
  <w:num w:numId="18">
    <w:abstractNumId w:val="19"/>
  </w:num>
  <w:num w:numId="19">
    <w:abstractNumId w:val="30"/>
  </w:num>
  <w:num w:numId="20">
    <w:abstractNumId w:val="8"/>
  </w:num>
  <w:num w:numId="21">
    <w:abstractNumId w:val="33"/>
  </w:num>
  <w:num w:numId="22">
    <w:abstractNumId w:val="23"/>
  </w:num>
  <w:num w:numId="23">
    <w:abstractNumId w:val="5"/>
  </w:num>
  <w:num w:numId="24">
    <w:abstractNumId w:val="26"/>
  </w:num>
  <w:num w:numId="25">
    <w:abstractNumId w:val="32"/>
  </w:num>
  <w:num w:numId="26">
    <w:abstractNumId w:val="2"/>
  </w:num>
  <w:num w:numId="27">
    <w:abstractNumId w:val="22"/>
  </w:num>
  <w:num w:numId="28">
    <w:abstractNumId w:val="21"/>
  </w:num>
  <w:num w:numId="29">
    <w:abstractNumId w:val="18"/>
  </w:num>
  <w:num w:numId="30">
    <w:abstractNumId w:val="3"/>
  </w:num>
  <w:num w:numId="31">
    <w:abstractNumId w:val="9"/>
  </w:num>
  <w:num w:numId="32">
    <w:abstractNumId w:val="13"/>
  </w:num>
  <w:num w:numId="33">
    <w:abstractNumId w:val="10"/>
  </w:num>
  <w:num w:numId="3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BF725A"/>
    <w:rsid w:val="000005EC"/>
    <w:rsid w:val="00001CEE"/>
    <w:rsid w:val="0000447E"/>
    <w:rsid w:val="000047F3"/>
    <w:rsid w:val="00006F04"/>
    <w:rsid w:val="00010DD7"/>
    <w:rsid w:val="00013509"/>
    <w:rsid w:val="00014242"/>
    <w:rsid w:val="000162E9"/>
    <w:rsid w:val="00016E9A"/>
    <w:rsid w:val="000173F5"/>
    <w:rsid w:val="000214DE"/>
    <w:rsid w:val="000262A7"/>
    <w:rsid w:val="000269B5"/>
    <w:rsid w:val="00026D7B"/>
    <w:rsid w:val="000272EC"/>
    <w:rsid w:val="00027579"/>
    <w:rsid w:val="000277B4"/>
    <w:rsid w:val="00035E32"/>
    <w:rsid w:val="00041431"/>
    <w:rsid w:val="000473E7"/>
    <w:rsid w:val="0005098B"/>
    <w:rsid w:val="00050AAC"/>
    <w:rsid w:val="00051865"/>
    <w:rsid w:val="00051AAC"/>
    <w:rsid w:val="00051DE6"/>
    <w:rsid w:val="0005475A"/>
    <w:rsid w:val="00055BD2"/>
    <w:rsid w:val="00060C60"/>
    <w:rsid w:val="0006101D"/>
    <w:rsid w:val="000610BD"/>
    <w:rsid w:val="00061EAC"/>
    <w:rsid w:val="0006646C"/>
    <w:rsid w:val="00067B1A"/>
    <w:rsid w:val="00071477"/>
    <w:rsid w:val="00074F2A"/>
    <w:rsid w:val="000774D4"/>
    <w:rsid w:val="0008143C"/>
    <w:rsid w:val="00086767"/>
    <w:rsid w:val="00087776"/>
    <w:rsid w:val="000877BC"/>
    <w:rsid w:val="00091110"/>
    <w:rsid w:val="00091726"/>
    <w:rsid w:val="000A2002"/>
    <w:rsid w:val="000A2FDB"/>
    <w:rsid w:val="000A45E0"/>
    <w:rsid w:val="000A4CEC"/>
    <w:rsid w:val="000B68D7"/>
    <w:rsid w:val="000C3F50"/>
    <w:rsid w:val="000D52FB"/>
    <w:rsid w:val="000E1AB0"/>
    <w:rsid w:val="000E7349"/>
    <w:rsid w:val="000F058B"/>
    <w:rsid w:val="000F0E6A"/>
    <w:rsid w:val="000F2150"/>
    <w:rsid w:val="000F6EF4"/>
    <w:rsid w:val="000F79A9"/>
    <w:rsid w:val="00101C85"/>
    <w:rsid w:val="00104584"/>
    <w:rsid w:val="001056A7"/>
    <w:rsid w:val="00105861"/>
    <w:rsid w:val="00105F61"/>
    <w:rsid w:val="00107CC5"/>
    <w:rsid w:val="00115FD2"/>
    <w:rsid w:val="00116C58"/>
    <w:rsid w:val="00120A99"/>
    <w:rsid w:val="00120C54"/>
    <w:rsid w:val="001245EA"/>
    <w:rsid w:val="0013088A"/>
    <w:rsid w:val="00131306"/>
    <w:rsid w:val="00132D8F"/>
    <w:rsid w:val="00136F56"/>
    <w:rsid w:val="0014458D"/>
    <w:rsid w:val="00147437"/>
    <w:rsid w:val="00152E55"/>
    <w:rsid w:val="001557AB"/>
    <w:rsid w:val="001560D2"/>
    <w:rsid w:val="001561C7"/>
    <w:rsid w:val="001642A6"/>
    <w:rsid w:val="00164E15"/>
    <w:rsid w:val="0017022A"/>
    <w:rsid w:val="0017034E"/>
    <w:rsid w:val="00182A19"/>
    <w:rsid w:val="00183AAA"/>
    <w:rsid w:val="00184C13"/>
    <w:rsid w:val="00185477"/>
    <w:rsid w:val="001863D6"/>
    <w:rsid w:val="001903A5"/>
    <w:rsid w:val="001917C8"/>
    <w:rsid w:val="00191EEC"/>
    <w:rsid w:val="00193F62"/>
    <w:rsid w:val="001A62D5"/>
    <w:rsid w:val="001A769D"/>
    <w:rsid w:val="001B4B64"/>
    <w:rsid w:val="001B6747"/>
    <w:rsid w:val="001C0B85"/>
    <w:rsid w:val="001D1495"/>
    <w:rsid w:val="001D1D12"/>
    <w:rsid w:val="001D27E9"/>
    <w:rsid w:val="001D6988"/>
    <w:rsid w:val="001E2570"/>
    <w:rsid w:val="001E7D1B"/>
    <w:rsid w:val="001F08FF"/>
    <w:rsid w:val="001F0D91"/>
    <w:rsid w:val="001F2D57"/>
    <w:rsid w:val="001F457C"/>
    <w:rsid w:val="001F5F51"/>
    <w:rsid w:val="001F5FAC"/>
    <w:rsid w:val="001F7C27"/>
    <w:rsid w:val="002032BC"/>
    <w:rsid w:val="00204AEC"/>
    <w:rsid w:val="002102E1"/>
    <w:rsid w:val="00214FBB"/>
    <w:rsid w:val="002157EF"/>
    <w:rsid w:val="0022114E"/>
    <w:rsid w:val="002245DD"/>
    <w:rsid w:val="002320E3"/>
    <w:rsid w:val="002437F3"/>
    <w:rsid w:val="00245B7D"/>
    <w:rsid w:val="0025045A"/>
    <w:rsid w:val="0025299F"/>
    <w:rsid w:val="00254AE6"/>
    <w:rsid w:val="00255A28"/>
    <w:rsid w:val="002610D5"/>
    <w:rsid w:val="00261F0D"/>
    <w:rsid w:val="00262BFB"/>
    <w:rsid w:val="00265E0A"/>
    <w:rsid w:val="002668CC"/>
    <w:rsid w:val="00281B83"/>
    <w:rsid w:val="00287BE7"/>
    <w:rsid w:val="002936FB"/>
    <w:rsid w:val="0029678A"/>
    <w:rsid w:val="002A0234"/>
    <w:rsid w:val="002A366A"/>
    <w:rsid w:val="002A63F2"/>
    <w:rsid w:val="002A6772"/>
    <w:rsid w:val="002B2255"/>
    <w:rsid w:val="002B5D44"/>
    <w:rsid w:val="002B65F1"/>
    <w:rsid w:val="002B6E34"/>
    <w:rsid w:val="002B7FEE"/>
    <w:rsid w:val="002C773E"/>
    <w:rsid w:val="002D080D"/>
    <w:rsid w:val="002D69A2"/>
    <w:rsid w:val="002E3416"/>
    <w:rsid w:val="002E3541"/>
    <w:rsid w:val="002E4017"/>
    <w:rsid w:val="002E62D1"/>
    <w:rsid w:val="002E794B"/>
    <w:rsid w:val="002F044F"/>
    <w:rsid w:val="002F2714"/>
    <w:rsid w:val="002F459B"/>
    <w:rsid w:val="002F591B"/>
    <w:rsid w:val="002F65AF"/>
    <w:rsid w:val="002F7499"/>
    <w:rsid w:val="003040FA"/>
    <w:rsid w:val="00305392"/>
    <w:rsid w:val="003102F3"/>
    <w:rsid w:val="0031073E"/>
    <w:rsid w:val="00310E11"/>
    <w:rsid w:val="00311345"/>
    <w:rsid w:val="00314745"/>
    <w:rsid w:val="0031521F"/>
    <w:rsid w:val="00320C31"/>
    <w:rsid w:val="00320E06"/>
    <w:rsid w:val="00327B97"/>
    <w:rsid w:val="003304E2"/>
    <w:rsid w:val="00330A0A"/>
    <w:rsid w:val="00334514"/>
    <w:rsid w:val="00337418"/>
    <w:rsid w:val="00337796"/>
    <w:rsid w:val="00337EA4"/>
    <w:rsid w:val="003465FB"/>
    <w:rsid w:val="00351C16"/>
    <w:rsid w:val="00356AE3"/>
    <w:rsid w:val="00361C85"/>
    <w:rsid w:val="00362FB5"/>
    <w:rsid w:val="00363261"/>
    <w:rsid w:val="00366CDF"/>
    <w:rsid w:val="00371D9D"/>
    <w:rsid w:val="003727F7"/>
    <w:rsid w:val="00375424"/>
    <w:rsid w:val="003763A4"/>
    <w:rsid w:val="00376A82"/>
    <w:rsid w:val="00386674"/>
    <w:rsid w:val="00390919"/>
    <w:rsid w:val="0039280C"/>
    <w:rsid w:val="00396319"/>
    <w:rsid w:val="0039707F"/>
    <w:rsid w:val="00397904"/>
    <w:rsid w:val="003A0CB3"/>
    <w:rsid w:val="003A1EB0"/>
    <w:rsid w:val="003A3DDD"/>
    <w:rsid w:val="003B2968"/>
    <w:rsid w:val="003B61DB"/>
    <w:rsid w:val="003B629F"/>
    <w:rsid w:val="003C1561"/>
    <w:rsid w:val="003C38B6"/>
    <w:rsid w:val="003D1DAC"/>
    <w:rsid w:val="003D2075"/>
    <w:rsid w:val="003D29A5"/>
    <w:rsid w:val="003D3758"/>
    <w:rsid w:val="003D51E8"/>
    <w:rsid w:val="003D5DF1"/>
    <w:rsid w:val="003E05EE"/>
    <w:rsid w:val="003E5AE6"/>
    <w:rsid w:val="003E60F1"/>
    <w:rsid w:val="003E727B"/>
    <w:rsid w:val="003E7A62"/>
    <w:rsid w:val="003F0F6C"/>
    <w:rsid w:val="003F3A6F"/>
    <w:rsid w:val="003F73CC"/>
    <w:rsid w:val="00401386"/>
    <w:rsid w:val="00402DF3"/>
    <w:rsid w:val="004043F6"/>
    <w:rsid w:val="00404C33"/>
    <w:rsid w:val="00405414"/>
    <w:rsid w:val="004062D6"/>
    <w:rsid w:val="00406B9F"/>
    <w:rsid w:val="00412889"/>
    <w:rsid w:val="00412E7C"/>
    <w:rsid w:val="00414671"/>
    <w:rsid w:val="004248B8"/>
    <w:rsid w:val="00430617"/>
    <w:rsid w:val="00430805"/>
    <w:rsid w:val="00433E4F"/>
    <w:rsid w:val="00436623"/>
    <w:rsid w:val="00436BE8"/>
    <w:rsid w:val="00444770"/>
    <w:rsid w:val="004452F6"/>
    <w:rsid w:val="00452E1E"/>
    <w:rsid w:val="00453A8E"/>
    <w:rsid w:val="00453EA7"/>
    <w:rsid w:val="0045634C"/>
    <w:rsid w:val="00460727"/>
    <w:rsid w:val="00460971"/>
    <w:rsid w:val="00463CCB"/>
    <w:rsid w:val="00463EFA"/>
    <w:rsid w:val="004744E4"/>
    <w:rsid w:val="0047621C"/>
    <w:rsid w:val="00476FCC"/>
    <w:rsid w:val="00480F4B"/>
    <w:rsid w:val="00481091"/>
    <w:rsid w:val="00482858"/>
    <w:rsid w:val="00483937"/>
    <w:rsid w:val="004851C2"/>
    <w:rsid w:val="0048536C"/>
    <w:rsid w:val="004857E4"/>
    <w:rsid w:val="00485E68"/>
    <w:rsid w:val="0049172C"/>
    <w:rsid w:val="00492068"/>
    <w:rsid w:val="00492B5D"/>
    <w:rsid w:val="00494BB1"/>
    <w:rsid w:val="00494E75"/>
    <w:rsid w:val="00495080"/>
    <w:rsid w:val="004A6B42"/>
    <w:rsid w:val="004A73D0"/>
    <w:rsid w:val="004B3ADB"/>
    <w:rsid w:val="004B3F3B"/>
    <w:rsid w:val="004B57D2"/>
    <w:rsid w:val="004C3A83"/>
    <w:rsid w:val="004D1AB3"/>
    <w:rsid w:val="004D5804"/>
    <w:rsid w:val="004E0D09"/>
    <w:rsid w:val="004E502C"/>
    <w:rsid w:val="004F2239"/>
    <w:rsid w:val="004F435C"/>
    <w:rsid w:val="004F7CD0"/>
    <w:rsid w:val="00500EAA"/>
    <w:rsid w:val="0050314F"/>
    <w:rsid w:val="005053C1"/>
    <w:rsid w:val="00517FA7"/>
    <w:rsid w:val="00523497"/>
    <w:rsid w:val="0053293F"/>
    <w:rsid w:val="00536965"/>
    <w:rsid w:val="00541880"/>
    <w:rsid w:val="00541CED"/>
    <w:rsid w:val="00553525"/>
    <w:rsid w:val="0055429C"/>
    <w:rsid w:val="0055697D"/>
    <w:rsid w:val="00556D21"/>
    <w:rsid w:val="00557BA9"/>
    <w:rsid w:val="005601AB"/>
    <w:rsid w:val="0056151F"/>
    <w:rsid w:val="00564AB2"/>
    <w:rsid w:val="00567660"/>
    <w:rsid w:val="005720B7"/>
    <w:rsid w:val="0057221C"/>
    <w:rsid w:val="00574CBE"/>
    <w:rsid w:val="00575EDD"/>
    <w:rsid w:val="00576425"/>
    <w:rsid w:val="00577084"/>
    <w:rsid w:val="00581B4D"/>
    <w:rsid w:val="00582C1D"/>
    <w:rsid w:val="00583B60"/>
    <w:rsid w:val="00594EB4"/>
    <w:rsid w:val="005A0677"/>
    <w:rsid w:val="005A3BA8"/>
    <w:rsid w:val="005A3FA3"/>
    <w:rsid w:val="005B1B82"/>
    <w:rsid w:val="005B389E"/>
    <w:rsid w:val="005B7DC1"/>
    <w:rsid w:val="005C13AF"/>
    <w:rsid w:val="005C19DB"/>
    <w:rsid w:val="005C22A1"/>
    <w:rsid w:val="005C4E1E"/>
    <w:rsid w:val="005C5D78"/>
    <w:rsid w:val="005D03FA"/>
    <w:rsid w:val="005D1E5B"/>
    <w:rsid w:val="005D4B7B"/>
    <w:rsid w:val="005D7062"/>
    <w:rsid w:val="005D768F"/>
    <w:rsid w:val="005E0D27"/>
    <w:rsid w:val="005E1835"/>
    <w:rsid w:val="005E2B57"/>
    <w:rsid w:val="005E2C72"/>
    <w:rsid w:val="005E49EE"/>
    <w:rsid w:val="005F47A7"/>
    <w:rsid w:val="005F6B0E"/>
    <w:rsid w:val="005F76C3"/>
    <w:rsid w:val="005F7ABC"/>
    <w:rsid w:val="006015FC"/>
    <w:rsid w:val="00601EB6"/>
    <w:rsid w:val="00602A29"/>
    <w:rsid w:val="00604A70"/>
    <w:rsid w:val="00612131"/>
    <w:rsid w:val="0061227F"/>
    <w:rsid w:val="00612A3D"/>
    <w:rsid w:val="00612CD7"/>
    <w:rsid w:val="00616946"/>
    <w:rsid w:val="00616C8D"/>
    <w:rsid w:val="0062218C"/>
    <w:rsid w:val="006248A7"/>
    <w:rsid w:val="0062604A"/>
    <w:rsid w:val="00630E95"/>
    <w:rsid w:val="00633087"/>
    <w:rsid w:val="00640AF1"/>
    <w:rsid w:val="006440D7"/>
    <w:rsid w:val="00645C13"/>
    <w:rsid w:val="0064732E"/>
    <w:rsid w:val="00653271"/>
    <w:rsid w:val="00656E64"/>
    <w:rsid w:val="006615D4"/>
    <w:rsid w:val="00664C73"/>
    <w:rsid w:val="00671924"/>
    <w:rsid w:val="0067674F"/>
    <w:rsid w:val="006767AA"/>
    <w:rsid w:val="00676891"/>
    <w:rsid w:val="0068131E"/>
    <w:rsid w:val="006864A0"/>
    <w:rsid w:val="00687013"/>
    <w:rsid w:val="0068760E"/>
    <w:rsid w:val="0069066C"/>
    <w:rsid w:val="00693A4D"/>
    <w:rsid w:val="00694D4B"/>
    <w:rsid w:val="006A4631"/>
    <w:rsid w:val="006B134F"/>
    <w:rsid w:val="006B4B5A"/>
    <w:rsid w:val="006B680E"/>
    <w:rsid w:val="006C0B5C"/>
    <w:rsid w:val="006C2175"/>
    <w:rsid w:val="006D22F1"/>
    <w:rsid w:val="006D412A"/>
    <w:rsid w:val="006D7178"/>
    <w:rsid w:val="006E041D"/>
    <w:rsid w:val="006E0820"/>
    <w:rsid w:val="006F0F3F"/>
    <w:rsid w:val="006F10C0"/>
    <w:rsid w:val="006F1F8F"/>
    <w:rsid w:val="006F495F"/>
    <w:rsid w:val="006F4CB6"/>
    <w:rsid w:val="006F5519"/>
    <w:rsid w:val="006F6AA4"/>
    <w:rsid w:val="00707C98"/>
    <w:rsid w:val="007142FA"/>
    <w:rsid w:val="00731088"/>
    <w:rsid w:val="00733003"/>
    <w:rsid w:val="00737626"/>
    <w:rsid w:val="00737FFD"/>
    <w:rsid w:val="0074007E"/>
    <w:rsid w:val="00741A9C"/>
    <w:rsid w:val="00750A51"/>
    <w:rsid w:val="007650A9"/>
    <w:rsid w:val="007675AD"/>
    <w:rsid w:val="0077119F"/>
    <w:rsid w:val="00771F28"/>
    <w:rsid w:val="007816E7"/>
    <w:rsid w:val="00787D11"/>
    <w:rsid w:val="00795251"/>
    <w:rsid w:val="007952E4"/>
    <w:rsid w:val="00797B86"/>
    <w:rsid w:val="007A0C66"/>
    <w:rsid w:val="007A3625"/>
    <w:rsid w:val="007A445E"/>
    <w:rsid w:val="007A71A6"/>
    <w:rsid w:val="007B574F"/>
    <w:rsid w:val="007B5CB8"/>
    <w:rsid w:val="007C1998"/>
    <w:rsid w:val="007D1630"/>
    <w:rsid w:val="007D2A8F"/>
    <w:rsid w:val="007D4503"/>
    <w:rsid w:val="007D49CE"/>
    <w:rsid w:val="007D7860"/>
    <w:rsid w:val="007E1621"/>
    <w:rsid w:val="007F0B9F"/>
    <w:rsid w:val="007F1683"/>
    <w:rsid w:val="007F1EBD"/>
    <w:rsid w:val="007F5BEF"/>
    <w:rsid w:val="008001A7"/>
    <w:rsid w:val="008075A8"/>
    <w:rsid w:val="00811626"/>
    <w:rsid w:val="0081238B"/>
    <w:rsid w:val="0081264F"/>
    <w:rsid w:val="00816250"/>
    <w:rsid w:val="0081780E"/>
    <w:rsid w:val="00817AC4"/>
    <w:rsid w:val="00823B4A"/>
    <w:rsid w:val="0082487F"/>
    <w:rsid w:val="008265BA"/>
    <w:rsid w:val="00826859"/>
    <w:rsid w:val="008273E4"/>
    <w:rsid w:val="00831918"/>
    <w:rsid w:val="00831D6D"/>
    <w:rsid w:val="00834FFD"/>
    <w:rsid w:val="00835074"/>
    <w:rsid w:val="00835165"/>
    <w:rsid w:val="00836127"/>
    <w:rsid w:val="0083670F"/>
    <w:rsid w:val="00841317"/>
    <w:rsid w:val="00842651"/>
    <w:rsid w:val="00843085"/>
    <w:rsid w:val="00843766"/>
    <w:rsid w:val="00850820"/>
    <w:rsid w:val="008520E8"/>
    <w:rsid w:val="00857F2F"/>
    <w:rsid w:val="00862692"/>
    <w:rsid w:val="00862BF0"/>
    <w:rsid w:val="00865AC5"/>
    <w:rsid w:val="00877B2B"/>
    <w:rsid w:val="0088158A"/>
    <w:rsid w:val="0088479E"/>
    <w:rsid w:val="008941F6"/>
    <w:rsid w:val="008958D8"/>
    <w:rsid w:val="00895BE1"/>
    <w:rsid w:val="00895D5C"/>
    <w:rsid w:val="00896DC2"/>
    <w:rsid w:val="008A1E5D"/>
    <w:rsid w:val="008A1FDD"/>
    <w:rsid w:val="008A39BD"/>
    <w:rsid w:val="008A3E31"/>
    <w:rsid w:val="008A4531"/>
    <w:rsid w:val="008A53BC"/>
    <w:rsid w:val="008B078E"/>
    <w:rsid w:val="008B2113"/>
    <w:rsid w:val="008C18E8"/>
    <w:rsid w:val="008C62BA"/>
    <w:rsid w:val="008D0178"/>
    <w:rsid w:val="008D1B45"/>
    <w:rsid w:val="008D40C0"/>
    <w:rsid w:val="008D52F0"/>
    <w:rsid w:val="008D52FA"/>
    <w:rsid w:val="008E0B26"/>
    <w:rsid w:val="008E1467"/>
    <w:rsid w:val="008E4AAF"/>
    <w:rsid w:val="008F0324"/>
    <w:rsid w:val="008F12F4"/>
    <w:rsid w:val="008F3BF7"/>
    <w:rsid w:val="008F5C10"/>
    <w:rsid w:val="008F638E"/>
    <w:rsid w:val="008F6CBB"/>
    <w:rsid w:val="00900ECD"/>
    <w:rsid w:val="0091178B"/>
    <w:rsid w:val="00912161"/>
    <w:rsid w:val="009122B4"/>
    <w:rsid w:val="0091328E"/>
    <w:rsid w:val="00913FF5"/>
    <w:rsid w:val="00920B54"/>
    <w:rsid w:val="00923E4B"/>
    <w:rsid w:val="009264E8"/>
    <w:rsid w:val="00926FCE"/>
    <w:rsid w:val="00927647"/>
    <w:rsid w:val="009373AA"/>
    <w:rsid w:val="00941143"/>
    <w:rsid w:val="00944510"/>
    <w:rsid w:val="0094519C"/>
    <w:rsid w:val="00947A84"/>
    <w:rsid w:val="009505D9"/>
    <w:rsid w:val="00950C38"/>
    <w:rsid w:val="00950EBA"/>
    <w:rsid w:val="00954B3C"/>
    <w:rsid w:val="00955039"/>
    <w:rsid w:val="00955346"/>
    <w:rsid w:val="00955C17"/>
    <w:rsid w:val="009616E1"/>
    <w:rsid w:val="009638D0"/>
    <w:rsid w:val="0097118F"/>
    <w:rsid w:val="00973043"/>
    <w:rsid w:val="0097341C"/>
    <w:rsid w:val="00974D0F"/>
    <w:rsid w:val="009763BD"/>
    <w:rsid w:val="009834DA"/>
    <w:rsid w:val="00983D03"/>
    <w:rsid w:val="009902F1"/>
    <w:rsid w:val="009906DA"/>
    <w:rsid w:val="00990925"/>
    <w:rsid w:val="00995169"/>
    <w:rsid w:val="009A24E2"/>
    <w:rsid w:val="009A2C58"/>
    <w:rsid w:val="009B0920"/>
    <w:rsid w:val="009B466A"/>
    <w:rsid w:val="009B678A"/>
    <w:rsid w:val="009B6949"/>
    <w:rsid w:val="009C304B"/>
    <w:rsid w:val="009C428B"/>
    <w:rsid w:val="009C6963"/>
    <w:rsid w:val="009C6CFB"/>
    <w:rsid w:val="009D309D"/>
    <w:rsid w:val="009D530C"/>
    <w:rsid w:val="009D595B"/>
    <w:rsid w:val="009E06A4"/>
    <w:rsid w:val="009E47C4"/>
    <w:rsid w:val="009E7859"/>
    <w:rsid w:val="009F0340"/>
    <w:rsid w:val="009F1429"/>
    <w:rsid w:val="009F144D"/>
    <w:rsid w:val="009F41AB"/>
    <w:rsid w:val="009F4435"/>
    <w:rsid w:val="009F5994"/>
    <w:rsid w:val="009F5C54"/>
    <w:rsid w:val="009F5EB1"/>
    <w:rsid w:val="009F7F8C"/>
    <w:rsid w:val="00A008EB"/>
    <w:rsid w:val="00A009BB"/>
    <w:rsid w:val="00A02FC6"/>
    <w:rsid w:val="00A03A04"/>
    <w:rsid w:val="00A04F57"/>
    <w:rsid w:val="00A05F10"/>
    <w:rsid w:val="00A10726"/>
    <w:rsid w:val="00A12830"/>
    <w:rsid w:val="00A13214"/>
    <w:rsid w:val="00A204E3"/>
    <w:rsid w:val="00A23873"/>
    <w:rsid w:val="00A24B60"/>
    <w:rsid w:val="00A257AC"/>
    <w:rsid w:val="00A27D61"/>
    <w:rsid w:val="00A35D69"/>
    <w:rsid w:val="00A36CA3"/>
    <w:rsid w:val="00A41984"/>
    <w:rsid w:val="00A53165"/>
    <w:rsid w:val="00A5515A"/>
    <w:rsid w:val="00A55A22"/>
    <w:rsid w:val="00A56353"/>
    <w:rsid w:val="00A576B7"/>
    <w:rsid w:val="00A619C6"/>
    <w:rsid w:val="00A6611E"/>
    <w:rsid w:val="00A66DF3"/>
    <w:rsid w:val="00A705D2"/>
    <w:rsid w:val="00A705FD"/>
    <w:rsid w:val="00A7686B"/>
    <w:rsid w:val="00A77702"/>
    <w:rsid w:val="00A77C1A"/>
    <w:rsid w:val="00A77ED4"/>
    <w:rsid w:val="00A80B01"/>
    <w:rsid w:val="00A830BC"/>
    <w:rsid w:val="00A91227"/>
    <w:rsid w:val="00A917CB"/>
    <w:rsid w:val="00A91A92"/>
    <w:rsid w:val="00A91B91"/>
    <w:rsid w:val="00A95045"/>
    <w:rsid w:val="00AA275F"/>
    <w:rsid w:val="00AA3FDC"/>
    <w:rsid w:val="00AA7958"/>
    <w:rsid w:val="00AB03AF"/>
    <w:rsid w:val="00AB79E0"/>
    <w:rsid w:val="00AC015B"/>
    <w:rsid w:val="00AC0C95"/>
    <w:rsid w:val="00AC1E5E"/>
    <w:rsid w:val="00AC2B85"/>
    <w:rsid w:val="00AC3B64"/>
    <w:rsid w:val="00AD2774"/>
    <w:rsid w:val="00AD7986"/>
    <w:rsid w:val="00AD7D03"/>
    <w:rsid w:val="00AE2F8B"/>
    <w:rsid w:val="00AE63AF"/>
    <w:rsid w:val="00AF2B0C"/>
    <w:rsid w:val="00AF2BFF"/>
    <w:rsid w:val="00B00E78"/>
    <w:rsid w:val="00B041B5"/>
    <w:rsid w:val="00B05313"/>
    <w:rsid w:val="00B07380"/>
    <w:rsid w:val="00B10CD5"/>
    <w:rsid w:val="00B211D4"/>
    <w:rsid w:val="00B320F6"/>
    <w:rsid w:val="00B34B31"/>
    <w:rsid w:val="00B34F7A"/>
    <w:rsid w:val="00B35F74"/>
    <w:rsid w:val="00B3655E"/>
    <w:rsid w:val="00B3754E"/>
    <w:rsid w:val="00B377DC"/>
    <w:rsid w:val="00B42366"/>
    <w:rsid w:val="00B43AD5"/>
    <w:rsid w:val="00B44DB1"/>
    <w:rsid w:val="00B478FE"/>
    <w:rsid w:val="00B53F16"/>
    <w:rsid w:val="00B542AF"/>
    <w:rsid w:val="00B56B97"/>
    <w:rsid w:val="00B57427"/>
    <w:rsid w:val="00B60A49"/>
    <w:rsid w:val="00B62681"/>
    <w:rsid w:val="00B671C2"/>
    <w:rsid w:val="00B674C2"/>
    <w:rsid w:val="00B71693"/>
    <w:rsid w:val="00B72041"/>
    <w:rsid w:val="00B739AE"/>
    <w:rsid w:val="00B748F2"/>
    <w:rsid w:val="00B7697B"/>
    <w:rsid w:val="00B83C28"/>
    <w:rsid w:val="00B854C4"/>
    <w:rsid w:val="00B86EAA"/>
    <w:rsid w:val="00B878D5"/>
    <w:rsid w:val="00B87F40"/>
    <w:rsid w:val="00B90DBD"/>
    <w:rsid w:val="00B91B75"/>
    <w:rsid w:val="00B92888"/>
    <w:rsid w:val="00BA104F"/>
    <w:rsid w:val="00BA34A5"/>
    <w:rsid w:val="00BA4AD9"/>
    <w:rsid w:val="00BA7A97"/>
    <w:rsid w:val="00BB013B"/>
    <w:rsid w:val="00BB0A7A"/>
    <w:rsid w:val="00BB59AB"/>
    <w:rsid w:val="00BB6DEA"/>
    <w:rsid w:val="00BC2017"/>
    <w:rsid w:val="00BC350D"/>
    <w:rsid w:val="00BC35A1"/>
    <w:rsid w:val="00BC5490"/>
    <w:rsid w:val="00BD0233"/>
    <w:rsid w:val="00BD501C"/>
    <w:rsid w:val="00BD5D76"/>
    <w:rsid w:val="00BD6412"/>
    <w:rsid w:val="00BD6633"/>
    <w:rsid w:val="00BE0034"/>
    <w:rsid w:val="00BE023B"/>
    <w:rsid w:val="00BE0726"/>
    <w:rsid w:val="00BE24B3"/>
    <w:rsid w:val="00BE266E"/>
    <w:rsid w:val="00BE27E8"/>
    <w:rsid w:val="00BE2C5B"/>
    <w:rsid w:val="00BE507B"/>
    <w:rsid w:val="00BE62FB"/>
    <w:rsid w:val="00BF4DC0"/>
    <w:rsid w:val="00BF54F9"/>
    <w:rsid w:val="00BF725A"/>
    <w:rsid w:val="00C0252E"/>
    <w:rsid w:val="00C074BE"/>
    <w:rsid w:val="00C10DC6"/>
    <w:rsid w:val="00C1152A"/>
    <w:rsid w:val="00C13E32"/>
    <w:rsid w:val="00C30784"/>
    <w:rsid w:val="00C31F76"/>
    <w:rsid w:val="00C3386D"/>
    <w:rsid w:val="00C34593"/>
    <w:rsid w:val="00C35729"/>
    <w:rsid w:val="00C35AA9"/>
    <w:rsid w:val="00C40174"/>
    <w:rsid w:val="00C459FE"/>
    <w:rsid w:val="00C47246"/>
    <w:rsid w:val="00C51B26"/>
    <w:rsid w:val="00C52630"/>
    <w:rsid w:val="00C57741"/>
    <w:rsid w:val="00C57CD9"/>
    <w:rsid w:val="00C6789D"/>
    <w:rsid w:val="00C77954"/>
    <w:rsid w:val="00C810FD"/>
    <w:rsid w:val="00C9250E"/>
    <w:rsid w:val="00C95310"/>
    <w:rsid w:val="00C95B8B"/>
    <w:rsid w:val="00CA2622"/>
    <w:rsid w:val="00CA2EEF"/>
    <w:rsid w:val="00CA4656"/>
    <w:rsid w:val="00CA5FD7"/>
    <w:rsid w:val="00CB00F3"/>
    <w:rsid w:val="00CB365A"/>
    <w:rsid w:val="00CB3AE8"/>
    <w:rsid w:val="00CB6435"/>
    <w:rsid w:val="00CC0444"/>
    <w:rsid w:val="00CC0BFC"/>
    <w:rsid w:val="00CC33B4"/>
    <w:rsid w:val="00CC4243"/>
    <w:rsid w:val="00CC638E"/>
    <w:rsid w:val="00CD0C52"/>
    <w:rsid w:val="00CD0CAC"/>
    <w:rsid w:val="00CD3944"/>
    <w:rsid w:val="00CD4D4E"/>
    <w:rsid w:val="00CD51F9"/>
    <w:rsid w:val="00CD674A"/>
    <w:rsid w:val="00CD72E0"/>
    <w:rsid w:val="00CE02C7"/>
    <w:rsid w:val="00CE27C9"/>
    <w:rsid w:val="00CE34D8"/>
    <w:rsid w:val="00CE6692"/>
    <w:rsid w:val="00CE6A49"/>
    <w:rsid w:val="00CF05BD"/>
    <w:rsid w:val="00CF25D0"/>
    <w:rsid w:val="00CF43CA"/>
    <w:rsid w:val="00CF58B7"/>
    <w:rsid w:val="00CF763E"/>
    <w:rsid w:val="00CF7B84"/>
    <w:rsid w:val="00D0178C"/>
    <w:rsid w:val="00D01A4A"/>
    <w:rsid w:val="00D02482"/>
    <w:rsid w:val="00D026CC"/>
    <w:rsid w:val="00D13540"/>
    <w:rsid w:val="00D13F43"/>
    <w:rsid w:val="00D16599"/>
    <w:rsid w:val="00D17A42"/>
    <w:rsid w:val="00D222DA"/>
    <w:rsid w:val="00D22AB2"/>
    <w:rsid w:val="00D25329"/>
    <w:rsid w:val="00D32A70"/>
    <w:rsid w:val="00D379DE"/>
    <w:rsid w:val="00D55AA0"/>
    <w:rsid w:val="00D610D0"/>
    <w:rsid w:val="00D618CF"/>
    <w:rsid w:val="00D61C1D"/>
    <w:rsid w:val="00D64A4A"/>
    <w:rsid w:val="00D65902"/>
    <w:rsid w:val="00D65FE0"/>
    <w:rsid w:val="00D665C0"/>
    <w:rsid w:val="00D6737A"/>
    <w:rsid w:val="00D73899"/>
    <w:rsid w:val="00D73D0A"/>
    <w:rsid w:val="00D74088"/>
    <w:rsid w:val="00D7486E"/>
    <w:rsid w:val="00D77D85"/>
    <w:rsid w:val="00D806D5"/>
    <w:rsid w:val="00D832C5"/>
    <w:rsid w:val="00D835E0"/>
    <w:rsid w:val="00D83B49"/>
    <w:rsid w:val="00D8556D"/>
    <w:rsid w:val="00D85BD4"/>
    <w:rsid w:val="00D85CB8"/>
    <w:rsid w:val="00DA7451"/>
    <w:rsid w:val="00DB05B6"/>
    <w:rsid w:val="00DB3488"/>
    <w:rsid w:val="00DB7D5D"/>
    <w:rsid w:val="00DC1903"/>
    <w:rsid w:val="00DC36EF"/>
    <w:rsid w:val="00DC381D"/>
    <w:rsid w:val="00DC61BC"/>
    <w:rsid w:val="00DC6D06"/>
    <w:rsid w:val="00DD2AD2"/>
    <w:rsid w:val="00DD3552"/>
    <w:rsid w:val="00DD43FB"/>
    <w:rsid w:val="00DD7FBF"/>
    <w:rsid w:val="00DE0A4E"/>
    <w:rsid w:val="00DF04DD"/>
    <w:rsid w:val="00DF3A68"/>
    <w:rsid w:val="00DF4156"/>
    <w:rsid w:val="00DF599A"/>
    <w:rsid w:val="00DF73EE"/>
    <w:rsid w:val="00E002D8"/>
    <w:rsid w:val="00E0075B"/>
    <w:rsid w:val="00E011DF"/>
    <w:rsid w:val="00E1154A"/>
    <w:rsid w:val="00E11B20"/>
    <w:rsid w:val="00E14613"/>
    <w:rsid w:val="00E16D75"/>
    <w:rsid w:val="00E20664"/>
    <w:rsid w:val="00E21101"/>
    <w:rsid w:val="00E21726"/>
    <w:rsid w:val="00E21B83"/>
    <w:rsid w:val="00E23E16"/>
    <w:rsid w:val="00E2451C"/>
    <w:rsid w:val="00E25A5B"/>
    <w:rsid w:val="00E31991"/>
    <w:rsid w:val="00E3474D"/>
    <w:rsid w:val="00E34C6A"/>
    <w:rsid w:val="00E37F3A"/>
    <w:rsid w:val="00E41945"/>
    <w:rsid w:val="00E47B44"/>
    <w:rsid w:val="00E50D34"/>
    <w:rsid w:val="00E52409"/>
    <w:rsid w:val="00E54325"/>
    <w:rsid w:val="00E549F2"/>
    <w:rsid w:val="00E60201"/>
    <w:rsid w:val="00E6026E"/>
    <w:rsid w:val="00E65AB7"/>
    <w:rsid w:val="00E66F98"/>
    <w:rsid w:val="00E7211F"/>
    <w:rsid w:val="00E73003"/>
    <w:rsid w:val="00E75A0B"/>
    <w:rsid w:val="00E81D5F"/>
    <w:rsid w:val="00E850E5"/>
    <w:rsid w:val="00E911D3"/>
    <w:rsid w:val="00E925F9"/>
    <w:rsid w:val="00E95B51"/>
    <w:rsid w:val="00E9618B"/>
    <w:rsid w:val="00EA1AD3"/>
    <w:rsid w:val="00EA22F8"/>
    <w:rsid w:val="00EA35B8"/>
    <w:rsid w:val="00EA38BF"/>
    <w:rsid w:val="00EA3AFC"/>
    <w:rsid w:val="00EA7647"/>
    <w:rsid w:val="00EA7E47"/>
    <w:rsid w:val="00EB71D2"/>
    <w:rsid w:val="00EC0CD5"/>
    <w:rsid w:val="00EC4BBE"/>
    <w:rsid w:val="00EC6725"/>
    <w:rsid w:val="00ED07C2"/>
    <w:rsid w:val="00ED19F6"/>
    <w:rsid w:val="00ED33E4"/>
    <w:rsid w:val="00ED3869"/>
    <w:rsid w:val="00ED3C91"/>
    <w:rsid w:val="00EE0BD8"/>
    <w:rsid w:val="00EE2539"/>
    <w:rsid w:val="00EE5ABC"/>
    <w:rsid w:val="00EE77D4"/>
    <w:rsid w:val="00EE7A4A"/>
    <w:rsid w:val="00EF09B0"/>
    <w:rsid w:val="00EF1F72"/>
    <w:rsid w:val="00EF37EE"/>
    <w:rsid w:val="00EF5761"/>
    <w:rsid w:val="00F01D86"/>
    <w:rsid w:val="00F11A9F"/>
    <w:rsid w:val="00F12DA6"/>
    <w:rsid w:val="00F13133"/>
    <w:rsid w:val="00F16118"/>
    <w:rsid w:val="00F17337"/>
    <w:rsid w:val="00F3200D"/>
    <w:rsid w:val="00F32843"/>
    <w:rsid w:val="00F33E3C"/>
    <w:rsid w:val="00F3757F"/>
    <w:rsid w:val="00F4084B"/>
    <w:rsid w:val="00F42C63"/>
    <w:rsid w:val="00F436FF"/>
    <w:rsid w:val="00F5184D"/>
    <w:rsid w:val="00F527D4"/>
    <w:rsid w:val="00F542FD"/>
    <w:rsid w:val="00F54EAC"/>
    <w:rsid w:val="00F64240"/>
    <w:rsid w:val="00F6428A"/>
    <w:rsid w:val="00F70322"/>
    <w:rsid w:val="00F70563"/>
    <w:rsid w:val="00F71FD5"/>
    <w:rsid w:val="00F770FA"/>
    <w:rsid w:val="00F9242F"/>
    <w:rsid w:val="00FA2D8F"/>
    <w:rsid w:val="00FA3F5A"/>
    <w:rsid w:val="00FA47CB"/>
    <w:rsid w:val="00FA574C"/>
    <w:rsid w:val="00FB31D4"/>
    <w:rsid w:val="00FC0DAF"/>
    <w:rsid w:val="00FC1398"/>
    <w:rsid w:val="00FC2EB6"/>
    <w:rsid w:val="00FC3E1D"/>
    <w:rsid w:val="00FC424D"/>
    <w:rsid w:val="00FC7874"/>
    <w:rsid w:val="00FC7F32"/>
    <w:rsid w:val="00FD1A8C"/>
    <w:rsid w:val="00FD5A1E"/>
    <w:rsid w:val="00FD5F8C"/>
    <w:rsid w:val="00FD7F2E"/>
    <w:rsid w:val="00FE1F14"/>
    <w:rsid w:val="00FE355E"/>
    <w:rsid w:val="00FE579F"/>
    <w:rsid w:val="00FF0101"/>
    <w:rsid w:val="00FF2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5E0A"/>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uiPriority w:val="9"/>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ind w:left="5103"/>
      <w:jc w:val="center"/>
    </w:pPr>
  </w:style>
  <w:style w:type="paragraph" w:customStyle="1" w:styleId="Enclosures">
    <w:name w:val="Enclosures"/>
    <w:basedOn w:val="Normal"/>
    <w:next w:val="Participants"/>
    <w:pPr>
      <w:keepNext/>
      <w:keepLines/>
      <w:tabs>
        <w:tab w:val="left" w:pos="5670"/>
      </w:tabs>
      <w:spacing w:before="48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ind w:left="1985" w:hanging="1985"/>
      <w:jc w:val="left"/>
    </w:pPr>
  </w:style>
  <w:style w:type="paragraph" w:customStyle="1" w:styleId="Copies">
    <w:name w:val="Copies"/>
    <w:basedOn w:val="Normal"/>
    <w:next w:val="Normal"/>
    <w:rsid w:val="00656E64"/>
    <w:pPr>
      <w:tabs>
        <w:tab w:val="left" w:pos="2552"/>
        <w:tab w:val="left" w:pos="2835"/>
        <w:tab w:val="left" w:pos="5670"/>
        <w:tab w:val="left" w:pos="6379"/>
        <w:tab w:val="left" w:pos="6804"/>
      </w:tabs>
      <w:spacing w:before="480"/>
      <w:jc w:val="left"/>
    </w:pPr>
  </w:style>
  <w:style w:type="paragraph" w:styleId="CommentText">
    <w:name w:val="annotation text"/>
    <w:basedOn w:val="Normal"/>
    <w:link w:val="CommentTextChar"/>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pPr>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rsid w:val="00BF725A"/>
    <w:pPr>
      <w:jc w:val="center"/>
    </w:pPr>
    <w:rPr>
      <w:rFonts w:eastAsia="MS Mincho"/>
      <w:b/>
      <w:smallCaps/>
      <w:lang w:eastAsia="ja-JP"/>
    </w:rPr>
  </w:style>
  <w:style w:type="paragraph" w:customStyle="1" w:styleId="Subject">
    <w:name w:val="Subject"/>
    <w:basedOn w:val="Normal"/>
    <w:next w:val="Normal"/>
    <w:rsid w:val="00A705D2"/>
    <w:pPr>
      <w:ind w:left="1531" w:hanging="1531"/>
      <w:jc w:val="left"/>
    </w:pPr>
    <w:rPr>
      <w:rFonts w:ascii="Verdana" w:eastAsia="MS Mincho" w:hAnsi="Verdana"/>
      <w:bCs/>
      <w:sz w:val="17"/>
      <w:szCs w:val="17"/>
      <w:lang w:eastAsia="ja-JP"/>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pPr>
    <w:rPr>
      <w:i/>
    </w:rPr>
  </w:style>
  <w:style w:type="character" w:styleId="FollowedHyperlink">
    <w:name w:val="FollowedHyperlink"/>
    <w:rPr>
      <w:color w:val="800080"/>
      <w:u w:val="single"/>
    </w:rPr>
  </w:style>
  <w:style w:type="paragraph" w:customStyle="1" w:styleId="DisclaimerSJ">
    <w:name w:val="Disclaimer_SJ"/>
    <w:basedOn w:val="Normal"/>
    <w:next w:val="Normal"/>
    <w:rPr>
      <w:rFonts w:ascii="Arial" w:hAnsi="Arial"/>
      <w:b/>
      <w:sz w:val="16"/>
    </w:rPr>
  </w:style>
  <w:style w:type="paragraph" w:customStyle="1" w:styleId="ZCom">
    <w:name w:val="Z_Com"/>
    <w:basedOn w:val="Normal"/>
    <w:next w:val="ZDGName"/>
    <w:uiPriority w:val="99"/>
    <w:rsid w:val="00BF725A"/>
    <w:pPr>
      <w:widowControl w:val="0"/>
      <w:autoSpaceDE w:val="0"/>
      <w:autoSpaceDN w:val="0"/>
      <w:ind w:right="85"/>
    </w:pPr>
    <w:rPr>
      <w:rFonts w:ascii="Arial" w:eastAsia="MS Mincho" w:hAnsi="Arial" w:cs="Arial"/>
      <w:szCs w:val="24"/>
      <w:lang w:eastAsia="ja-JP"/>
    </w:rPr>
  </w:style>
  <w:style w:type="paragraph" w:customStyle="1" w:styleId="ZDGName">
    <w:name w:val="Z_DGName"/>
    <w:basedOn w:val="Normal"/>
    <w:uiPriority w:val="99"/>
    <w:rsid w:val="00BF725A"/>
    <w:pPr>
      <w:widowControl w:val="0"/>
      <w:autoSpaceDE w:val="0"/>
      <w:autoSpaceDN w:val="0"/>
      <w:ind w:right="85"/>
      <w:jc w:val="left"/>
    </w:pPr>
    <w:rPr>
      <w:rFonts w:ascii="Arial" w:eastAsia="MS Mincho" w:hAnsi="Arial" w:cs="Arial"/>
      <w:sz w:val="16"/>
      <w:szCs w:val="16"/>
      <w:lang w:eastAsia="ja-JP"/>
    </w:rPr>
  </w:style>
  <w:style w:type="character" w:styleId="PageNumber">
    <w:name w:val="page number"/>
    <w:basedOn w:val="DefaultParagraphFont"/>
    <w:rsid w:val="00BF725A"/>
  </w:style>
  <w:style w:type="paragraph" w:styleId="BalloonText">
    <w:name w:val="Balloon Text"/>
    <w:basedOn w:val="Normal"/>
    <w:semiHidden/>
    <w:rsid w:val="00D73D0A"/>
    <w:rPr>
      <w:rFonts w:ascii="Tahoma" w:hAnsi="Tahoma" w:cs="Tahoma"/>
      <w:sz w:val="16"/>
      <w:szCs w:val="16"/>
    </w:rPr>
  </w:style>
  <w:style w:type="character" w:styleId="FootnoteReference">
    <w:name w:val="footnote reference"/>
    <w:uiPriority w:val="99"/>
    <w:semiHidden/>
    <w:rsid w:val="00F70322"/>
    <w:rPr>
      <w:vertAlign w:val="superscript"/>
    </w:rPr>
  </w:style>
  <w:style w:type="paragraph" w:styleId="NormalWeb">
    <w:name w:val="Normal (Web)"/>
    <w:basedOn w:val="Normal"/>
    <w:rsid w:val="004D1AB3"/>
    <w:pPr>
      <w:spacing w:before="100" w:beforeAutospacing="1" w:after="100" w:afterAutospacing="1"/>
      <w:jc w:val="left"/>
    </w:pPr>
    <w:rPr>
      <w:rFonts w:eastAsia="MS Mincho"/>
      <w:szCs w:val="24"/>
      <w:lang w:eastAsia="ja-JP"/>
    </w:rPr>
  </w:style>
  <w:style w:type="character" w:customStyle="1" w:styleId="Heading1Char">
    <w:name w:val="Heading 1 Char"/>
    <w:link w:val="Heading1"/>
    <w:rsid w:val="00366CDF"/>
    <w:rPr>
      <w:b/>
      <w:smallCaps/>
      <w:sz w:val="24"/>
      <w:lang w:eastAsia="en-US"/>
    </w:rPr>
  </w:style>
  <w:style w:type="character" w:styleId="CommentReference">
    <w:name w:val="annotation reference"/>
    <w:rsid w:val="00366CDF"/>
    <w:rPr>
      <w:sz w:val="16"/>
      <w:szCs w:val="16"/>
    </w:rPr>
  </w:style>
  <w:style w:type="character" w:customStyle="1" w:styleId="CommentTextChar">
    <w:name w:val="Comment Text Char"/>
    <w:link w:val="CommentText"/>
    <w:rsid w:val="00366CDF"/>
    <w:rPr>
      <w:lang w:eastAsia="en-US"/>
    </w:rPr>
  </w:style>
  <w:style w:type="paragraph" w:styleId="Revision">
    <w:name w:val="Revision"/>
    <w:hidden/>
    <w:uiPriority w:val="99"/>
    <w:semiHidden/>
    <w:rsid w:val="00366CDF"/>
    <w:rPr>
      <w:sz w:val="24"/>
      <w:lang w:eastAsia="en-US"/>
    </w:rPr>
  </w:style>
  <w:style w:type="character" w:customStyle="1" w:styleId="PlainTextChar">
    <w:name w:val="Plain Text Char"/>
    <w:link w:val="PlainText"/>
    <w:uiPriority w:val="99"/>
    <w:rsid w:val="00DC61BC"/>
    <w:rPr>
      <w:rFonts w:ascii="Courier New" w:hAnsi="Courier New"/>
      <w:lang w:eastAsia="en-US"/>
    </w:rPr>
  </w:style>
  <w:style w:type="paragraph" w:customStyle="1" w:styleId="NormalAf">
    <w:name w:val="Normal Af"/>
    <w:basedOn w:val="Normal"/>
    <w:rsid w:val="0014458D"/>
  </w:style>
  <w:style w:type="paragraph" w:styleId="CommentSubject">
    <w:name w:val="annotation subject"/>
    <w:basedOn w:val="CommentText"/>
    <w:next w:val="CommentText"/>
    <w:semiHidden/>
    <w:rsid w:val="00B60A49"/>
    <w:rPr>
      <w:b/>
      <w:bCs/>
    </w:rPr>
  </w:style>
  <w:style w:type="character" w:customStyle="1" w:styleId="Heading2Char">
    <w:name w:val="Heading 2 Char"/>
    <w:link w:val="Heading2"/>
    <w:uiPriority w:val="9"/>
    <w:rsid w:val="00CB00F3"/>
    <w:rPr>
      <w:b/>
      <w:sz w:val="24"/>
      <w:lang w:eastAsia="en-US"/>
    </w:rPr>
  </w:style>
  <w:style w:type="character" w:styleId="Strong">
    <w:name w:val="Strong"/>
    <w:uiPriority w:val="22"/>
    <w:qFormat/>
    <w:rsid w:val="00CB00F3"/>
    <w:rPr>
      <w:b/>
      <w:bCs/>
    </w:rPr>
  </w:style>
  <w:style w:type="paragraph" w:customStyle="1" w:styleId="published">
    <w:name w:val="published"/>
    <w:basedOn w:val="Normal"/>
    <w:rsid w:val="00CB00F3"/>
    <w:pPr>
      <w:spacing w:after="360"/>
      <w:jc w:val="left"/>
    </w:pPr>
    <w:rPr>
      <w:szCs w:val="24"/>
      <w:lang w:eastAsia="en-GB"/>
    </w:rPr>
  </w:style>
  <w:style w:type="character" w:styleId="Hyperlink">
    <w:name w:val="Hyperlink"/>
    <w:rsid w:val="00C51B26"/>
    <w:rPr>
      <w:color w:val="0000FF"/>
      <w:u w:val="single"/>
    </w:rPr>
  </w:style>
  <w:style w:type="paragraph" w:styleId="ListParagraph">
    <w:name w:val="List Paragraph"/>
    <w:basedOn w:val="Normal"/>
    <w:uiPriority w:val="34"/>
    <w:qFormat/>
    <w:rsid w:val="00460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5E0A"/>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uiPriority w:val="9"/>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ind w:left="5103"/>
      <w:jc w:val="center"/>
    </w:pPr>
  </w:style>
  <w:style w:type="paragraph" w:customStyle="1" w:styleId="Enclosures">
    <w:name w:val="Enclosures"/>
    <w:basedOn w:val="Normal"/>
    <w:next w:val="Participants"/>
    <w:pPr>
      <w:keepNext/>
      <w:keepLines/>
      <w:tabs>
        <w:tab w:val="left" w:pos="5670"/>
      </w:tabs>
      <w:spacing w:before="48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ind w:left="1985" w:hanging="1985"/>
      <w:jc w:val="left"/>
    </w:pPr>
  </w:style>
  <w:style w:type="paragraph" w:customStyle="1" w:styleId="Copies">
    <w:name w:val="Copies"/>
    <w:basedOn w:val="Normal"/>
    <w:next w:val="Normal"/>
    <w:rsid w:val="00656E64"/>
    <w:pPr>
      <w:tabs>
        <w:tab w:val="left" w:pos="2552"/>
        <w:tab w:val="left" w:pos="2835"/>
        <w:tab w:val="left" w:pos="5670"/>
        <w:tab w:val="left" w:pos="6379"/>
        <w:tab w:val="left" w:pos="6804"/>
      </w:tabs>
      <w:spacing w:before="480"/>
      <w:jc w:val="left"/>
    </w:pPr>
  </w:style>
  <w:style w:type="paragraph" w:styleId="CommentText">
    <w:name w:val="annotation text"/>
    <w:basedOn w:val="Normal"/>
    <w:link w:val="CommentTextChar"/>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pPr>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rsid w:val="00BF725A"/>
    <w:pPr>
      <w:jc w:val="center"/>
    </w:pPr>
    <w:rPr>
      <w:rFonts w:eastAsia="MS Mincho"/>
      <w:b/>
      <w:smallCaps/>
      <w:lang w:eastAsia="ja-JP"/>
    </w:rPr>
  </w:style>
  <w:style w:type="paragraph" w:customStyle="1" w:styleId="Subject">
    <w:name w:val="Subject"/>
    <w:basedOn w:val="Normal"/>
    <w:next w:val="Normal"/>
    <w:rsid w:val="00A705D2"/>
    <w:pPr>
      <w:ind w:left="1531" w:hanging="1531"/>
      <w:jc w:val="left"/>
    </w:pPr>
    <w:rPr>
      <w:rFonts w:ascii="Verdana" w:eastAsia="MS Mincho" w:hAnsi="Verdana"/>
      <w:bCs/>
      <w:sz w:val="17"/>
      <w:szCs w:val="17"/>
      <w:lang w:eastAsia="ja-JP"/>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pPr>
    <w:rPr>
      <w:i/>
    </w:rPr>
  </w:style>
  <w:style w:type="character" w:styleId="FollowedHyperlink">
    <w:name w:val="FollowedHyperlink"/>
    <w:rPr>
      <w:color w:val="800080"/>
      <w:u w:val="single"/>
    </w:rPr>
  </w:style>
  <w:style w:type="paragraph" w:customStyle="1" w:styleId="DisclaimerSJ">
    <w:name w:val="Disclaimer_SJ"/>
    <w:basedOn w:val="Normal"/>
    <w:next w:val="Normal"/>
    <w:rPr>
      <w:rFonts w:ascii="Arial" w:hAnsi="Arial"/>
      <w:b/>
      <w:sz w:val="16"/>
    </w:rPr>
  </w:style>
  <w:style w:type="paragraph" w:customStyle="1" w:styleId="ZCom">
    <w:name w:val="Z_Com"/>
    <w:basedOn w:val="Normal"/>
    <w:next w:val="ZDGName"/>
    <w:uiPriority w:val="99"/>
    <w:rsid w:val="00BF725A"/>
    <w:pPr>
      <w:widowControl w:val="0"/>
      <w:autoSpaceDE w:val="0"/>
      <w:autoSpaceDN w:val="0"/>
      <w:ind w:right="85"/>
    </w:pPr>
    <w:rPr>
      <w:rFonts w:ascii="Arial" w:eastAsia="MS Mincho" w:hAnsi="Arial" w:cs="Arial"/>
      <w:szCs w:val="24"/>
      <w:lang w:eastAsia="ja-JP"/>
    </w:rPr>
  </w:style>
  <w:style w:type="paragraph" w:customStyle="1" w:styleId="ZDGName">
    <w:name w:val="Z_DGName"/>
    <w:basedOn w:val="Normal"/>
    <w:uiPriority w:val="99"/>
    <w:rsid w:val="00BF725A"/>
    <w:pPr>
      <w:widowControl w:val="0"/>
      <w:autoSpaceDE w:val="0"/>
      <w:autoSpaceDN w:val="0"/>
      <w:ind w:right="85"/>
      <w:jc w:val="left"/>
    </w:pPr>
    <w:rPr>
      <w:rFonts w:ascii="Arial" w:eastAsia="MS Mincho" w:hAnsi="Arial" w:cs="Arial"/>
      <w:sz w:val="16"/>
      <w:szCs w:val="16"/>
      <w:lang w:eastAsia="ja-JP"/>
    </w:rPr>
  </w:style>
  <w:style w:type="character" w:styleId="PageNumber">
    <w:name w:val="page number"/>
    <w:basedOn w:val="DefaultParagraphFont"/>
    <w:rsid w:val="00BF725A"/>
  </w:style>
  <w:style w:type="paragraph" w:styleId="BalloonText">
    <w:name w:val="Balloon Text"/>
    <w:basedOn w:val="Normal"/>
    <w:semiHidden/>
    <w:rsid w:val="00D73D0A"/>
    <w:rPr>
      <w:rFonts w:ascii="Tahoma" w:hAnsi="Tahoma" w:cs="Tahoma"/>
      <w:sz w:val="16"/>
      <w:szCs w:val="16"/>
    </w:rPr>
  </w:style>
  <w:style w:type="character" w:styleId="FootnoteReference">
    <w:name w:val="footnote reference"/>
    <w:uiPriority w:val="99"/>
    <w:semiHidden/>
    <w:rsid w:val="00F70322"/>
    <w:rPr>
      <w:vertAlign w:val="superscript"/>
    </w:rPr>
  </w:style>
  <w:style w:type="paragraph" w:styleId="NormalWeb">
    <w:name w:val="Normal (Web)"/>
    <w:basedOn w:val="Normal"/>
    <w:rsid w:val="004D1AB3"/>
    <w:pPr>
      <w:spacing w:before="100" w:beforeAutospacing="1" w:after="100" w:afterAutospacing="1"/>
      <w:jc w:val="left"/>
    </w:pPr>
    <w:rPr>
      <w:rFonts w:eastAsia="MS Mincho"/>
      <w:szCs w:val="24"/>
      <w:lang w:eastAsia="ja-JP"/>
    </w:rPr>
  </w:style>
  <w:style w:type="character" w:customStyle="1" w:styleId="Heading1Char">
    <w:name w:val="Heading 1 Char"/>
    <w:link w:val="Heading1"/>
    <w:rsid w:val="00366CDF"/>
    <w:rPr>
      <w:b/>
      <w:smallCaps/>
      <w:sz w:val="24"/>
      <w:lang w:eastAsia="en-US"/>
    </w:rPr>
  </w:style>
  <w:style w:type="character" w:styleId="CommentReference">
    <w:name w:val="annotation reference"/>
    <w:rsid w:val="00366CDF"/>
    <w:rPr>
      <w:sz w:val="16"/>
      <w:szCs w:val="16"/>
    </w:rPr>
  </w:style>
  <w:style w:type="character" w:customStyle="1" w:styleId="CommentTextChar">
    <w:name w:val="Comment Text Char"/>
    <w:link w:val="CommentText"/>
    <w:rsid w:val="00366CDF"/>
    <w:rPr>
      <w:lang w:eastAsia="en-US"/>
    </w:rPr>
  </w:style>
  <w:style w:type="paragraph" w:styleId="Revision">
    <w:name w:val="Revision"/>
    <w:hidden/>
    <w:uiPriority w:val="99"/>
    <w:semiHidden/>
    <w:rsid w:val="00366CDF"/>
    <w:rPr>
      <w:sz w:val="24"/>
      <w:lang w:eastAsia="en-US"/>
    </w:rPr>
  </w:style>
  <w:style w:type="character" w:customStyle="1" w:styleId="PlainTextChar">
    <w:name w:val="Plain Text Char"/>
    <w:link w:val="PlainText"/>
    <w:uiPriority w:val="99"/>
    <w:rsid w:val="00DC61BC"/>
    <w:rPr>
      <w:rFonts w:ascii="Courier New" w:hAnsi="Courier New"/>
      <w:lang w:eastAsia="en-US"/>
    </w:rPr>
  </w:style>
  <w:style w:type="paragraph" w:customStyle="1" w:styleId="NormalAf">
    <w:name w:val="Normal Af"/>
    <w:basedOn w:val="Normal"/>
    <w:rsid w:val="0014458D"/>
  </w:style>
  <w:style w:type="paragraph" w:styleId="CommentSubject">
    <w:name w:val="annotation subject"/>
    <w:basedOn w:val="CommentText"/>
    <w:next w:val="CommentText"/>
    <w:semiHidden/>
    <w:rsid w:val="00B60A49"/>
    <w:rPr>
      <w:b/>
      <w:bCs/>
    </w:rPr>
  </w:style>
  <w:style w:type="character" w:customStyle="1" w:styleId="Heading2Char">
    <w:name w:val="Heading 2 Char"/>
    <w:link w:val="Heading2"/>
    <w:uiPriority w:val="9"/>
    <w:rsid w:val="00CB00F3"/>
    <w:rPr>
      <w:b/>
      <w:sz w:val="24"/>
      <w:lang w:eastAsia="en-US"/>
    </w:rPr>
  </w:style>
  <w:style w:type="character" w:styleId="Strong">
    <w:name w:val="Strong"/>
    <w:uiPriority w:val="22"/>
    <w:qFormat/>
    <w:rsid w:val="00CB00F3"/>
    <w:rPr>
      <w:b/>
      <w:bCs/>
    </w:rPr>
  </w:style>
  <w:style w:type="paragraph" w:customStyle="1" w:styleId="published">
    <w:name w:val="published"/>
    <w:basedOn w:val="Normal"/>
    <w:rsid w:val="00CB00F3"/>
    <w:pPr>
      <w:spacing w:after="360"/>
      <w:jc w:val="left"/>
    </w:pPr>
    <w:rPr>
      <w:szCs w:val="24"/>
      <w:lang w:eastAsia="en-GB"/>
    </w:rPr>
  </w:style>
  <w:style w:type="character" w:styleId="Hyperlink">
    <w:name w:val="Hyperlink"/>
    <w:rsid w:val="00C51B26"/>
    <w:rPr>
      <w:color w:val="0000FF"/>
      <w:u w:val="single"/>
    </w:rPr>
  </w:style>
  <w:style w:type="paragraph" w:styleId="ListParagraph">
    <w:name w:val="List Paragraph"/>
    <w:basedOn w:val="Normal"/>
    <w:uiPriority w:val="34"/>
    <w:qFormat/>
    <w:rsid w:val="00460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0727">
      <w:bodyDiv w:val="1"/>
      <w:marLeft w:val="0"/>
      <w:marRight w:val="0"/>
      <w:marTop w:val="0"/>
      <w:marBottom w:val="0"/>
      <w:divBdr>
        <w:top w:val="none" w:sz="0" w:space="0" w:color="auto"/>
        <w:left w:val="none" w:sz="0" w:space="0" w:color="auto"/>
        <w:bottom w:val="none" w:sz="0" w:space="0" w:color="auto"/>
        <w:right w:val="none" w:sz="0" w:space="0" w:color="auto"/>
      </w:divBdr>
      <w:divsChild>
        <w:div w:id="1577133229">
          <w:marLeft w:val="605"/>
          <w:marRight w:val="0"/>
          <w:marTop w:val="115"/>
          <w:marBottom w:val="0"/>
          <w:divBdr>
            <w:top w:val="none" w:sz="0" w:space="0" w:color="auto"/>
            <w:left w:val="none" w:sz="0" w:space="0" w:color="auto"/>
            <w:bottom w:val="none" w:sz="0" w:space="0" w:color="auto"/>
            <w:right w:val="none" w:sz="0" w:space="0" w:color="auto"/>
          </w:divBdr>
        </w:div>
      </w:divsChild>
    </w:div>
    <w:div w:id="278414405">
      <w:bodyDiv w:val="1"/>
      <w:marLeft w:val="0"/>
      <w:marRight w:val="0"/>
      <w:marTop w:val="0"/>
      <w:marBottom w:val="0"/>
      <w:divBdr>
        <w:top w:val="none" w:sz="0" w:space="0" w:color="auto"/>
        <w:left w:val="none" w:sz="0" w:space="0" w:color="auto"/>
        <w:bottom w:val="none" w:sz="0" w:space="0" w:color="auto"/>
        <w:right w:val="none" w:sz="0" w:space="0" w:color="auto"/>
      </w:divBdr>
    </w:div>
    <w:div w:id="446701799">
      <w:bodyDiv w:val="1"/>
      <w:marLeft w:val="0"/>
      <w:marRight w:val="0"/>
      <w:marTop w:val="0"/>
      <w:marBottom w:val="0"/>
      <w:divBdr>
        <w:top w:val="none" w:sz="0" w:space="0" w:color="auto"/>
        <w:left w:val="none" w:sz="0" w:space="0" w:color="auto"/>
        <w:bottom w:val="none" w:sz="0" w:space="0" w:color="auto"/>
        <w:right w:val="none" w:sz="0" w:space="0" w:color="auto"/>
      </w:divBdr>
    </w:div>
    <w:div w:id="550313390">
      <w:bodyDiv w:val="1"/>
      <w:marLeft w:val="0"/>
      <w:marRight w:val="0"/>
      <w:marTop w:val="0"/>
      <w:marBottom w:val="0"/>
      <w:divBdr>
        <w:top w:val="none" w:sz="0" w:space="0" w:color="auto"/>
        <w:left w:val="none" w:sz="0" w:space="0" w:color="auto"/>
        <w:bottom w:val="none" w:sz="0" w:space="0" w:color="auto"/>
        <w:right w:val="none" w:sz="0" w:space="0" w:color="auto"/>
      </w:divBdr>
      <w:divsChild>
        <w:div w:id="744763172">
          <w:marLeft w:val="605"/>
          <w:marRight w:val="0"/>
          <w:marTop w:val="115"/>
          <w:marBottom w:val="0"/>
          <w:divBdr>
            <w:top w:val="none" w:sz="0" w:space="0" w:color="auto"/>
            <w:left w:val="none" w:sz="0" w:space="0" w:color="auto"/>
            <w:bottom w:val="none" w:sz="0" w:space="0" w:color="auto"/>
            <w:right w:val="none" w:sz="0" w:space="0" w:color="auto"/>
          </w:divBdr>
        </w:div>
      </w:divsChild>
    </w:div>
    <w:div w:id="673267249">
      <w:bodyDiv w:val="1"/>
      <w:marLeft w:val="0"/>
      <w:marRight w:val="0"/>
      <w:marTop w:val="0"/>
      <w:marBottom w:val="0"/>
      <w:divBdr>
        <w:top w:val="none" w:sz="0" w:space="0" w:color="auto"/>
        <w:left w:val="none" w:sz="0" w:space="0" w:color="auto"/>
        <w:bottom w:val="none" w:sz="0" w:space="0" w:color="auto"/>
        <w:right w:val="none" w:sz="0" w:space="0" w:color="auto"/>
      </w:divBdr>
    </w:div>
    <w:div w:id="679938970">
      <w:bodyDiv w:val="1"/>
      <w:marLeft w:val="0"/>
      <w:marRight w:val="0"/>
      <w:marTop w:val="0"/>
      <w:marBottom w:val="0"/>
      <w:divBdr>
        <w:top w:val="none" w:sz="0" w:space="0" w:color="auto"/>
        <w:left w:val="none" w:sz="0" w:space="0" w:color="auto"/>
        <w:bottom w:val="none" w:sz="0" w:space="0" w:color="auto"/>
        <w:right w:val="none" w:sz="0" w:space="0" w:color="auto"/>
      </w:divBdr>
    </w:div>
    <w:div w:id="712967414">
      <w:bodyDiv w:val="1"/>
      <w:marLeft w:val="0"/>
      <w:marRight w:val="0"/>
      <w:marTop w:val="0"/>
      <w:marBottom w:val="0"/>
      <w:divBdr>
        <w:top w:val="none" w:sz="0" w:space="0" w:color="auto"/>
        <w:left w:val="none" w:sz="0" w:space="0" w:color="auto"/>
        <w:bottom w:val="none" w:sz="0" w:space="0" w:color="auto"/>
        <w:right w:val="none" w:sz="0" w:space="0" w:color="auto"/>
      </w:divBdr>
      <w:divsChild>
        <w:div w:id="1035813080">
          <w:marLeft w:val="605"/>
          <w:marRight w:val="0"/>
          <w:marTop w:val="115"/>
          <w:marBottom w:val="0"/>
          <w:divBdr>
            <w:top w:val="none" w:sz="0" w:space="0" w:color="auto"/>
            <w:left w:val="none" w:sz="0" w:space="0" w:color="auto"/>
            <w:bottom w:val="none" w:sz="0" w:space="0" w:color="auto"/>
            <w:right w:val="none" w:sz="0" w:space="0" w:color="auto"/>
          </w:divBdr>
        </w:div>
      </w:divsChild>
    </w:div>
    <w:div w:id="845629837">
      <w:bodyDiv w:val="1"/>
      <w:marLeft w:val="0"/>
      <w:marRight w:val="0"/>
      <w:marTop w:val="0"/>
      <w:marBottom w:val="0"/>
      <w:divBdr>
        <w:top w:val="none" w:sz="0" w:space="0" w:color="auto"/>
        <w:left w:val="none" w:sz="0" w:space="0" w:color="auto"/>
        <w:bottom w:val="none" w:sz="0" w:space="0" w:color="auto"/>
        <w:right w:val="none" w:sz="0" w:space="0" w:color="auto"/>
      </w:divBdr>
    </w:div>
    <w:div w:id="880826584">
      <w:bodyDiv w:val="1"/>
      <w:marLeft w:val="0"/>
      <w:marRight w:val="0"/>
      <w:marTop w:val="0"/>
      <w:marBottom w:val="0"/>
      <w:divBdr>
        <w:top w:val="none" w:sz="0" w:space="0" w:color="auto"/>
        <w:left w:val="none" w:sz="0" w:space="0" w:color="auto"/>
        <w:bottom w:val="none" w:sz="0" w:space="0" w:color="auto"/>
        <w:right w:val="none" w:sz="0" w:space="0" w:color="auto"/>
      </w:divBdr>
      <w:divsChild>
        <w:div w:id="1780560978">
          <w:marLeft w:val="0"/>
          <w:marRight w:val="0"/>
          <w:marTop w:val="0"/>
          <w:marBottom w:val="0"/>
          <w:divBdr>
            <w:top w:val="none" w:sz="0" w:space="0" w:color="auto"/>
            <w:left w:val="none" w:sz="0" w:space="0" w:color="auto"/>
            <w:bottom w:val="none" w:sz="0" w:space="0" w:color="auto"/>
            <w:right w:val="none" w:sz="0" w:space="0" w:color="auto"/>
          </w:divBdr>
          <w:divsChild>
            <w:div w:id="1497457387">
              <w:marLeft w:val="0"/>
              <w:marRight w:val="0"/>
              <w:marTop w:val="0"/>
              <w:marBottom w:val="0"/>
              <w:divBdr>
                <w:top w:val="none" w:sz="0" w:space="0" w:color="auto"/>
                <w:left w:val="none" w:sz="0" w:space="0" w:color="auto"/>
                <w:bottom w:val="none" w:sz="0" w:space="0" w:color="auto"/>
                <w:right w:val="none" w:sz="0" w:space="0" w:color="auto"/>
              </w:divBdr>
              <w:divsChild>
                <w:div w:id="48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2568">
      <w:bodyDiv w:val="1"/>
      <w:marLeft w:val="0"/>
      <w:marRight w:val="0"/>
      <w:marTop w:val="0"/>
      <w:marBottom w:val="0"/>
      <w:divBdr>
        <w:top w:val="none" w:sz="0" w:space="0" w:color="auto"/>
        <w:left w:val="none" w:sz="0" w:space="0" w:color="auto"/>
        <w:bottom w:val="none" w:sz="0" w:space="0" w:color="auto"/>
        <w:right w:val="none" w:sz="0" w:space="0" w:color="auto"/>
      </w:divBdr>
      <w:divsChild>
        <w:div w:id="1638873777">
          <w:marLeft w:val="547"/>
          <w:marRight w:val="0"/>
          <w:marTop w:val="0"/>
          <w:marBottom w:val="0"/>
          <w:divBdr>
            <w:top w:val="none" w:sz="0" w:space="0" w:color="auto"/>
            <w:left w:val="none" w:sz="0" w:space="0" w:color="auto"/>
            <w:bottom w:val="none" w:sz="0" w:space="0" w:color="auto"/>
            <w:right w:val="none" w:sz="0" w:space="0" w:color="auto"/>
          </w:divBdr>
        </w:div>
      </w:divsChild>
    </w:div>
    <w:div w:id="971012627">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4">
          <w:marLeft w:val="605"/>
          <w:marRight w:val="0"/>
          <w:marTop w:val="115"/>
          <w:marBottom w:val="0"/>
          <w:divBdr>
            <w:top w:val="none" w:sz="0" w:space="0" w:color="auto"/>
            <w:left w:val="none" w:sz="0" w:space="0" w:color="auto"/>
            <w:bottom w:val="none" w:sz="0" w:space="0" w:color="auto"/>
            <w:right w:val="none" w:sz="0" w:space="0" w:color="auto"/>
          </w:divBdr>
        </w:div>
      </w:divsChild>
    </w:div>
    <w:div w:id="1027683115">
      <w:bodyDiv w:val="1"/>
      <w:marLeft w:val="0"/>
      <w:marRight w:val="0"/>
      <w:marTop w:val="0"/>
      <w:marBottom w:val="0"/>
      <w:divBdr>
        <w:top w:val="none" w:sz="0" w:space="0" w:color="auto"/>
        <w:left w:val="none" w:sz="0" w:space="0" w:color="auto"/>
        <w:bottom w:val="none" w:sz="0" w:space="0" w:color="auto"/>
        <w:right w:val="none" w:sz="0" w:space="0" w:color="auto"/>
      </w:divBdr>
    </w:div>
    <w:div w:id="1541474026">
      <w:bodyDiv w:val="1"/>
      <w:marLeft w:val="0"/>
      <w:marRight w:val="0"/>
      <w:marTop w:val="0"/>
      <w:marBottom w:val="0"/>
      <w:divBdr>
        <w:top w:val="none" w:sz="0" w:space="0" w:color="auto"/>
        <w:left w:val="none" w:sz="0" w:space="0" w:color="auto"/>
        <w:bottom w:val="none" w:sz="0" w:space="0" w:color="auto"/>
        <w:right w:val="none" w:sz="0" w:space="0" w:color="auto"/>
      </w:divBdr>
      <w:divsChild>
        <w:div w:id="10109722">
          <w:marLeft w:val="0"/>
          <w:marRight w:val="0"/>
          <w:marTop w:val="0"/>
          <w:marBottom w:val="0"/>
          <w:divBdr>
            <w:top w:val="none" w:sz="0" w:space="0" w:color="auto"/>
            <w:left w:val="none" w:sz="0" w:space="0" w:color="auto"/>
            <w:bottom w:val="none" w:sz="0" w:space="0" w:color="auto"/>
            <w:right w:val="none" w:sz="0" w:space="0" w:color="auto"/>
          </w:divBdr>
          <w:divsChild>
            <w:div w:id="640307546">
              <w:marLeft w:val="0"/>
              <w:marRight w:val="0"/>
              <w:marTop w:val="0"/>
              <w:marBottom w:val="0"/>
              <w:divBdr>
                <w:top w:val="none" w:sz="0" w:space="0" w:color="auto"/>
                <w:left w:val="none" w:sz="0" w:space="0" w:color="auto"/>
                <w:bottom w:val="none" w:sz="0" w:space="0" w:color="auto"/>
                <w:right w:val="none" w:sz="0" w:space="0" w:color="auto"/>
              </w:divBdr>
              <w:divsChild>
                <w:div w:id="1144278766">
                  <w:marLeft w:val="0"/>
                  <w:marRight w:val="150"/>
                  <w:marTop w:val="0"/>
                  <w:marBottom w:val="0"/>
                  <w:divBdr>
                    <w:top w:val="none" w:sz="0" w:space="0" w:color="auto"/>
                    <w:left w:val="none" w:sz="0" w:space="0" w:color="auto"/>
                    <w:bottom w:val="none" w:sz="0" w:space="0" w:color="auto"/>
                    <w:right w:val="none" w:sz="0" w:space="0" w:color="auto"/>
                  </w:divBdr>
                  <w:divsChild>
                    <w:div w:id="1745375529">
                      <w:marLeft w:val="0"/>
                      <w:marRight w:val="0"/>
                      <w:marTop w:val="0"/>
                      <w:marBottom w:val="0"/>
                      <w:divBdr>
                        <w:top w:val="none" w:sz="0" w:space="0" w:color="auto"/>
                        <w:left w:val="none" w:sz="0" w:space="0" w:color="auto"/>
                        <w:bottom w:val="none" w:sz="0" w:space="0" w:color="auto"/>
                        <w:right w:val="none" w:sz="0" w:space="0" w:color="auto"/>
                      </w:divBdr>
                      <w:divsChild>
                        <w:div w:id="1398893595">
                          <w:marLeft w:val="0"/>
                          <w:marRight w:val="0"/>
                          <w:marTop w:val="0"/>
                          <w:marBottom w:val="0"/>
                          <w:divBdr>
                            <w:top w:val="none" w:sz="0" w:space="0" w:color="auto"/>
                            <w:left w:val="none" w:sz="0" w:space="0" w:color="auto"/>
                            <w:bottom w:val="none" w:sz="0" w:space="0" w:color="auto"/>
                            <w:right w:val="none" w:sz="0" w:space="0" w:color="auto"/>
                          </w:divBdr>
                          <w:divsChild>
                            <w:div w:id="13852499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175">
      <w:bodyDiv w:val="1"/>
      <w:marLeft w:val="0"/>
      <w:marRight w:val="0"/>
      <w:marTop w:val="0"/>
      <w:marBottom w:val="0"/>
      <w:divBdr>
        <w:top w:val="none" w:sz="0" w:space="0" w:color="auto"/>
        <w:left w:val="none" w:sz="0" w:space="0" w:color="auto"/>
        <w:bottom w:val="none" w:sz="0" w:space="0" w:color="auto"/>
        <w:right w:val="none" w:sz="0" w:space="0" w:color="auto"/>
      </w:divBdr>
    </w:div>
    <w:div w:id="1698851554">
      <w:bodyDiv w:val="1"/>
      <w:marLeft w:val="0"/>
      <w:marRight w:val="0"/>
      <w:marTop w:val="0"/>
      <w:marBottom w:val="0"/>
      <w:divBdr>
        <w:top w:val="none" w:sz="0" w:space="0" w:color="auto"/>
        <w:left w:val="none" w:sz="0" w:space="0" w:color="auto"/>
        <w:bottom w:val="none" w:sz="0" w:space="0" w:color="auto"/>
        <w:right w:val="none" w:sz="0" w:space="0" w:color="auto"/>
      </w:divBdr>
      <w:divsChild>
        <w:div w:id="1678775830">
          <w:marLeft w:val="547"/>
          <w:marRight w:val="0"/>
          <w:marTop w:val="0"/>
          <w:marBottom w:val="0"/>
          <w:divBdr>
            <w:top w:val="none" w:sz="0" w:space="0" w:color="auto"/>
            <w:left w:val="none" w:sz="0" w:space="0" w:color="auto"/>
            <w:bottom w:val="none" w:sz="0" w:space="0" w:color="auto"/>
            <w:right w:val="none" w:sz="0" w:space="0" w:color="auto"/>
          </w:divBdr>
        </w:div>
      </w:divsChild>
    </w:div>
    <w:div w:id="17183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g47@leicester.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dolige@eurelectric.org" TargetMode="External"/><Relationship Id="rId17" Type="http://schemas.openxmlformats.org/officeDocument/2006/relationships/hyperlink" Target="mailto:katarzyna.wardal@efiees.eu" TargetMode="External"/><Relationship Id="rId2" Type="http://schemas.openxmlformats.org/officeDocument/2006/relationships/numbering" Target="numbering.xml"/><Relationship Id="rId16" Type="http://schemas.openxmlformats.org/officeDocument/2006/relationships/hyperlink" Target="mailto:heidi.ranscombe@citizensadvic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e.Cornelis@ombudsmanenergie.be" TargetMode="External"/><Relationship Id="rId5" Type="http://schemas.openxmlformats.org/officeDocument/2006/relationships/settings" Target="settings.xml"/><Relationship Id="rId15" Type="http://schemas.openxmlformats.org/officeDocument/2006/relationships/hyperlink" Target="mailto:SI@eurogas.org" TargetMode="External"/><Relationship Id="rId10" Type="http://schemas.openxmlformats.org/officeDocument/2006/relationships/hyperlink" Target="mailto:aurelie.ciuti@rwade.b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aololandi.rm@gmail.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ergy/en/consultations/consultation-review-directive-201227eu-energy-efficiency" TargetMode="External"/><Relationship Id="rId1" Type="http://schemas.openxmlformats.org/officeDocument/2006/relationships/hyperlink" Target="http://www.cerre.eu/sites/cerre/files/Affordability_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A97E-1E30-48AC-912D-A97EDA2B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1</Pages>
  <Words>2085</Words>
  <Characters>11453</Characters>
  <Application>Microsoft Office Word</Application>
  <DocSecurity>0</DocSecurity>
  <PresentationFormat>Microsoft Word 11.0</PresentationFormat>
  <Lines>673</Lines>
  <Paragraphs>451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European Commission</Company>
  <LinksUpToDate>false</LinksUpToDate>
  <CharactersWithSpaces>13087</CharactersWithSpaces>
  <SharedDoc>false</SharedDoc>
  <HLinks>
    <vt:vector size="6" baseType="variant">
      <vt:variant>
        <vt:i4>5439496</vt:i4>
      </vt:variant>
      <vt:variant>
        <vt:i4>0</vt:i4>
      </vt:variant>
      <vt:variant>
        <vt:i4>0</vt:i4>
      </vt:variant>
      <vt:variant>
        <vt:i4>5</vt:i4>
      </vt:variant>
      <vt:variant>
        <vt:lpwstr>http://shop.bsigroup.com/en/ProductDetail/?pid=000000000030213909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Panek</dc:creator>
  <cp:keywords>EL4</cp:keywords>
  <cp:lastModifiedBy>DQC</cp:lastModifiedBy>
  <cp:revision>1</cp:revision>
  <cp:lastPrinted>2015-12-22T14:21:00Z</cp:lastPrinted>
  <dcterms:created xsi:type="dcterms:W3CDTF">2016-12-21T14:03:00Z</dcterms:created>
  <dcterms:modified xsi:type="dcterms:W3CDTF">2016-12-21T14:03:00Z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Jan Panek</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ies>
</file>