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CB1573">
            <w:pPr>
              <w:pStyle w:val="Paragraphestandard"/>
              <w:spacing w:before="360"/>
              <w:jc w:val="right"/>
              <w:rPr>
                <w:rFonts w:ascii="ArialMT" w:hAnsi="ArialMT" w:cs="ArialMT"/>
                <w:color w:val="4D4D4D"/>
                <w:sz w:val="23"/>
                <w:szCs w:val="23"/>
              </w:rPr>
            </w:pPr>
            <w:r>
              <w:rPr>
                <w:color w:val="4D4D4D"/>
                <w:sz w:val="23"/>
                <w:szCs w:val="23"/>
              </w:rPr>
              <w:t xml:space="preserve">Brussels, </w:t>
            </w:r>
            <w:r w:rsidR="00CB1573">
              <w:rPr>
                <w:color w:val="4D4D4D"/>
                <w:sz w:val="23"/>
                <w:szCs w:val="23"/>
              </w:rPr>
              <w:t>19 August 2019</w:t>
            </w:r>
          </w:p>
        </w:tc>
      </w:tr>
      <w:tr w:rsidR="006A1265" w:rsidRPr="008756AE" w:rsidTr="0061230F">
        <w:tblPrEx>
          <w:tblCellMar>
            <w:left w:w="108" w:type="dxa"/>
            <w:right w:w="108" w:type="dxa"/>
          </w:tblCellMar>
        </w:tblPrEx>
        <w:tc>
          <w:tcPr>
            <w:tcW w:w="9772" w:type="dxa"/>
            <w:gridSpan w:val="2"/>
          </w:tcPr>
          <w:p w:rsidR="003F75C7" w:rsidRPr="006F5CF5" w:rsidRDefault="008756AE" w:rsidP="00A92E25">
            <w:pPr>
              <w:pStyle w:val="Paragraphestandard"/>
              <w:spacing w:line="240" w:lineRule="atLeast"/>
              <w:rPr>
                <w:color w:val="4D4D4D"/>
                <w:sz w:val="23"/>
                <w:szCs w:val="23"/>
              </w:rPr>
            </w:pPr>
            <w:r>
              <w:rPr>
                <w:color w:val="4D4D4D"/>
                <w:sz w:val="23"/>
                <w:szCs w:val="23"/>
              </w:rPr>
              <w:t>Mr Jeremie Charles</w:t>
            </w:r>
          </w:p>
          <w:p w:rsidR="006A1265" w:rsidRPr="008756AE" w:rsidRDefault="003F75C7" w:rsidP="008756AE">
            <w:pPr>
              <w:pStyle w:val="Paragraphestandard"/>
              <w:spacing w:line="240" w:lineRule="atLeast"/>
              <w:rPr>
                <w:b/>
                <w:bCs/>
                <w:lang w:val="fr-BE"/>
              </w:rPr>
            </w:pPr>
            <w:r w:rsidRPr="008756AE">
              <w:rPr>
                <w:color w:val="4D4D4D"/>
                <w:sz w:val="23"/>
                <w:szCs w:val="23"/>
                <w:lang w:val="fr-BE"/>
              </w:rPr>
              <w:t>Email:</w:t>
            </w:r>
            <w:r w:rsidR="00561CA0" w:rsidRPr="008756AE">
              <w:rPr>
                <w:lang w:val="fr-BE"/>
              </w:rPr>
              <w:t xml:space="preserve"> </w:t>
            </w:r>
            <w:r w:rsidR="008756AE" w:rsidRPr="00CB1573">
              <w:rPr>
                <w:color w:val="4D4D4D"/>
                <w:sz w:val="23"/>
                <w:szCs w:val="23"/>
              </w:rPr>
              <w:t>ask+request-7060-338b96bc@asktheeu.org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8756AE">
            <w:pPr>
              <w:pStyle w:val="Paragraphestandard"/>
              <w:tabs>
                <w:tab w:val="left" w:pos="2127"/>
              </w:tabs>
              <w:spacing w:before="360" w:after="360" w:line="240" w:lineRule="auto"/>
            </w:pPr>
            <w:r w:rsidRPr="006A1265">
              <w:t>Ref. 1</w:t>
            </w:r>
            <w:r w:rsidR="0034067B">
              <w:t>9</w:t>
            </w:r>
            <w:r w:rsidRPr="006A1265">
              <w:t>/</w:t>
            </w:r>
            <w:r w:rsidR="00561CA0">
              <w:t>1</w:t>
            </w:r>
            <w:r w:rsidR="00CC02C6">
              <w:t>5</w:t>
            </w:r>
            <w:r w:rsidR="00A92E25">
              <w:t>8</w:t>
            </w:r>
            <w:r w:rsidR="008756AE">
              <w:t>8</w:t>
            </w:r>
            <w:r w:rsidR="00A92E25">
              <w:t>-</w:t>
            </w:r>
            <w:r w:rsidR="00835BF1">
              <w:t>em</w:t>
            </w:r>
            <w:r w:rsidR="00A92E25">
              <w:t>/</w:t>
            </w:r>
            <w:r w:rsidR="00CB1573">
              <w:t>nb</w:t>
            </w:r>
            <w:bookmarkStart w:id="0" w:name="_GoBack"/>
            <w:bookmarkEnd w:id="0"/>
          </w:p>
          <w:p w:rsidR="006A1265" w:rsidRDefault="006A1265" w:rsidP="006F5CF5">
            <w:pPr>
              <w:pStyle w:val="Paragraphestandard"/>
              <w:tabs>
                <w:tab w:val="left" w:pos="2127"/>
              </w:tabs>
              <w:spacing w:line="240" w:lineRule="auto"/>
            </w:pPr>
            <w:r w:rsidRPr="006A1265">
              <w:t>Request made on:</w:t>
            </w:r>
            <w:r w:rsidRPr="006A1265">
              <w:tab/>
            </w:r>
            <w:r w:rsidR="00835BF1">
              <w:t>05</w:t>
            </w:r>
            <w:r w:rsidR="006F5CF5">
              <w:t>.07</w:t>
            </w:r>
            <w:r w:rsidR="00F328E9">
              <w:t>.2019</w:t>
            </w:r>
          </w:p>
          <w:p w:rsidR="006A1265" w:rsidRPr="00837DAE" w:rsidRDefault="00AE238D" w:rsidP="00CB1573">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CB1573">
              <w:t>26.07.2019</w:t>
            </w:r>
          </w:p>
        </w:tc>
      </w:tr>
      <w:tr w:rsidR="006A1265" w:rsidRPr="00BF3329" w:rsidTr="0061230F">
        <w:tblPrEx>
          <w:tblCellMar>
            <w:left w:w="108" w:type="dxa"/>
            <w:right w:w="108" w:type="dxa"/>
          </w:tblCellMar>
        </w:tblPrEx>
        <w:tc>
          <w:tcPr>
            <w:tcW w:w="9772" w:type="dxa"/>
            <w:gridSpan w:val="2"/>
          </w:tcPr>
          <w:p w:rsidR="006A1265" w:rsidRPr="00BF3329" w:rsidRDefault="005D2BDC" w:rsidP="00F328E9">
            <w:pPr>
              <w:pStyle w:val="Paragraphestandard"/>
              <w:tabs>
                <w:tab w:val="left" w:pos="567"/>
              </w:tabs>
              <w:spacing w:before="360" w:after="360" w:line="240" w:lineRule="auto"/>
            </w:pPr>
            <w:r>
              <w:t xml:space="preserve">Dear </w:t>
            </w:r>
            <w:r w:rsidR="00F63E0C">
              <w:t>Mr Charles</w:t>
            </w:r>
            <w:r w:rsidR="008756AE">
              <w:t>,</w:t>
            </w:r>
          </w:p>
        </w:tc>
      </w:tr>
    </w:tbl>
    <w:p w:rsidR="00024FCC" w:rsidRPr="00057F1D" w:rsidRDefault="00024FCC" w:rsidP="00024FCC">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Pr="00057F1D" w:rsidRDefault="00024FCC" w:rsidP="00024FCC">
      <w:pPr>
        <w:tabs>
          <w:tab w:val="left" w:pos="4820"/>
          <w:tab w:val="left" w:pos="7371"/>
          <w:tab w:val="left" w:pos="9639"/>
        </w:tabs>
        <w:spacing w:line="320" w:lineRule="exact"/>
      </w:pPr>
    </w:p>
    <w:p w:rsidR="005515EE" w:rsidRDefault="005515EE" w:rsidP="00350885">
      <w:pPr>
        <w:tabs>
          <w:tab w:val="left" w:pos="567"/>
        </w:tabs>
        <w:spacing w:line="320" w:lineRule="exact"/>
        <w:rPr>
          <w:bCs/>
        </w:rPr>
      </w:pPr>
      <w:r>
        <w:rPr>
          <w:bCs/>
        </w:rPr>
        <w:t xml:space="preserve">Please note that all documents related to the </w:t>
      </w:r>
      <w:r w:rsidR="00350885">
        <w:rPr>
          <w:bCs/>
        </w:rPr>
        <w:t xml:space="preserve">adoption of the </w:t>
      </w:r>
      <w:r>
        <w:rPr>
          <w:bCs/>
        </w:rPr>
        <w:t xml:space="preserve">Directive </w:t>
      </w:r>
      <w:r w:rsidR="00350885" w:rsidRPr="00350885">
        <w:rPr>
          <w:bCs/>
        </w:rPr>
        <w:t>of the European Parliament and of the Council</w:t>
      </w:r>
      <w:r w:rsidR="00350885">
        <w:rPr>
          <w:bCs/>
        </w:rPr>
        <w:t xml:space="preserve"> </w:t>
      </w:r>
      <w:r w:rsidR="00350885" w:rsidRPr="00350885">
        <w:rPr>
          <w:bCs/>
        </w:rPr>
        <w:t>on the taking-up and pursuit of the business of Insurance and Reinsurance,</w:t>
      </w:r>
      <w:r w:rsidR="00350885">
        <w:rPr>
          <w:bCs/>
        </w:rPr>
        <w:t xml:space="preserve"> </w:t>
      </w:r>
      <w:r w:rsidR="00525B91" w:rsidRPr="00525B91">
        <w:rPr>
          <w:b/>
        </w:rPr>
        <w:t>Solvency</w:t>
      </w:r>
      <w:r w:rsidR="00350885" w:rsidRPr="00525B91">
        <w:rPr>
          <w:b/>
        </w:rPr>
        <w:t xml:space="preserve"> II</w:t>
      </w:r>
      <w:r w:rsidR="00350885">
        <w:rPr>
          <w:bCs/>
        </w:rPr>
        <w:t xml:space="preserve"> (Directive 2009/138/EC) are public and can be consulted via the public register of Council documents by using the following </w:t>
      </w:r>
      <w:hyperlink r:id="rId7" w:history="1">
        <w:r w:rsidR="00350885" w:rsidRPr="00350885">
          <w:rPr>
            <w:rStyle w:val="Hyperlink"/>
            <w:bCs/>
          </w:rPr>
          <w:t>link</w:t>
        </w:r>
      </w:hyperlink>
      <w:r w:rsidR="00350885">
        <w:rPr>
          <w:bCs/>
        </w:rPr>
        <w:t>.</w:t>
      </w:r>
    </w:p>
    <w:p w:rsidR="00525B91" w:rsidRDefault="00525B91" w:rsidP="00350885">
      <w:pPr>
        <w:tabs>
          <w:tab w:val="left" w:pos="567"/>
        </w:tabs>
        <w:spacing w:line="320" w:lineRule="exact"/>
        <w:rPr>
          <w:bCs/>
        </w:rPr>
      </w:pPr>
    </w:p>
    <w:p w:rsidR="00525B91" w:rsidRPr="00525B91" w:rsidRDefault="00525B91" w:rsidP="00525B91">
      <w:pPr>
        <w:tabs>
          <w:tab w:val="left" w:pos="567"/>
        </w:tabs>
        <w:spacing w:line="320" w:lineRule="exact"/>
        <w:rPr>
          <w:bCs/>
        </w:rPr>
      </w:pPr>
      <w:r>
        <w:rPr>
          <w:bCs/>
        </w:rPr>
        <w:t xml:space="preserve">The Solvency II Directive was amended by the so-called </w:t>
      </w:r>
      <w:r w:rsidRPr="00525B91">
        <w:rPr>
          <w:b/>
        </w:rPr>
        <w:t>Omnibus II Directive</w:t>
      </w:r>
      <w:r>
        <w:rPr>
          <w:bCs/>
        </w:rPr>
        <w:t xml:space="preserve"> (D</w:t>
      </w:r>
      <w:r w:rsidRPr="00525B91">
        <w:rPr>
          <w:bCs/>
        </w:rPr>
        <w:t>irective 2014/51/</w:t>
      </w:r>
      <w:r>
        <w:rPr>
          <w:bCs/>
        </w:rPr>
        <w:t>EU</w:t>
      </w:r>
      <w:r w:rsidRPr="00525B91">
        <w:rPr>
          <w:bCs/>
        </w:rPr>
        <w:t xml:space="preserve"> of the European </w:t>
      </w:r>
      <w:r>
        <w:rPr>
          <w:bCs/>
        </w:rPr>
        <w:t>P</w:t>
      </w:r>
      <w:r w:rsidRPr="00525B91">
        <w:rPr>
          <w:bCs/>
        </w:rPr>
        <w:t>arliament and of the Council</w:t>
      </w:r>
      <w:r>
        <w:rPr>
          <w:bCs/>
        </w:rPr>
        <w:t xml:space="preserve"> </w:t>
      </w:r>
      <w:r w:rsidRPr="00525B91">
        <w:rPr>
          <w:bCs/>
        </w:rPr>
        <w:t>of 16 April 2014</w:t>
      </w:r>
      <w:r>
        <w:rPr>
          <w:bCs/>
        </w:rPr>
        <w:t xml:space="preserve"> </w:t>
      </w:r>
      <w:r w:rsidRPr="00525B91">
        <w:rPr>
          <w:bCs/>
        </w:rPr>
        <w:t>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w:t>
      </w:r>
      <w:r>
        <w:rPr>
          <w:bCs/>
        </w:rPr>
        <w:t xml:space="preserve">. All documents related to that directive are public and available for consultation via the Council's public register by using the following </w:t>
      </w:r>
      <w:hyperlink r:id="rId8" w:history="1">
        <w:r w:rsidRPr="00525B91">
          <w:rPr>
            <w:rStyle w:val="Hyperlink"/>
            <w:bCs/>
          </w:rPr>
          <w:t>link</w:t>
        </w:r>
      </w:hyperlink>
      <w:r>
        <w:rPr>
          <w:bCs/>
        </w:rPr>
        <w:t>.</w:t>
      </w:r>
    </w:p>
    <w:p w:rsidR="00525B91" w:rsidRPr="00525B91" w:rsidRDefault="00525B91" w:rsidP="00525B91">
      <w:pPr>
        <w:tabs>
          <w:tab w:val="left" w:pos="567"/>
        </w:tabs>
        <w:spacing w:line="320" w:lineRule="exact"/>
        <w:rPr>
          <w:bCs/>
        </w:rPr>
      </w:pPr>
    </w:p>
    <w:p w:rsidR="00525B91" w:rsidRPr="00525B91" w:rsidRDefault="00525B91" w:rsidP="00525B91">
      <w:pPr>
        <w:tabs>
          <w:tab w:val="left" w:pos="567"/>
        </w:tabs>
        <w:spacing w:line="320" w:lineRule="exact"/>
        <w:rPr>
          <w:bCs/>
        </w:rPr>
      </w:pPr>
      <w:r>
        <w:rPr>
          <w:bCs/>
        </w:rPr>
        <w:t xml:space="preserve">You can find additional information on the legislative procedure in question on the relevant </w:t>
      </w:r>
      <w:hyperlink r:id="rId9" w:history="1">
        <w:r w:rsidRPr="00525B91">
          <w:rPr>
            <w:rStyle w:val="Hyperlink"/>
            <w:bCs/>
          </w:rPr>
          <w:t>Commission</w:t>
        </w:r>
      </w:hyperlink>
      <w:r>
        <w:rPr>
          <w:bCs/>
        </w:rPr>
        <w:t xml:space="preserve"> and </w:t>
      </w:r>
      <w:hyperlink r:id="rId10" w:history="1">
        <w:r w:rsidRPr="00525B91">
          <w:rPr>
            <w:rStyle w:val="Hyperlink"/>
            <w:bCs/>
          </w:rPr>
          <w:t>European Parliament</w:t>
        </w:r>
      </w:hyperlink>
      <w:r>
        <w:rPr>
          <w:bCs/>
        </w:rPr>
        <w:t xml:space="preserve"> websites.</w:t>
      </w:r>
    </w:p>
    <w:p w:rsidR="005515EE" w:rsidRDefault="005515EE" w:rsidP="00024FCC">
      <w:pPr>
        <w:tabs>
          <w:tab w:val="left" w:pos="567"/>
        </w:tabs>
        <w:spacing w:line="320" w:lineRule="exact"/>
        <w:rPr>
          <w:bCs/>
        </w:rPr>
      </w:pPr>
    </w:p>
    <w:p w:rsidR="00024FCC" w:rsidRDefault="00284D3E" w:rsidP="00F0348E">
      <w:pPr>
        <w:tabs>
          <w:tab w:val="left" w:pos="567"/>
        </w:tabs>
        <w:spacing w:line="320" w:lineRule="exact"/>
        <w:rPr>
          <w:bCs/>
        </w:rPr>
      </w:pPr>
      <w:r>
        <w:rPr>
          <w:bCs/>
        </w:rPr>
        <w:lastRenderedPageBreak/>
        <w:t xml:space="preserve">The General Secretariat of the Council carried out a thorough internal research in order to identify documents providing an answer to your specific question related to the "volatility adjustment" provision of the Directive (art. 77d, paragraph 4). It has been able to identify </w:t>
      </w:r>
      <w:r w:rsidR="006213B5">
        <w:rPr>
          <w:bCs/>
        </w:rPr>
        <w:t xml:space="preserve">several </w:t>
      </w:r>
      <w:r>
        <w:rPr>
          <w:bCs/>
        </w:rPr>
        <w:t xml:space="preserve">documents </w:t>
      </w:r>
      <w:r w:rsidR="006213B5">
        <w:rPr>
          <w:bCs/>
        </w:rPr>
        <w:t>(</w:t>
      </w:r>
      <w:r w:rsidR="006213B5" w:rsidRPr="006213B5">
        <w:rPr>
          <w:b/>
        </w:rPr>
        <w:t>ST 14485/11</w:t>
      </w:r>
      <w:r w:rsidR="006213B5">
        <w:rPr>
          <w:bCs/>
        </w:rPr>
        <w:t xml:space="preserve">, </w:t>
      </w:r>
      <w:r w:rsidR="006213B5" w:rsidRPr="006213B5">
        <w:rPr>
          <w:b/>
        </w:rPr>
        <w:t>ST 14487/11</w:t>
      </w:r>
      <w:r w:rsidR="006213B5">
        <w:rPr>
          <w:bCs/>
        </w:rPr>
        <w:t xml:space="preserve">, </w:t>
      </w:r>
      <w:r w:rsidR="006213B5" w:rsidRPr="006213B5">
        <w:rPr>
          <w:b/>
        </w:rPr>
        <w:t>ST 16330/13</w:t>
      </w:r>
      <w:r w:rsidR="006213B5">
        <w:rPr>
          <w:bCs/>
        </w:rPr>
        <w:t xml:space="preserve">, </w:t>
      </w:r>
      <w:r w:rsidR="006213B5" w:rsidRPr="006213B5">
        <w:rPr>
          <w:b/>
        </w:rPr>
        <w:t>ST 16/698/13</w:t>
      </w:r>
      <w:r w:rsidR="006213B5">
        <w:rPr>
          <w:bCs/>
        </w:rPr>
        <w:t xml:space="preserve">) </w:t>
      </w:r>
      <w:r>
        <w:rPr>
          <w:bCs/>
        </w:rPr>
        <w:t xml:space="preserve">providing </w:t>
      </w:r>
      <w:r w:rsidR="00F0348E">
        <w:rPr>
          <w:bCs/>
        </w:rPr>
        <w:t>elements in reply</w:t>
      </w:r>
      <w:r>
        <w:rPr>
          <w:bCs/>
        </w:rPr>
        <w:t xml:space="preserve"> to your question</w:t>
      </w:r>
      <w:r w:rsidR="006213B5">
        <w:rPr>
          <w:bCs/>
        </w:rPr>
        <w:t xml:space="preserve">. </w:t>
      </w:r>
      <w:r w:rsidR="00024FCC" w:rsidRPr="00057F1D">
        <w:rPr>
          <w:bCs/>
        </w:rPr>
        <w:t>Please find the</w:t>
      </w:r>
      <w:r w:rsidR="006213B5">
        <w:rPr>
          <w:bCs/>
        </w:rPr>
        <w:t>m</w:t>
      </w:r>
      <w:r w:rsidR="00024FCC" w:rsidRPr="00057F1D">
        <w:rPr>
          <w:bCs/>
        </w:rPr>
        <w:t xml:space="preserve"> </w:t>
      </w:r>
      <w:r w:rsidR="006213B5">
        <w:rPr>
          <w:bCs/>
        </w:rPr>
        <w:t>enclos</w:t>
      </w:r>
      <w:r w:rsidR="00024FCC" w:rsidRPr="00057F1D">
        <w:rPr>
          <w:bCs/>
        </w:rPr>
        <w:t>ed.</w:t>
      </w:r>
    </w:p>
    <w:p w:rsidR="006213B5" w:rsidRDefault="006213B5" w:rsidP="006213B5">
      <w:pPr>
        <w:tabs>
          <w:tab w:val="left" w:pos="567"/>
        </w:tabs>
        <w:spacing w:line="320" w:lineRule="exact"/>
        <w:rPr>
          <w:bCs/>
        </w:rPr>
      </w:pPr>
    </w:p>
    <w:p w:rsidR="006213B5" w:rsidRPr="00057F1D" w:rsidRDefault="006213B5" w:rsidP="006213B5">
      <w:pPr>
        <w:tabs>
          <w:tab w:val="left" w:pos="567"/>
        </w:tabs>
        <w:spacing w:line="320" w:lineRule="exact"/>
        <w:rPr>
          <w:bCs/>
        </w:rPr>
      </w:pPr>
      <w:r>
        <w:rPr>
          <w:bCs/>
        </w:rPr>
        <w:t xml:space="preserve">However, due to very large number of documents covered by your application and the particular complexity of the examination incumbent to the institution, the General Secretariat has been unable to process your request within the time-limit laid down in art. 7(1) and (3) of Regulation 1049/2001. Under these circumstances, we hope that you will be able to accept that, with respect to the </w:t>
      </w:r>
      <w:r w:rsidR="00326C79">
        <w:rPr>
          <w:bCs/>
        </w:rPr>
        <w:t xml:space="preserve">full answer to the </w:t>
      </w:r>
      <w:r>
        <w:rPr>
          <w:bCs/>
        </w:rPr>
        <w:t>specific question you asked, your request will be processed as quickly as possible.</w:t>
      </w:r>
    </w:p>
    <w:p w:rsidR="003F7835" w:rsidRPr="00057F1D" w:rsidRDefault="003F7835" w:rsidP="003F7835">
      <w:pPr>
        <w:tabs>
          <w:tab w:val="left" w:pos="567"/>
        </w:tabs>
        <w:autoSpaceDE w:val="0"/>
        <w:autoSpaceDN w:val="0"/>
        <w:adjustRightInd w:val="0"/>
        <w:spacing w:line="320" w:lineRule="exact"/>
        <w:rPr>
          <w:lang w:eastAsia="fr-BE"/>
        </w:rPr>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3F7835" w:rsidP="003F7835">
      <w:pPr>
        <w:tabs>
          <w:tab w:val="left" w:pos="567"/>
          <w:tab w:val="left" w:pos="4820"/>
          <w:tab w:val="left" w:pos="7371"/>
          <w:tab w:val="left" w:pos="9639"/>
        </w:tabs>
        <w:spacing w:line="320" w:lineRule="exact"/>
        <w:outlineLvl w:val="0"/>
      </w:pPr>
      <w:r w:rsidRPr="00057F1D">
        <w:t>(Enclosure</w:t>
      </w:r>
      <w:r w:rsidR="009627E4">
        <w:t>s</w:t>
      </w:r>
      <w:r w:rsidRPr="00057F1D">
        <w:t>)</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A0" w:rsidRDefault="00561CA0">
      <w:pPr>
        <w:spacing w:line="240" w:lineRule="auto"/>
      </w:pPr>
      <w:r>
        <w:separator/>
      </w:r>
    </w:p>
  </w:endnote>
  <w:endnote w:type="continuationSeparator" w:id="0">
    <w:p w:rsidR="00561CA0" w:rsidRDefault="00561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B157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B157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B157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B1573">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A0" w:rsidRDefault="00561CA0">
      <w:pPr>
        <w:spacing w:line="240" w:lineRule="auto"/>
      </w:pPr>
      <w:r>
        <w:separator/>
      </w:r>
    </w:p>
  </w:footnote>
  <w:footnote w:type="continuationSeparator" w:id="0">
    <w:p w:rsidR="00561CA0" w:rsidRDefault="00561CA0">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CB157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561CA0"/>
    <w:rsid w:val="000124AA"/>
    <w:rsid w:val="00024FCC"/>
    <w:rsid w:val="00063ECF"/>
    <w:rsid w:val="000B003E"/>
    <w:rsid w:val="000C2681"/>
    <w:rsid w:val="000E0B76"/>
    <w:rsid w:val="000E1E8D"/>
    <w:rsid w:val="000F69C8"/>
    <w:rsid w:val="00142991"/>
    <w:rsid w:val="00147705"/>
    <w:rsid w:val="00147750"/>
    <w:rsid w:val="00155AFE"/>
    <w:rsid w:val="00183518"/>
    <w:rsid w:val="00192AF3"/>
    <w:rsid w:val="001948EF"/>
    <w:rsid w:val="001B3A54"/>
    <w:rsid w:val="00246E32"/>
    <w:rsid w:val="002511A5"/>
    <w:rsid w:val="0027064F"/>
    <w:rsid w:val="00274A0B"/>
    <w:rsid w:val="00284D3E"/>
    <w:rsid w:val="002D1055"/>
    <w:rsid w:val="002D6BC4"/>
    <w:rsid w:val="002F7C57"/>
    <w:rsid w:val="00325C76"/>
    <w:rsid w:val="00326C79"/>
    <w:rsid w:val="003339CE"/>
    <w:rsid w:val="0034067B"/>
    <w:rsid w:val="00350885"/>
    <w:rsid w:val="003B3795"/>
    <w:rsid w:val="003E2C47"/>
    <w:rsid w:val="003F5840"/>
    <w:rsid w:val="003F75C7"/>
    <w:rsid w:val="003F7835"/>
    <w:rsid w:val="00401FDE"/>
    <w:rsid w:val="00412C26"/>
    <w:rsid w:val="00447B7F"/>
    <w:rsid w:val="00465B0B"/>
    <w:rsid w:val="004A1D7A"/>
    <w:rsid w:val="004E419F"/>
    <w:rsid w:val="00525B91"/>
    <w:rsid w:val="005515EE"/>
    <w:rsid w:val="00561CA0"/>
    <w:rsid w:val="00572543"/>
    <w:rsid w:val="005806D2"/>
    <w:rsid w:val="00581765"/>
    <w:rsid w:val="005D2BDC"/>
    <w:rsid w:val="005D7217"/>
    <w:rsid w:val="005F4197"/>
    <w:rsid w:val="00601E5C"/>
    <w:rsid w:val="0061230F"/>
    <w:rsid w:val="006213B5"/>
    <w:rsid w:val="00644F2F"/>
    <w:rsid w:val="00645106"/>
    <w:rsid w:val="006774B0"/>
    <w:rsid w:val="006975A8"/>
    <w:rsid w:val="006A1265"/>
    <w:rsid w:val="006A66CC"/>
    <w:rsid w:val="006B058C"/>
    <w:rsid w:val="006F4819"/>
    <w:rsid w:val="006F5CF5"/>
    <w:rsid w:val="00701660"/>
    <w:rsid w:val="00714092"/>
    <w:rsid w:val="00767C30"/>
    <w:rsid w:val="007A2B93"/>
    <w:rsid w:val="007C5327"/>
    <w:rsid w:val="00814280"/>
    <w:rsid w:val="00822000"/>
    <w:rsid w:val="008235B4"/>
    <w:rsid w:val="00835BF1"/>
    <w:rsid w:val="008723D5"/>
    <w:rsid w:val="008756AE"/>
    <w:rsid w:val="008A1EE0"/>
    <w:rsid w:val="0090191C"/>
    <w:rsid w:val="009627E4"/>
    <w:rsid w:val="00975C2B"/>
    <w:rsid w:val="009A07F3"/>
    <w:rsid w:val="009A1E6F"/>
    <w:rsid w:val="009A4DD3"/>
    <w:rsid w:val="009A692E"/>
    <w:rsid w:val="009B02F2"/>
    <w:rsid w:val="00A24F59"/>
    <w:rsid w:val="00A363A6"/>
    <w:rsid w:val="00A43FEB"/>
    <w:rsid w:val="00A91733"/>
    <w:rsid w:val="00A92E25"/>
    <w:rsid w:val="00AA44DD"/>
    <w:rsid w:val="00AA694C"/>
    <w:rsid w:val="00AB0003"/>
    <w:rsid w:val="00AC6F29"/>
    <w:rsid w:val="00AE238D"/>
    <w:rsid w:val="00AF3128"/>
    <w:rsid w:val="00BA1627"/>
    <w:rsid w:val="00BA4FA4"/>
    <w:rsid w:val="00BB3A2F"/>
    <w:rsid w:val="00BC198B"/>
    <w:rsid w:val="00BF034F"/>
    <w:rsid w:val="00C14D51"/>
    <w:rsid w:val="00C15422"/>
    <w:rsid w:val="00C21F23"/>
    <w:rsid w:val="00CA2C25"/>
    <w:rsid w:val="00CA6645"/>
    <w:rsid w:val="00CB1573"/>
    <w:rsid w:val="00CC02C6"/>
    <w:rsid w:val="00CC3A43"/>
    <w:rsid w:val="00CC6C35"/>
    <w:rsid w:val="00D03DBB"/>
    <w:rsid w:val="00D23D2B"/>
    <w:rsid w:val="00D3595A"/>
    <w:rsid w:val="00D71626"/>
    <w:rsid w:val="00D72B4B"/>
    <w:rsid w:val="00D72EC6"/>
    <w:rsid w:val="00D9218F"/>
    <w:rsid w:val="00D93672"/>
    <w:rsid w:val="00DB284D"/>
    <w:rsid w:val="00DF4C32"/>
    <w:rsid w:val="00E40267"/>
    <w:rsid w:val="00E55A5F"/>
    <w:rsid w:val="00E92860"/>
    <w:rsid w:val="00EC17FE"/>
    <w:rsid w:val="00ED5030"/>
    <w:rsid w:val="00EF117D"/>
    <w:rsid w:val="00F0348E"/>
    <w:rsid w:val="00F23939"/>
    <w:rsid w:val="00F328E9"/>
    <w:rsid w:val="00F5744C"/>
    <w:rsid w:val="00F63E0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0B313CE"/>
  <w15:docId w15:val="{1A2FB63D-F3E0-41F1-8975-484900FE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register/en/content/out?typ=SET&amp;i=ADV&amp;RESULTSET=1&amp;DOC_TITLE=&amp;CONTENTS=&amp;DOC_ID=&amp;DOS_INTERINST=2011%2F0006%28COD%29&amp;DOC_SUBJECT=&amp;DOC_SUBTYPE=&amp;DOC_DATE=01%2F01%2F2011%3A22%2F05%2F2014&amp;document_date_from_date=01%2F01%2F2011&amp;document_date_from_date_submit=01%2F01%2F2011&amp;document_date_to_date=22%2F05%2F2014&amp;document_date_to_date_submit=22%2F05%2F2014&amp;MEET_DATE=&amp;meeting_date_from_date=&amp;meeting_date_from_date_submit=&amp;meeting_date_to_date=&amp;meeting_date_to_date_submit=&amp;DOC_LANCD=EN&amp;ROWSPP=25&amp;NRROWS=500&amp;ORDERBY=DOC_DATE+DES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ilium.europa.eu/register/en/content/out?document_date_from_date=&amp;meeting_date_to_date_submit=&amp;DOC_ID=&amp;CONTENTS=&amp;DOC_TITLE=&amp;DOC_SUBTYPE=&amp;DOC_SUBJECT=&amp;meeting_date_to_date=&amp;MEET_DATE=&amp;meeting_date_from_date_submit=&amp;document_date_to_date=&amp;i=ADV&amp;DOS_INTERINST=2007%2F0143%28COD%29&amp;ROWSPP=25&amp;ORDERBY=DOC_DATE+DESC&amp;DOC_LANCD=EN&amp;document_date_to_date_submit=&amp;DOC_DATE=&amp;document_date_from_date_submit=&amp;typ=SET&amp;NRROWS=500&amp;meeting_date_from_date=&amp;RESULTSET=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eil.secure.europarl.europa.eu/oeil/popups/ficheprocedure.do?reference=2011/0006(COD)&amp;l=en" TargetMode="External"/><Relationship Id="rId4" Type="http://schemas.openxmlformats.org/officeDocument/2006/relationships/webSettings" Target="webSettings.xml"/><Relationship Id="rId9" Type="http://schemas.openxmlformats.org/officeDocument/2006/relationships/hyperlink" Target="https://ec.europa.eu/info/business-economy-euro/banking-and-finance/insurance-and-pensions/risk-management-and-supervision-insurance-companies-solvency-2_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508</Words>
  <Characters>3185</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BUNICELU Rodica Nicoleta</cp:lastModifiedBy>
  <cp:revision>21</cp:revision>
  <cp:lastPrinted>2016-08-29T09:27:00Z</cp:lastPrinted>
  <dcterms:created xsi:type="dcterms:W3CDTF">2019-06-03T09:03:00Z</dcterms:created>
  <dcterms:modified xsi:type="dcterms:W3CDTF">2019-08-19T11:52:00Z</dcterms:modified>
</cp:coreProperties>
</file>