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5D6617" w:rsidRPr="005D6617" w:rsidTr="00A00712">
        <w:trPr>
          <w:trHeight w:val="1508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617" w:rsidRPr="005D6617" w:rsidRDefault="00A00712" w:rsidP="005D6617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6D9CC4" wp14:editId="7B23BDC7">
                  <wp:extent cx="3086100" cy="13938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AS_pl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39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617" w:rsidRPr="005D6617" w:rsidTr="00A00712">
        <w:trPr>
          <w:trHeight w:val="57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FD4F57" w:rsidRDefault="00FD4F57" w:rsidP="005D6617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FD4F57" w:rsidRDefault="00FD4F57" w:rsidP="005D6617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FD4F57" w:rsidRDefault="00FD4F57" w:rsidP="005D6617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5D6617" w:rsidRPr="005D6617" w:rsidRDefault="005D6617" w:rsidP="00992299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992299" w:rsidRDefault="00992299" w:rsidP="00992299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992299" w:rsidRPr="00992299" w:rsidRDefault="00992299" w:rsidP="00992299">
            <w:pPr>
              <w:widowControl w:val="0"/>
              <w:autoSpaceDE w:val="0"/>
              <w:autoSpaceDN w:val="0"/>
              <w:spacing w:after="0" w:line="240" w:lineRule="auto"/>
              <w:ind w:left="291"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AFFGEN.2</w:t>
            </w:r>
          </w:p>
          <w:p w:rsidR="005D6617" w:rsidRPr="005D6617" w:rsidRDefault="00992299" w:rsidP="00992299">
            <w:pPr>
              <w:widowControl w:val="0"/>
              <w:autoSpaceDE w:val="0"/>
              <w:autoSpaceDN w:val="0"/>
              <w:spacing w:after="0" w:line="240" w:lineRule="auto"/>
              <w:ind w:left="291" w:right="85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99229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Head of Division</w:t>
            </w:r>
          </w:p>
        </w:tc>
      </w:tr>
    </w:tbl>
    <w:p w:rsidR="00FD4F57" w:rsidRPr="006A4A03" w:rsidRDefault="00FD4F57" w:rsidP="005D6617">
      <w:pPr>
        <w:spacing w:after="0" w:line="240" w:lineRule="auto"/>
        <w:ind w:left="4100" w:right="-567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5D6617" w:rsidRPr="006A4A03" w:rsidRDefault="005D6617" w:rsidP="00992299">
      <w:pPr>
        <w:spacing w:after="0" w:line="240" w:lineRule="auto"/>
        <w:ind w:left="4100" w:right="-567" w:firstLine="940"/>
        <w:rPr>
          <w:rFonts w:ascii="Times New Roman" w:eastAsia="Times New Roman" w:hAnsi="Times New Roman" w:cs="Times New Roman"/>
          <w:sz w:val="24"/>
          <w:szCs w:val="20"/>
        </w:rPr>
      </w:pPr>
      <w:r w:rsidRPr="006A4A03">
        <w:rPr>
          <w:rFonts w:ascii="Times New Roman" w:eastAsia="Times New Roman" w:hAnsi="Times New Roman" w:cs="Times New Roman"/>
          <w:sz w:val="24"/>
          <w:szCs w:val="20"/>
        </w:rPr>
        <w:t xml:space="preserve">Brussels, </w:t>
      </w:r>
      <w:r w:rsidR="00B514F4">
        <w:rPr>
          <w:rFonts w:ascii="Times New Roman" w:eastAsia="Times New Roman" w:hAnsi="Times New Roman" w:cs="Times New Roman"/>
          <w:sz w:val="24"/>
          <w:szCs w:val="20"/>
        </w:rPr>
        <w:t>11 September 2020</w:t>
      </w:r>
    </w:p>
    <w:p w:rsidR="005D6617" w:rsidRPr="006A4A03" w:rsidRDefault="00EC7783" w:rsidP="00992299">
      <w:pPr>
        <w:spacing w:after="240" w:line="240" w:lineRule="auto"/>
        <w:ind w:firstLine="5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eeas.sg.affgen.2 (2020</w:t>
      </w:r>
      <w:r w:rsidR="001F4580">
        <w:rPr>
          <w:rFonts w:ascii="Times New Roman" w:eastAsia="Times New Roman" w:hAnsi="Times New Roman" w:cs="Times New Roman"/>
          <w:sz w:val="20"/>
          <w:szCs w:val="20"/>
        </w:rPr>
        <w:t>)</w:t>
      </w:r>
      <w:r w:rsidR="00F21660" w:rsidRPr="000B18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095F" w:rsidRPr="0006095F">
        <w:rPr>
          <w:rFonts w:ascii="Times New Roman" w:eastAsia="Times New Roman" w:hAnsi="Times New Roman" w:cs="Times New Roman"/>
          <w:sz w:val="20"/>
          <w:szCs w:val="20"/>
        </w:rPr>
        <w:t>5436738</w:t>
      </w:r>
    </w:p>
    <w:p w:rsidR="005D6617" w:rsidRDefault="005D6617" w:rsidP="005D6617">
      <w:pPr>
        <w:spacing w:after="0"/>
        <w:ind w:left="4111" w:firstLine="720"/>
        <w:rPr>
          <w:rFonts w:ascii="Times New Roman" w:eastAsia="Calibri" w:hAnsi="Times New Roman" w:cs="Times New Roman"/>
          <w:szCs w:val="24"/>
        </w:rPr>
      </w:pPr>
    </w:p>
    <w:p w:rsidR="00225B86" w:rsidRPr="006A4A03" w:rsidRDefault="00225B86" w:rsidP="005D6617">
      <w:pPr>
        <w:spacing w:after="0"/>
        <w:ind w:left="4111" w:firstLine="720"/>
        <w:rPr>
          <w:rFonts w:ascii="Times New Roman" w:eastAsia="Calibri" w:hAnsi="Times New Roman" w:cs="Times New Roman"/>
          <w:szCs w:val="24"/>
        </w:rPr>
      </w:pPr>
    </w:p>
    <w:p w:rsidR="00A7394B" w:rsidRPr="00A7394B" w:rsidRDefault="003430A7" w:rsidP="00A7394B">
      <w:pPr>
        <w:ind w:left="50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</w:t>
      </w:r>
      <w:r w:rsidR="00F14E18">
        <w:rPr>
          <w:rFonts w:ascii="Times New Roman" w:eastAsia="Times New Roman" w:hAnsi="Times New Roman" w:cs="Times New Roman"/>
          <w:sz w:val="24"/>
          <w:szCs w:val="20"/>
        </w:rPr>
        <w:t xml:space="preserve">r </w:t>
      </w:r>
      <w:r w:rsidR="00A7394B" w:rsidRPr="00A7394B">
        <w:rPr>
          <w:rFonts w:ascii="Times New Roman" w:eastAsia="Times New Roman" w:hAnsi="Times New Roman" w:cs="Times New Roman"/>
          <w:sz w:val="24"/>
          <w:szCs w:val="20"/>
        </w:rPr>
        <w:t>Lukas Schulze-Rohr</w:t>
      </w:r>
    </w:p>
    <w:p w:rsidR="00F84CBB" w:rsidRPr="00905E6F" w:rsidRDefault="00F14E18" w:rsidP="00A7394B">
      <w:pPr>
        <w:spacing w:after="0"/>
        <w:ind w:left="5040"/>
        <w:rPr>
          <w:sz w:val="18"/>
          <w:szCs w:val="18"/>
        </w:rPr>
      </w:pPr>
      <w:r w:rsidRPr="00F14E1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D1467" w:rsidRPr="001F4580">
        <w:t xml:space="preserve"> </w:t>
      </w:r>
      <w:r w:rsidR="00D432CD" w:rsidRPr="001F4580">
        <w:t xml:space="preserve">   </w:t>
      </w:r>
    </w:p>
    <w:p w:rsidR="00C845FC" w:rsidRPr="001F4580" w:rsidRDefault="00C845FC" w:rsidP="00F84CBB">
      <w:pPr>
        <w:tabs>
          <w:tab w:val="left" w:pos="7770"/>
        </w:tabs>
        <w:spacing w:after="0"/>
        <w:ind w:left="4100" w:firstLine="720"/>
        <w:rPr>
          <w:rFonts w:ascii="Calibri" w:eastAsia="Calibri" w:hAnsi="Calibri" w:cs="Times New Roman"/>
        </w:rPr>
      </w:pPr>
    </w:p>
    <w:p w:rsidR="00BC295D" w:rsidRDefault="00F84CBB" w:rsidP="00F84CBB">
      <w:pPr>
        <w:spacing w:after="0"/>
        <w:rPr>
          <w:rFonts w:ascii="Times New Roman" w:eastAsia="Times New Roman" w:hAnsi="Times New Roman" w:cs="Times New Roman"/>
          <w:i/>
          <w:sz w:val="24"/>
          <w:szCs w:val="20"/>
          <w:lang w:val="en-US"/>
        </w:rPr>
      </w:pPr>
      <w:r w:rsidRPr="00F84CB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Subject: Your request for access to </w:t>
      </w:r>
      <w:r w:rsidRPr="005C608E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documents</w:t>
      </w:r>
      <w:r w:rsidRPr="005C608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72E0E" w:rsidRPr="005C608E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of </w:t>
      </w:r>
      <w:r w:rsidR="00A7394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17</w:t>
      </w:r>
      <w:r w:rsidR="00E208EE" w:rsidRPr="00E208EE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 </w:t>
      </w:r>
      <w:r w:rsidR="00A7394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August</w:t>
      </w:r>
      <w:r w:rsidR="00E208EE" w:rsidRPr="00E208EE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 2020</w:t>
      </w:r>
    </w:p>
    <w:p w:rsidR="00BC295D" w:rsidRDefault="00EC7783" w:rsidP="00F84CBB">
      <w:pPr>
        <w:spacing w:after="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23E80">
        <w:rPr>
          <w:rFonts w:ascii="Times New Roman" w:eastAsia="Times New Roman" w:hAnsi="Times New Roman" w:cs="Times New Roman"/>
          <w:i/>
          <w:sz w:val="24"/>
          <w:szCs w:val="20"/>
        </w:rPr>
        <w:t>Our ref: 2020</w:t>
      </w:r>
      <w:r w:rsidR="00472E0E" w:rsidRPr="00C23E80">
        <w:rPr>
          <w:rFonts w:ascii="Times New Roman" w:eastAsia="Times New Roman" w:hAnsi="Times New Roman" w:cs="Times New Roman"/>
          <w:i/>
          <w:sz w:val="24"/>
          <w:szCs w:val="20"/>
        </w:rPr>
        <w:t>/</w:t>
      </w:r>
      <w:r w:rsidR="00A7394B">
        <w:rPr>
          <w:rFonts w:ascii="Times New Roman" w:eastAsia="Times New Roman" w:hAnsi="Times New Roman" w:cs="Times New Roman"/>
          <w:i/>
          <w:sz w:val="24"/>
          <w:szCs w:val="20"/>
        </w:rPr>
        <w:t>102</w:t>
      </w:r>
    </w:p>
    <w:p w:rsidR="00BC295D" w:rsidRDefault="00BC295D" w:rsidP="00F84CBB">
      <w:pPr>
        <w:spacing w:after="0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F84CBB" w:rsidRPr="00C23E80" w:rsidRDefault="001F4580" w:rsidP="00F84CBB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C23E80">
        <w:rPr>
          <w:rFonts w:ascii="Times New Roman" w:eastAsia="Times New Roman" w:hAnsi="Times New Roman" w:cs="Times New Roman"/>
          <w:sz w:val="24"/>
          <w:szCs w:val="20"/>
        </w:rPr>
        <w:t xml:space="preserve">Dear </w:t>
      </w:r>
      <w:r w:rsidR="003430A7">
        <w:rPr>
          <w:rFonts w:ascii="Times New Roman" w:eastAsia="Times New Roman" w:hAnsi="Times New Roman" w:cs="Times New Roman"/>
          <w:sz w:val="24"/>
          <w:szCs w:val="20"/>
        </w:rPr>
        <w:t>M</w:t>
      </w:r>
      <w:r w:rsidR="00F14E18">
        <w:rPr>
          <w:rFonts w:ascii="Times New Roman" w:eastAsia="Times New Roman" w:hAnsi="Times New Roman" w:cs="Times New Roman"/>
          <w:sz w:val="24"/>
          <w:szCs w:val="20"/>
        </w:rPr>
        <w:t>r</w:t>
      </w:r>
      <w:r w:rsidR="00D67E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7394B" w:rsidRPr="00A7394B">
        <w:rPr>
          <w:rFonts w:ascii="Times New Roman" w:eastAsia="Times New Roman" w:hAnsi="Times New Roman" w:cs="Times New Roman"/>
          <w:sz w:val="24"/>
          <w:szCs w:val="20"/>
        </w:rPr>
        <w:t>Schulze-Rohr</w:t>
      </w:r>
      <w:r w:rsidRPr="00C23E80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F84CBB" w:rsidRPr="00C23E80" w:rsidRDefault="00F84CBB" w:rsidP="00F84CBB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F84CBB" w:rsidRDefault="00F84CBB" w:rsidP="00A0753B">
      <w:pPr>
        <w:spacing w:after="0" w:line="240" w:lineRule="auto"/>
        <w:ind w:right="-47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4CBB">
        <w:rPr>
          <w:rFonts w:ascii="Times New Roman" w:eastAsia="Times New Roman" w:hAnsi="Times New Roman" w:cs="Times New Roman"/>
          <w:sz w:val="24"/>
          <w:szCs w:val="20"/>
        </w:rPr>
        <w:t xml:space="preserve">Thank you for your request for access </w:t>
      </w:r>
      <w:r w:rsidR="00D432CD" w:rsidRPr="00F84CBB">
        <w:rPr>
          <w:rFonts w:ascii="Times New Roman" w:eastAsia="Times New Roman" w:hAnsi="Times New Roman" w:cs="Times New Roman"/>
          <w:sz w:val="24"/>
          <w:szCs w:val="20"/>
        </w:rPr>
        <w:t xml:space="preserve">to </w:t>
      </w:r>
      <w:r w:rsidR="00D432CD">
        <w:rPr>
          <w:rFonts w:ascii="Times New Roman" w:eastAsia="Times New Roman" w:hAnsi="Times New Roman" w:cs="Times New Roman"/>
          <w:sz w:val="24"/>
          <w:szCs w:val="20"/>
        </w:rPr>
        <w:t>documents</w:t>
      </w:r>
      <w:r w:rsidR="00A7394B" w:rsidRPr="00A7394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7394B" w:rsidRPr="00A7394B">
        <w:rPr>
          <w:rFonts w:ascii="Times New Roman" w:eastAsia="Times New Roman" w:hAnsi="Times New Roman" w:cs="Times New Roman"/>
          <w:sz w:val="24"/>
          <w:szCs w:val="20"/>
        </w:rPr>
        <w:t xml:space="preserve">related to the </w:t>
      </w:r>
      <w:r w:rsidR="00745AB9">
        <w:rPr>
          <w:rFonts w:ascii="Times New Roman" w:eastAsia="Times New Roman" w:hAnsi="Times New Roman" w:cs="Times New Roman"/>
          <w:i/>
          <w:sz w:val="24"/>
          <w:szCs w:val="20"/>
        </w:rPr>
        <w:t>‘</w:t>
      </w:r>
      <w:r w:rsidR="00A7394B" w:rsidRPr="0006095F">
        <w:rPr>
          <w:rFonts w:ascii="Times New Roman" w:eastAsia="Times New Roman" w:hAnsi="Times New Roman" w:cs="Times New Roman"/>
          <w:i/>
          <w:sz w:val="24"/>
          <w:szCs w:val="20"/>
        </w:rPr>
        <w:t xml:space="preserve">data on the deployment of naval assets used during </w:t>
      </w:r>
      <w:proofErr w:type="spellStart"/>
      <w:r w:rsidR="00745AB9">
        <w:rPr>
          <w:rFonts w:ascii="Times New Roman" w:eastAsia="Times New Roman" w:hAnsi="Times New Roman" w:cs="Times New Roman"/>
          <w:i/>
          <w:sz w:val="24"/>
          <w:szCs w:val="20"/>
        </w:rPr>
        <w:t>Eunavfor</w:t>
      </w:r>
      <w:proofErr w:type="spellEnd"/>
      <w:r w:rsidR="00745AB9">
        <w:rPr>
          <w:rFonts w:ascii="Times New Roman" w:eastAsia="Times New Roman" w:hAnsi="Times New Roman" w:cs="Times New Roman"/>
          <w:i/>
          <w:sz w:val="24"/>
          <w:szCs w:val="20"/>
        </w:rPr>
        <w:t xml:space="preserve"> Med - Operation Sophia</w:t>
      </w:r>
      <w:r w:rsidRPr="00F84CBB">
        <w:rPr>
          <w:rFonts w:ascii="Times New Roman" w:eastAsia="Times New Roman" w:hAnsi="Times New Roman" w:cs="Times New Roman"/>
          <w:sz w:val="24"/>
          <w:szCs w:val="20"/>
        </w:rPr>
        <w:t>,</w:t>
      </w:r>
      <w:r w:rsidR="00745AB9">
        <w:rPr>
          <w:rFonts w:ascii="Times New Roman" w:eastAsia="Times New Roman" w:hAnsi="Times New Roman" w:cs="Times New Roman"/>
          <w:sz w:val="24"/>
          <w:szCs w:val="20"/>
        </w:rPr>
        <w:t>’</w:t>
      </w:r>
      <w:r w:rsidRPr="00F84CBB">
        <w:rPr>
          <w:rFonts w:ascii="Times New Roman" w:eastAsia="Times New Roman" w:hAnsi="Times New Roman" w:cs="Times New Roman"/>
          <w:sz w:val="24"/>
          <w:szCs w:val="20"/>
        </w:rPr>
        <w:t xml:space="preserve"> which </w:t>
      </w:r>
      <w:r w:rsidR="00CC554C" w:rsidRPr="00CC554C">
        <w:rPr>
          <w:rFonts w:ascii="Times New Roman" w:eastAsia="Times New Roman" w:hAnsi="Times New Roman" w:cs="Times New Roman"/>
          <w:sz w:val="24"/>
          <w:szCs w:val="20"/>
        </w:rPr>
        <w:t>the EEAS has</w:t>
      </w:r>
      <w:r w:rsidR="00CC554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4CBB">
        <w:rPr>
          <w:rFonts w:ascii="Times New Roman" w:eastAsia="Times New Roman" w:hAnsi="Times New Roman" w:cs="Times New Roman"/>
          <w:sz w:val="24"/>
          <w:szCs w:val="20"/>
        </w:rPr>
        <w:t>examined in the framework of Regulation (EC) No 1049/2001</w:t>
      </w:r>
      <w:r w:rsidR="00745AB9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F84CBB">
        <w:rPr>
          <w:rFonts w:ascii="Times New Roman" w:eastAsia="Times New Roman" w:hAnsi="Times New Roman" w:cs="Times New Roman"/>
          <w:sz w:val="24"/>
          <w:szCs w:val="20"/>
          <w:vertAlign w:val="superscript"/>
        </w:rPr>
        <w:footnoteReference w:id="1"/>
      </w:r>
      <w:r w:rsidRPr="00F84CBB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430A7" w:rsidRDefault="003430A7" w:rsidP="00C3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94B" w:rsidRPr="00A7394B" w:rsidRDefault="00210A80" w:rsidP="00A0753B">
      <w:pPr>
        <w:spacing w:after="240"/>
        <w:ind w:right="-47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</w:t>
      </w:r>
      <w:r w:rsidRPr="00A7394B">
        <w:rPr>
          <w:rFonts w:ascii="Times New Roman" w:eastAsia="Times New Roman" w:hAnsi="Times New Roman" w:cs="Times New Roman"/>
          <w:sz w:val="24"/>
          <w:szCs w:val="20"/>
        </w:rPr>
        <w:t xml:space="preserve">he list of naval assets deployed under </w:t>
      </w:r>
      <w:r w:rsidR="00745AB9">
        <w:rPr>
          <w:rFonts w:ascii="Times New Roman" w:eastAsia="Times New Roman" w:hAnsi="Times New Roman" w:cs="Times New Roman"/>
          <w:sz w:val="24"/>
          <w:szCs w:val="20"/>
        </w:rPr>
        <w:t xml:space="preserve">EUVAVFOR MED operation </w:t>
      </w:r>
      <w:r w:rsidRPr="00A7394B">
        <w:rPr>
          <w:rFonts w:ascii="Times New Roman" w:eastAsia="Times New Roman" w:hAnsi="Times New Roman" w:cs="Times New Roman"/>
          <w:sz w:val="24"/>
          <w:szCs w:val="20"/>
        </w:rPr>
        <w:t>Sophia</w:t>
      </w:r>
      <w:r w:rsidRPr="00210A8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45AB9">
        <w:rPr>
          <w:rFonts w:ascii="Times New Roman" w:eastAsia="Times New Roman" w:hAnsi="Times New Roman" w:cs="Times New Roman"/>
          <w:sz w:val="24"/>
          <w:szCs w:val="20"/>
        </w:rPr>
        <w:t xml:space="preserve">(Op. Sophia) </w:t>
      </w:r>
      <w:r w:rsidRPr="00210A80">
        <w:rPr>
          <w:rFonts w:ascii="Times New Roman" w:eastAsia="Times New Roman" w:hAnsi="Times New Roman" w:cs="Times New Roman"/>
          <w:sz w:val="24"/>
          <w:szCs w:val="20"/>
        </w:rPr>
        <w:t>can be found on the</w:t>
      </w:r>
      <w:r w:rsidR="00745AB9">
        <w:rPr>
          <w:rFonts w:ascii="Times New Roman" w:eastAsia="Times New Roman" w:hAnsi="Times New Roman" w:cs="Times New Roman"/>
          <w:sz w:val="24"/>
          <w:szCs w:val="20"/>
        </w:rPr>
        <w:t xml:space="preserve"> Op. </w:t>
      </w:r>
      <w:r w:rsidR="00A7394B" w:rsidRPr="00A7394B">
        <w:rPr>
          <w:rFonts w:ascii="Times New Roman" w:eastAsia="Times New Roman" w:hAnsi="Times New Roman" w:cs="Times New Roman"/>
          <w:sz w:val="24"/>
          <w:szCs w:val="20"/>
        </w:rPr>
        <w:t>Sophia’s website</w:t>
      </w:r>
      <w:r w:rsidR="00A0753B">
        <w:rPr>
          <w:rFonts w:ascii="Times New Roman" w:eastAsia="Times New Roman" w:hAnsi="Times New Roman" w:cs="Times New Roman"/>
          <w:sz w:val="24"/>
          <w:szCs w:val="20"/>
        </w:rPr>
        <w:t>:</w:t>
      </w:r>
      <w:r w:rsidR="00A7394B" w:rsidRPr="00A7394B">
        <w:rPr>
          <w:rFonts w:ascii="Times New Roman" w:eastAsia="Times New Roman" w:hAnsi="Times New Roman" w:cs="Times New Roman"/>
          <w:sz w:val="24"/>
          <w:szCs w:val="20"/>
        </w:rPr>
        <w:t>(</w:t>
      </w:r>
      <w:hyperlink r:id="rId9" w:history="1">
        <w:r w:rsidR="00A7394B" w:rsidRPr="00A7394B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https://www.operationsophia.eu/media_category/assets/</w:t>
        </w:r>
      </w:hyperlink>
      <w:r w:rsidR="00745AB9">
        <w:rPr>
          <w:rFonts w:ascii="Times New Roman" w:eastAsia="Times New Roman" w:hAnsi="Times New Roman" w:cs="Times New Roman"/>
          <w:sz w:val="24"/>
          <w:szCs w:val="20"/>
        </w:rPr>
        <w:t>) and Op.</w:t>
      </w:r>
      <w:r w:rsidR="00A7394B" w:rsidRPr="00A7394B">
        <w:rPr>
          <w:rFonts w:ascii="Times New Roman" w:eastAsia="Times New Roman" w:hAnsi="Times New Roman" w:cs="Times New Roman"/>
          <w:sz w:val="24"/>
          <w:szCs w:val="20"/>
        </w:rPr>
        <w:t xml:space="preserve"> Sophia’s Facebook page (</w:t>
      </w:r>
      <w:hyperlink r:id="rId10" w:history="1">
        <w:r w:rsidR="00A7394B" w:rsidRPr="00A7394B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https://fr-fr.facebook.com/EunavforMed/</w:t>
        </w:r>
      </w:hyperlink>
      <w:r w:rsidR="00A7394B" w:rsidRPr="00A7394B">
        <w:rPr>
          <w:rFonts w:ascii="Times New Roman" w:eastAsia="Times New Roman" w:hAnsi="Times New Roman" w:cs="Times New Roman"/>
          <w:sz w:val="24"/>
          <w:szCs w:val="20"/>
        </w:rPr>
        <w:t xml:space="preserve">). Both resources will help </w:t>
      </w:r>
      <w:r w:rsidR="00A7394B">
        <w:rPr>
          <w:rFonts w:ascii="Times New Roman" w:eastAsia="Times New Roman" w:hAnsi="Times New Roman" w:cs="Times New Roman"/>
          <w:sz w:val="24"/>
          <w:szCs w:val="20"/>
        </w:rPr>
        <w:t>you</w:t>
      </w:r>
      <w:r w:rsidR="00A7394B" w:rsidRPr="00A7394B">
        <w:rPr>
          <w:rFonts w:ascii="Times New Roman" w:eastAsia="Times New Roman" w:hAnsi="Times New Roman" w:cs="Times New Roman"/>
          <w:sz w:val="24"/>
          <w:szCs w:val="20"/>
        </w:rPr>
        <w:t xml:space="preserve"> find the list of naval assets deployed under </w:t>
      </w:r>
      <w:r w:rsidR="00745AB9">
        <w:rPr>
          <w:rFonts w:ascii="Times New Roman" w:eastAsia="Times New Roman" w:hAnsi="Times New Roman" w:cs="Times New Roman"/>
          <w:sz w:val="24"/>
          <w:szCs w:val="20"/>
        </w:rPr>
        <w:t xml:space="preserve">Op. </w:t>
      </w:r>
      <w:r w:rsidR="00A7394B" w:rsidRPr="00A7394B">
        <w:rPr>
          <w:rFonts w:ascii="Times New Roman" w:eastAsia="Times New Roman" w:hAnsi="Times New Roman" w:cs="Times New Roman"/>
          <w:sz w:val="24"/>
          <w:szCs w:val="20"/>
        </w:rPr>
        <w:t xml:space="preserve">Sophia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and </w:t>
      </w:r>
      <w:r w:rsidR="00A7394B" w:rsidRPr="00A7394B">
        <w:rPr>
          <w:rFonts w:ascii="Times New Roman" w:eastAsia="Times New Roman" w:hAnsi="Times New Roman" w:cs="Times New Roman"/>
          <w:sz w:val="24"/>
          <w:szCs w:val="20"/>
        </w:rPr>
        <w:t>the date</w:t>
      </w:r>
      <w:r>
        <w:rPr>
          <w:rFonts w:ascii="Times New Roman" w:eastAsia="Times New Roman" w:hAnsi="Times New Roman" w:cs="Times New Roman"/>
          <w:sz w:val="24"/>
          <w:szCs w:val="20"/>
        </w:rPr>
        <w:t>s of deployment for most assets</w:t>
      </w:r>
      <w:r w:rsidR="00745AB9">
        <w:rPr>
          <w:rFonts w:ascii="Times New Roman" w:eastAsia="Times New Roman" w:hAnsi="Times New Roman" w:cs="Times New Roman"/>
          <w:sz w:val="24"/>
          <w:szCs w:val="20"/>
        </w:rPr>
        <w:t xml:space="preserve">, the latter </w:t>
      </w:r>
      <w:r w:rsidR="00B55DFB">
        <w:rPr>
          <w:rFonts w:ascii="Times New Roman" w:eastAsia="Times New Roman" w:hAnsi="Times New Roman" w:cs="Times New Roman"/>
          <w:sz w:val="24"/>
          <w:szCs w:val="20"/>
        </w:rPr>
        <w:t>providing</w:t>
      </w:r>
      <w:r w:rsidR="00745AB9">
        <w:rPr>
          <w:rFonts w:ascii="Times New Roman" w:eastAsia="Times New Roman" w:hAnsi="Times New Roman" w:cs="Times New Roman"/>
          <w:sz w:val="24"/>
          <w:szCs w:val="20"/>
        </w:rPr>
        <w:t xml:space="preserve"> also </w:t>
      </w:r>
      <w:r w:rsidR="00745AB9" w:rsidRPr="00745AB9">
        <w:rPr>
          <w:rFonts w:ascii="Times New Roman" w:eastAsia="Times New Roman" w:hAnsi="Times New Roman" w:cs="Times New Roman"/>
          <w:sz w:val="24"/>
          <w:szCs w:val="20"/>
        </w:rPr>
        <w:t>the dates of deployment for most assets</w:t>
      </w:r>
      <w:r w:rsidR="00A7394B" w:rsidRPr="00A7394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5F82" w:rsidRDefault="00A7394B" w:rsidP="00A0753B">
      <w:pPr>
        <w:spacing w:after="0"/>
        <w:ind w:right="-47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7394B">
        <w:rPr>
          <w:rFonts w:ascii="Times New Roman" w:eastAsia="Times New Roman" w:hAnsi="Times New Roman" w:cs="Times New Roman"/>
          <w:sz w:val="24"/>
          <w:szCs w:val="20"/>
        </w:rPr>
        <w:t xml:space="preserve">With regard to the number of persons rescued by </w:t>
      </w:r>
      <w:r w:rsidR="00745AB9">
        <w:rPr>
          <w:rFonts w:ascii="Times New Roman" w:eastAsia="Times New Roman" w:hAnsi="Times New Roman" w:cs="Times New Roman"/>
          <w:sz w:val="24"/>
          <w:szCs w:val="20"/>
        </w:rPr>
        <w:t>Op. Sophia (and other o</w:t>
      </w:r>
      <w:r>
        <w:rPr>
          <w:rFonts w:ascii="Times New Roman" w:eastAsia="Times New Roman" w:hAnsi="Times New Roman" w:cs="Times New Roman"/>
          <w:sz w:val="24"/>
          <w:szCs w:val="20"/>
        </w:rPr>
        <w:t>perations), I</w:t>
      </w:r>
      <w:r w:rsidRPr="00A7394B">
        <w:rPr>
          <w:rFonts w:ascii="Times New Roman" w:eastAsia="Times New Roman" w:hAnsi="Times New Roman" w:cs="Times New Roman"/>
          <w:sz w:val="24"/>
          <w:szCs w:val="20"/>
        </w:rPr>
        <w:t xml:space="preserve"> would refer </w:t>
      </w:r>
      <w:r>
        <w:rPr>
          <w:rFonts w:ascii="Times New Roman" w:eastAsia="Times New Roman" w:hAnsi="Times New Roman" w:cs="Times New Roman"/>
          <w:sz w:val="24"/>
          <w:szCs w:val="20"/>
        </w:rPr>
        <w:t>you</w:t>
      </w:r>
      <w:r w:rsidRPr="00A7394B">
        <w:rPr>
          <w:rFonts w:ascii="Times New Roman" w:eastAsia="Times New Roman" w:hAnsi="Times New Roman" w:cs="Times New Roman"/>
          <w:sz w:val="24"/>
          <w:szCs w:val="20"/>
        </w:rPr>
        <w:t xml:space="preserve"> to the following page of the Council’s website:</w:t>
      </w:r>
    </w:p>
    <w:p w:rsidR="00A7394B" w:rsidRPr="00A7394B" w:rsidRDefault="00871409" w:rsidP="00225B86">
      <w:pPr>
        <w:spacing w:after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r:id="rId11" w:history="1">
        <w:r w:rsidR="00A7394B" w:rsidRPr="00A7394B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https://www.consilium.europa.eu/en/infographics/saving-lives-sea-february-2018/</w:t>
        </w:r>
      </w:hyperlink>
    </w:p>
    <w:p w:rsidR="005D6617" w:rsidRDefault="00F84CBB" w:rsidP="00B514F4">
      <w:pPr>
        <w:spacing w:after="360"/>
        <w:ind w:left="336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1005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D6617" w:rsidRPr="00D7049B">
        <w:rPr>
          <w:rFonts w:ascii="Times New Roman" w:eastAsia="Times New Roman" w:hAnsi="Times New Roman" w:cs="Times New Roman"/>
          <w:sz w:val="24"/>
          <w:szCs w:val="24"/>
          <w:lang w:val="en-US"/>
        </w:rPr>
        <w:t>Yours sincerely</w:t>
      </w:r>
      <w:r w:rsidR="00D7049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514F4" w:rsidRPr="00B514F4" w:rsidRDefault="00B514F4" w:rsidP="00B514F4">
      <w:pPr>
        <w:spacing w:after="360"/>
        <w:ind w:left="336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B514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[</w:t>
      </w:r>
      <w:proofErr w:type="gramStart"/>
      <w:r w:rsidRPr="00B514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signed</w:t>
      </w:r>
      <w:proofErr w:type="gramEnd"/>
      <w:r w:rsidRPr="00B514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]</w:t>
      </w:r>
      <w:bookmarkStart w:id="0" w:name="_GoBack"/>
      <w:bookmarkEnd w:id="0"/>
    </w:p>
    <w:p w:rsidR="005D6617" w:rsidRPr="00D7049B" w:rsidRDefault="005D6617" w:rsidP="006A4A03">
      <w:pPr>
        <w:spacing w:after="120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Gabriele </w:t>
      </w:r>
      <w:proofErr w:type="spellStart"/>
      <w:r w:rsidRPr="00D7049B">
        <w:rPr>
          <w:rFonts w:ascii="Times New Roman" w:eastAsia="Times New Roman" w:hAnsi="Times New Roman" w:cs="Times New Roman"/>
          <w:sz w:val="24"/>
          <w:szCs w:val="24"/>
          <w:lang w:val="en-US"/>
        </w:rPr>
        <w:t>Visentin</w:t>
      </w:r>
      <w:proofErr w:type="spellEnd"/>
    </w:p>
    <w:p w:rsidR="00844A03" w:rsidRDefault="00844A03" w:rsidP="005D661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sectPr w:rsidR="00844A03" w:rsidSect="00F84CBB">
      <w:footerReference w:type="default" r:id="rId12"/>
      <w:footerReference w:type="first" r:id="rId13"/>
      <w:pgSz w:w="11906" w:h="16838"/>
      <w:pgMar w:top="1021" w:right="1586" w:bottom="960" w:left="1440" w:header="601" w:footer="4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09" w:rsidRDefault="00871409">
      <w:pPr>
        <w:spacing w:after="0" w:line="240" w:lineRule="auto"/>
      </w:pPr>
      <w:r>
        <w:separator/>
      </w:r>
    </w:p>
  </w:endnote>
  <w:endnote w:type="continuationSeparator" w:id="0">
    <w:p w:rsidR="00871409" w:rsidRDefault="0087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50" w:rsidRDefault="00432002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B514F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50" w:rsidRPr="00992299" w:rsidRDefault="00992299" w:rsidP="00992299">
    <w:pPr>
      <w:pStyle w:val="Footer"/>
      <w:jc w:val="center"/>
      <w:rPr>
        <w:rFonts w:ascii="Arial" w:eastAsia="Times New Roman" w:hAnsi="Arial" w:cs="Times New Roman"/>
        <w:sz w:val="16"/>
        <w:szCs w:val="16"/>
        <w:lang w:val="en-US"/>
      </w:rPr>
    </w:pPr>
    <w:r w:rsidRPr="00992299">
      <w:rPr>
        <w:rFonts w:ascii="Arial" w:eastAsia="Times New Roman" w:hAnsi="Arial" w:cs="Times New Roman"/>
        <w:sz w:val="16"/>
        <w:szCs w:val="16"/>
        <w:lang w:val="en-US"/>
      </w:rPr>
      <w:t xml:space="preserve">European External Action Service – B-1046 </w:t>
    </w:r>
    <w:smartTag w:uri="urn:schemas-microsoft-com:office:smarttags" w:element="City">
      <w:r w:rsidRPr="00992299">
        <w:rPr>
          <w:rFonts w:ascii="Arial" w:eastAsia="Times New Roman" w:hAnsi="Arial" w:cs="Times New Roman"/>
          <w:sz w:val="16"/>
          <w:szCs w:val="16"/>
          <w:lang w:val="en-US"/>
        </w:rPr>
        <w:t>Brussels</w:t>
      </w:r>
    </w:smartTag>
    <w:r w:rsidRPr="00992299">
      <w:rPr>
        <w:rFonts w:ascii="Arial" w:eastAsia="Times New Roman" w:hAnsi="Arial" w:cs="Times New Roman"/>
        <w:sz w:val="16"/>
        <w:szCs w:val="16"/>
        <w:lang w:val="en-US"/>
      </w:rPr>
      <w:t xml:space="preserve"> – </w:t>
    </w:r>
    <w:smartTag w:uri="urn:schemas-microsoft-com:office:smarttags" w:element="place">
      <w:smartTag w:uri="urn:schemas-microsoft-com:office:smarttags" w:element="country-region">
        <w:r w:rsidRPr="00992299">
          <w:rPr>
            <w:rFonts w:ascii="Arial" w:eastAsia="Times New Roman" w:hAnsi="Arial" w:cs="Times New Roman"/>
            <w:sz w:val="16"/>
            <w:szCs w:val="16"/>
            <w:lang w:val="en-US"/>
          </w:rPr>
          <w:t>Belgium</w:t>
        </w:r>
      </w:smartTag>
    </w:smartTag>
    <w:r w:rsidRPr="00992299">
      <w:rPr>
        <w:rFonts w:ascii="Arial" w:eastAsia="Times New Roman" w:hAnsi="Arial" w:cs="Times New Roman"/>
        <w:sz w:val="16"/>
        <w:szCs w:val="16"/>
        <w:lang w:val="en-US"/>
      </w:rPr>
      <w:t xml:space="preserve"> – Tel.: (32-2) 584 11 11</w:t>
    </w:r>
    <w:r w:rsidRPr="00992299">
      <w:rPr>
        <w:rFonts w:ascii="Arial" w:eastAsia="Times New Roman" w:hAnsi="Arial" w:cs="Times New Roman"/>
        <w:sz w:val="16"/>
        <w:szCs w:val="16"/>
        <w:lang w:val="en-US"/>
      </w:rPr>
      <w:br/>
    </w:r>
    <w:r>
      <w:rPr>
        <w:rFonts w:ascii="Arial" w:eastAsia="Times New Roman" w:hAnsi="Arial" w:cs="Times New Roman"/>
        <w:sz w:val="16"/>
        <w:szCs w:val="16"/>
        <w:lang w:val="en-US"/>
      </w:rPr>
      <w:t>Office: EEAS PARC 06/560</w:t>
    </w:r>
    <w:r w:rsidRPr="00992299">
      <w:rPr>
        <w:rFonts w:ascii="Arial" w:eastAsia="Times New Roman" w:hAnsi="Arial" w:cs="Times New Roman"/>
        <w:sz w:val="16"/>
        <w:szCs w:val="16"/>
        <w:lang w:val="en-US"/>
      </w:rPr>
      <w:t xml:space="preserve"> – e-mail: </w:t>
    </w:r>
    <w:hyperlink r:id="rId1" w:history="1">
      <w:r w:rsidRPr="00992299">
        <w:rPr>
          <w:rStyle w:val="Hyperlink"/>
          <w:rFonts w:ascii="Arial" w:eastAsia="Times New Roman" w:hAnsi="Arial" w:cs="Times New Roman"/>
          <w:color w:val="auto"/>
          <w:sz w:val="16"/>
          <w:szCs w:val="16"/>
          <w:u w:val="none"/>
          <w:lang w:val="en-US"/>
        </w:rPr>
        <w:t>access-to-documents@eeas.europa.eu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09" w:rsidRDefault="00871409">
      <w:pPr>
        <w:spacing w:after="0" w:line="240" w:lineRule="auto"/>
      </w:pPr>
      <w:r>
        <w:separator/>
      </w:r>
    </w:p>
  </w:footnote>
  <w:footnote w:type="continuationSeparator" w:id="0">
    <w:p w:rsidR="00871409" w:rsidRDefault="00871409">
      <w:pPr>
        <w:spacing w:after="0" w:line="240" w:lineRule="auto"/>
      </w:pPr>
      <w:r>
        <w:continuationSeparator/>
      </w:r>
    </w:p>
  </w:footnote>
  <w:footnote w:id="1">
    <w:p w:rsidR="00F84CBB" w:rsidRDefault="00F84CBB" w:rsidP="00F84CB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Regulation (EC) No 1049/2001 of the European Parliament and of the Council regarding public access to European Parliament, Council and Commission documents (hereafter the "Regulation").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60E1"/>
    <w:multiLevelType w:val="hybridMultilevel"/>
    <w:tmpl w:val="7B34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283F"/>
    <w:multiLevelType w:val="hybridMultilevel"/>
    <w:tmpl w:val="630A1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C1D48"/>
    <w:multiLevelType w:val="hybridMultilevel"/>
    <w:tmpl w:val="9086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3AFF"/>
    <w:multiLevelType w:val="hybridMultilevel"/>
    <w:tmpl w:val="B34E5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65D2C"/>
    <w:multiLevelType w:val="hybridMultilevel"/>
    <w:tmpl w:val="5C3E3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B0D59"/>
    <w:multiLevelType w:val="hybridMultilevel"/>
    <w:tmpl w:val="9086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D6617"/>
    <w:rsid w:val="00037D21"/>
    <w:rsid w:val="0004290F"/>
    <w:rsid w:val="000506AF"/>
    <w:rsid w:val="000573C7"/>
    <w:rsid w:val="0006095F"/>
    <w:rsid w:val="000814BE"/>
    <w:rsid w:val="000A0986"/>
    <w:rsid w:val="000A2C3C"/>
    <w:rsid w:val="000B1854"/>
    <w:rsid w:val="000B3C26"/>
    <w:rsid w:val="000D33F6"/>
    <w:rsid w:val="000D74E0"/>
    <w:rsid w:val="0010051E"/>
    <w:rsid w:val="00132FF9"/>
    <w:rsid w:val="0016608D"/>
    <w:rsid w:val="00176DE9"/>
    <w:rsid w:val="001F4580"/>
    <w:rsid w:val="00210A80"/>
    <w:rsid w:val="00213AD1"/>
    <w:rsid w:val="00225B86"/>
    <w:rsid w:val="00234E8F"/>
    <w:rsid w:val="002369BB"/>
    <w:rsid w:val="00240235"/>
    <w:rsid w:val="00246F31"/>
    <w:rsid w:val="002A78A9"/>
    <w:rsid w:val="002D6936"/>
    <w:rsid w:val="002E4E25"/>
    <w:rsid w:val="0030721F"/>
    <w:rsid w:val="00327409"/>
    <w:rsid w:val="00343010"/>
    <w:rsid w:val="003430A7"/>
    <w:rsid w:val="00371F3D"/>
    <w:rsid w:val="003A14F2"/>
    <w:rsid w:val="003A61EA"/>
    <w:rsid w:val="003C1A5B"/>
    <w:rsid w:val="003C5FF3"/>
    <w:rsid w:val="003C644D"/>
    <w:rsid w:val="003F173F"/>
    <w:rsid w:val="00432002"/>
    <w:rsid w:val="00451132"/>
    <w:rsid w:val="00462174"/>
    <w:rsid w:val="00472E0E"/>
    <w:rsid w:val="004C5350"/>
    <w:rsid w:val="004D1EF1"/>
    <w:rsid w:val="004E0A1E"/>
    <w:rsid w:val="004F7D7D"/>
    <w:rsid w:val="0052663D"/>
    <w:rsid w:val="00536EB8"/>
    <w:rsid w:val="00566EEB"/>
    <w:rsid w:val="00581316"/>
    <w:rsid w:val="005A229D"/>
    <w:rsid w:val="005A74D5"/>
    <w:rsid w:val="005C608E"/>
    <w:rsid w:val="005D6617"/>
    <w:rsid w:val="005E2C0A"/>
    <w:rsid w:val="005F364C"/>
    <w:rsid w:val="00626067"/>
    <w:rsid w:val="0064335E"/>
    <w:rsid w:val="006547DD"/>
    <w:rsid w:val="00673516"/>
    <w:rsid w:val="006A47F8"/>
    <w:rsid w:val="006A4A03"/>
    <w:rsid w:val="006B1587"/>
    <w:rsid w:val="006B3C17"/>
    <w:rsid w:val="006D3D06"/>
    <w:rsid w:val="006F4D61"/>
    <w:rsid w:val="00704336"/>
    <w:rsid w:val="00742545"/>
    <w:rsid w:val="00745AB9"/>
    <w:rsid w:val="00747394"/>
    <w:rsid w:val="00775F82"/>
    <w:rsid w:val="00786C79"/>
    <w:rsid w:val="007B1F22"/>
    <w:rsid w:val="007C3855"/>
    <w:rsid w:val="007C7113"/>
    <w:rsid w:val="007D7EBC"/>
    <w:rsid w:val="007E6F3A"/>
    <w:rsid w:val="00814AF6"/>
    <w:rsid w:val="00836F97"/>
    <w:rsid w:val="00844A03"/>
    <w:rsid w:val="00856678"/>
    <w:rsid w:val="00871409"/>
    <w:rsid w:val="00884180"/>
    <w:rsid w:val="008B430F"/>
    <w:rsid w:val="00900399"/>
    <w:rsid w:val="00905E6F"/>
    <w:rsid w:val="00992299"/>
    <w:rsid w:val="009A1630"/>
    <w:rsid w:val="009E5E87"/>
    <w:rsid w:val="009E626E"/>
    <w:rsid w:val="00A00712"/>
    <w:rsid w:val="00A0753B"/>
    <w:rsid w:val="00A37DFD"/>
    <w:rsid w:val="00A40BE0"/>
    <w:rsid w:val="00A51F43"/>
    <w:rsid w:val="00A55208"/>
    <w:rsid w:val="00A7394B"/>
    <w:rsid w:val="00A878F7"/>
    <w:rsid w:val="00AC54AC"/>
    <w:rsid w:val="00AD1467"/>
    <w:rsid w:val="00AD24EF"/>
    <w:rsid w:val="00B005DE"/>
    <w:rsid w:val="00B00E20"/>
    <w:rsid w:val="00B514F4"/>
    <w:rsid w:val="00B55DFB"/>
    <w:rsid w:val="00B70E91"/>
    <w:rsid w:val="00B71F98"/>
    <w:rsid w:val="00B77311"/>
    <w:rsid w:val="00BA4166"/>
    <w:rsid w:val="00BB4B63"/>
    <w:rsid w:val="00BC295D"/>
    <w:rsid w:val="00BC6E80"/>
    <w:rsid w:val="00C03DDF"/>
    <w:rsid w:val="00C11BD2"/>
    <w:rsid w:val="00C23E80"/>
    <w:rsid w:val="00C343B4"/>
    <w:rsid w:val="00C3521E"/>
    <w:rsid w:val="00C43819"/>
    <w:rsid w:val="00C62CEE"/>
    <w:rsid w:val="00C76463"/>
    <w:rsid w:val="00C80ADB"/>
    <w:rsid w:val="00C845FC"/>
    <w:rsid w:val="00CC554C"/>
    <w:rsid w:val="00CC568E"/>
    <w:rsid w:val="00CF2619"/>
    <w:rsid w:val="00D404AF"/>
    <w:rsid w:val="00D432CD"/>
    <w:rsid w:val="00D514E9"/>
    <w:rsid w:val="00D623FB"/>
    <w:rsid w:val="00D67ED3"/>
    <w:rsid w:val="00D7049B"/>
    <w:rsid w:val="00DA025E"/>
    <w:rsid w:val="00DD052E"/>
    <w:rsid w:val="00DD177C"/>
    <w:rsid w:val="00DE3DD6"/>
    <w:rsid w:val="00E14536"/>
    <w:rsid w:val="00E208EE"/>
    <w:rsid w:val="00EB52EF"/>
    <w:rsid w:val="00EB6538"/>
    <w:rsid w:val="00EC152C"/>
    <w:rsid w:val="00EC7783"/>
    <w:rsid w:val="00ED175F"/>
    <w:rsid w:val="00F1027C"/>
    <w:rsid w:val="00F14E18"/>
    <w:rsid w:val="00F21660"/>
    <w:rsid w:val="00F56EDD"/>
    <w:rsid w:val="00F77E82"/>
    <w:rsid w:val="00F84CBB"/>
    <w:rsid w:val="00FB4144"/>
    <w:rsid w:val="00FD4F57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6DE370"/>
  <w15:docId w15:val="{BE11BC8C-4564-41E2-BB7D-5D55167C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17"/>
  </w:style>
  <w:style w:type="paragraph" w:styleId="BalloonText">
    <w:name w:val="Balloon Text"/>
    <w:basedOn w:val="Normal"/>
    <w:link w:val="BalloonTextChar"/>
    <w:uiPriority w:val="99"/>
    <w:semiHidden/>
    <w:unhideWhenUsed/>
    <w:rsid w:val="005D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1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6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4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D5"/>
  </w:style>
  <w:style w:type="paragraph" w:styleId="NormalWeb">
    <w:name w:val="Normal (Web)"/>
    <w:basedOn w:val="Normal"/>
    <w:uiPriority w:val="99"/>
    <w:semiHidden/>
    <w:unhideWhenUsed/>
    <w:rsid w:val="00ED175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E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39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9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0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2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2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0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4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ilium.europa.eu/en/infographics/saving-lives-sea-february-201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-fr.facebook.com/EunavforM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rationsophia.eu/media_category/assets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-to-documents@eea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D366-062E-4F27-A48D-5E78ABF1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AIKATERINIS Petros (EEAS-EXT)</dc:creator>
  <cp:lastModifiedBy>DOBRUCKI Andrzej (EEAS)</cp:lastModifiedBy>
  <cp:revision>3</cp:revision>
  <cp:lastPrinted>2020-09-10T14:37:00Z</cp:lastPrinted>
  <dcterms:created xsi:type="dcterms:W3CDTF">2020-09-11T07:58:00Z</dcterms:created>
  <dcterms:modified xsi:type="dcterms:W3CDTF">2020-09-11T15:37:00Z</dcterms:modified>
</cp:coreProperties>
</file>