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2AFC" w14:textId="77777777" w:rsidR="00647D3A" w:rsidRPr="004F6199" w:rsidRDefault="00647D3A" w:rsidP="00647D3A">
      <w:pPr>
        <w:spacing w:line="360" w:lineRule="auto"/>
        <w:jc w:val="center"/>
        <w:rPr>
          <w:rFonts w:eastAsia="Calibri"/>
          <w:szCs w:val="22"/>
        </w:rPr>
      </w:pPr>
      <w:bookmarkStart w:id="0" w:name="_GoBack"/>
      <w:bookmarkEnd w:id="0"/>
      <w:proofErr w:type="spellStart"/>
      <w:r w:rsidRPr="004F6199">
        <w:rPr>
          <w:rFonts w:eastAsia="Calibri"/>
          <w:szCs w:val="22"/>
        </w:rPr>
        <w:t>Trilogue</w:t>
      </w:r>
      <w:proofErr w:type="spellEnd"/>
      <w:r w:rsidRPr="004F6199">
        <w:rPr>
          <w:rFonts w:eastAsia="Calibri"/>
          <w:szCs w:val="22"/>
        </w:rPr>
        <w:t xml:space="preserve"> on 10 November 2020</w:t>
      </w:r>
    </w:p>
    <w:p w14:paraId="10EDEA7A" w14:textId="5B1FF32F" w:rsidR="00647D3A" w:rsidRPr="004F6199" w:rsidRDefault="00647D3A" w:rsidP="00647D3A">
      <w:pPr>
        <w:spacing w:line="360" w:lineRule="auto"/>
        <w:jc w:val="center"/>
        <w:rPr>
          <w:rFonts w:eastAsia="Calibri"/>
          <w:szCs w:val="22"/>
        </w:rPr>
      </w:pPr>
      <w:r w:rsidRPr="004F6199">
        <w:rPr>
          <w:rFonts w:eastAsia="Calibri"/>
          <w:szCs w:val="22"/>
        </w:rPr>
        <w:t xml:space="preserve">Room </w:t>
      </w:r>
      <w:r w:rsidR="004F6199" w:rsidRPr="004F6199">
        <w:t>SPAAK 1A2</w:t>
      </w:r>
    </w:p>
    <w:p w14:paraId="12491780" w14:textId="77777777" w:rsidR="00647D3A" w:rsidRPr="00647D3A" w:rsidRDefault="00647D3A" w:rsidP="00647D3A">
      <w:pPr>
        <w:spacing w:line="360" w:lineRule="auto"/>
        <w:jc w:val="center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12.30-14</w:t>
      </w:r>
      <w:r w:rsidRPr="00647D3A">
        <w:rPr>
          <w:rFonts w:eastAsia="Calibri" w:cs="Arial"/>
          <w:szCs w:val="22"/>
        </w:rPr>
        <w:t>.30</w:t>
      </w:r>
    </w:p>
    <w:p w14:paraId="1917406D" w14:textId="77777777" w:rsidR="00647D3A" w:rsidRPr="00647D3A" w:rsidRDefault="00647D3A" w:rsidP="00647D3A">
      <w:pPr>
        <w:spacing w:line="360" w:lineRule="auto"/>
        <w:jc w:val="center"/>
        <w:rPr>
          <w:rFonts w:eastAsia="Calibri" w:cs="Arial"/>
          <w:szCs w:val="22"/>
        </w:rPr>
      </w:pPr>
    </w:p>
    <w:p w14:paraId="2C0F4E8B" w14:textId="77777777" w:rsidR="00647D3A" w:rsidRPr="00647D3A" w:rsidRDefault="00647D3A" w:rsidP="00647D3A">
      <w:pPr>
        <w:spacing w:line="360" w:lineRule="auto"/>
        <w:jc w:val="center"/>
        <w:rPr>
          <w:rFonts w:eastAsia="Calibri" w:cs="Arial"/>
          <w:szCs w:val="22"/>
        </w:rPr>
      </w:pPr>
      <w:r w:rsidRPr="00647D3A">
        <w:rPr>
          <w:rFonts w:eastAsia="Calibri" w:cs="Arial"/>
          <w:szCs w:val="22"/>
        </w:rPr>
        <w:t>Draft agenda</w:t>
      </w:r>
    </w:p>
    <w:p w14:paraId="62450622" w14:textId="77777777" w:rsidR="00647D3A" w:rsidRPr="00647D3A" w:rsidRDefault="00647D3A" w:rsidP="00647D3A">
      <w:pPr>
        <w:spacing w:line="360" w:lineRule="auto"/>
        <w:jc w:val="center"/>
        <w:rPr>
          <w:rFonts w:eastAsia="Calibri" w:cs="Arial"/>
          <w:szCs w:val="22"/>
        </w:rPr>
      </w:pPr>
    </w:p>
    <w:p w14:paraId="0D0925D0" w14:textId="77777777" w:rsidR="00647D3A" w:rsidRPr="00822D01" w:rsidRDefault="00647D3A" w:rsidP="00647D3A">
      <w:pPr>
        <w:numPr>
          <w:ilvl w:val="0"/>
          <w:numId w:val="1"/>
        </w:numPr>
        <w:spacing w:line="360" w:lineRule="auto"/>
        <w:contextualSpacing/>
        <w:jc w:val="left"/>
        <w:rPr>
          <w:rFonts w:eastAsia="Calibri" w:cs="Arial"/>
          <w:b/>
          <w:szCs w:val="22"/>
        </w:rPr>
      </w:pPr>
      <w:r w:rsidRPr="00822D01">
        <w:rPr>
          <w:rFonts w:eastAsia="Calibri" w:cs="Arial"/>
          <w:b/>
          <w:szCs w:val="22"/>
        </w:rPr>
        <w:t>Welcome and introduction</w:t>
      </w:r>
    </w:p>
    <w:p w14:paraId="32FC5FC6" w14:textId="77777777" w:rsidR="00647D3A" w:rsidRPr="00647D3A" w:rsidRDefault="00647D3A" w:rsidP="00647D3A">
      <w:pPr>
        <w:spacing w:line="360" w:lineRule="auto"/>
        <w:ind w:left="720"/>
        <w:contextualSpacing/>
        <w:jc w:val="left"/>
        <w:rPr>
          <w:rFonts w:eastAsia="Calibri" w:cs="Arial"/>
          <w:szCs w:val="22"/>
        </w:rPr>
      </w:pPr>
    </w:p>
    <w:p w14:paraId="16F30626" w14:textId="4D3C400B" w:rsidR="00647D3A" w:rsidRPr="00822D01" w:rsidRDefault="00647D3A" w:rsidP="00647D3A">
      <w:pPr>
        <w:numPr>
          <w:ilvl w:val="0"/>
          <w:numId w:val="1"/>
        </w:numPr>
        <w:spacing w:line="360" w:lineRule="auto"/>
        <w:contextualSpacing/>
        <w:jc w:val="left"/>
        <w:rPr>
          <w:rFonts w:eastAsia="Calibri" w:cs="Arial"/>
          <w:b/>
          <w:szCs w:val="22"/>
        </w:rPr>
      </w:pPr>
      <w:r w:rsidRPr="00822D01">
        <w:rPr>
          <w:rFonts w:eastAsia="Calibri" w:cs="Arial"/>
          <w:b/>
          <w:szCs w:val="22"/>
        </w:rPr>
        <w:t>List of provisionally agreed amendments/changes</w:t>
      </w:r>
    </w:p>
    <w:p w14:paraId="5822C8E4" w14:textId="77777777" w:rsidR="00822D01" w:rsidRDefault="00D77003" w:rsidP="00822D01">
      <w:pPr>
        <w:pStyle w:val="ListParagraph"/>
        <w:numPr>
          <w:ilvl w:val="0"/>
          <w:numId w:val="8"/>
        </w:numPr>
        <w:spacing w:line="360" w:lineRule="auto"/>
        <w:jc w:val="left"/>
        <w:rPr>
          <w:rFonts w:eastAsia="Calibri" w:cs="Arial"/>
          <w:szCs w:val="22"/>
        </w:rPr>
      </w:pPr>
      <w:r w:rsidRPr="00822D01">
        <w:rPr>
          <w:rFonts w:eastAsia="Calibri" w:cs="Arial"/>
          <w:szCs w:val="22"/>
        </w:rPr>
        <w:t>Title (deletion of access to vehicle repair and maintenance information)</w:t>
      </w:r>
    </w:p>
    <w:p w14:paraId="10B5E8C2" w14:textId="77777777" w:rsidR="00822D01" w:rsidRDefault="00647D3A" w:rsidP="00822D01">
      <w:pPr>
        <w:pStyle w:val="ListParagraph"/>
        <w:numPr>
          <w:ilvl w:val="0"/>
          <w:numId w:val="8"/>
        </w:numPr>
        <w:spacing w:line="360" w:lineRule="auto"/>
        <w:jc w:val="left"/>
        <w:rPr>
          <w:rFonts w:eastAsia="Calibri" w:cs="Arial"/>
          <w:szCs w:val="22"/>
        </w:rPr>
      </w:pPr>
      <w:r w:rsidRPr="00822D01">
        <w:rPr>
          <w:rFonts w:eastAsia="Calibri" w:cs="Arial"/>
          <w:szCs w:val="22"/>
        </w:rPr>
        <w:t xml:space="preserve">Recitals </w:t>
      </w:r>
      <w:r w:rsidR="00D77003" w:rsidRPr="00822D01">
        <w:rPr>
          <w:rFonts w:eastAsia="Calibri" w:cs="Arial"/>
          <w:szCs w:val="22"/>
        </w:rPr>
        <w:t xml:space="preserve">1 (row 8), </w:t>
      </w:r>
      <w:r w:rsidRPr="00822D01">
        <w:rPr>
          <w:rFonts w:eastAsia="Calibri" w:cs="Arial"/>
          <w:szCs w:val="22"/>
        </w:rPr>
        <w:t xml:space="preserve">2 (row 9), 3 (row 10), 3b (row 12), 5 (row 15), 6 (row 16), </w:t>
      </w:r>
    </w:p>
    <w:p w14:paraId="2C957A6C" w14:textId="77777777" w:rsidR="00822D01" w:rsidRDefault="00D77003" w:rsidP="00822D01">
      <w:pPr>
        <w:pStyle w:val="ListParagraph"/>
        <w:numPr>
          <w:ilvl w:val="0"/>
          <w:numId w:val="8"/>
        </w:numPr>
        <w:spacing w:line="360" w:lineRule="auto"/>
        <w:jc w:val="left"/>
        <w:rPr>
          <w:rFonts w:eastAsia="Calibri" w:cs="Arial"/>
          <w:szCs w:val="22"/>
        </w:rPr>
      </w:pPr>
      <w:r w:rsidRPr="00822D01">
        <w:rPr>
          <w:rFonts w:eastAsia="Calibri" w:cs="Arial"/>
          <w:szCs w:val="22"/>
        </w:rPr>
        <w:t>Article 2 (2) of Regulation 715/200 (row 34)</w:t>
      </w:r>
    </w:p>
    <w:p w14:paraId="68AAD7D5" w14:textId="77777777" w:rsidR="00822D01" w:rsidRDefault="00647D3A" w:rsidP="00822D01">
      <w:pPr>
        <w:pStyle w:val="ListParagraph"/>
        <w:numPr>
          <w:ilvl w:val="0"/>
          <w:numId w:val="8"/>
        </w:numPr>
        <w:spacing w:line="360" w:lineRule="auto"/>
        <w:jc w:val="left"/>
        <w:rPr>
          <w:rFonts w:eastAsia="Calibri" w:cs="Arial"/>
          <w:szCs w:val="22"/>
        </w:rPr>
      </w:pPr>
      <w:r w:rsidRPr="00822D01">
        <w:rPr>
          <w:rFonts w:eastAsia="Calibri" w:cs="Arial"/>
          <w:szCs w:val="22"/>
        </w:rPr>
        <w:t xml:space="preserve">Article </w:t>
      </w:r>
      <w:r w:rsidR="00405FB7" w:rsidRPr="00822D01">
        <w:rPr>
          <w:rFonts w:eastAsia="Calibri" w:cs="Arial"/>
          <w:szCs w:val="22"/>
        </w:rPr>
        <w:t>4 (</w:t>
      </w:r>
      <w:r w:rsidRPr="00822D01">
        <w:rPr>
          <w:rFonts w:eastAsia="Calibri" w:cs="Arial"/>
          <w:szCs w:val="22"/>
        </w:rPr>
        <w:t>1</w:t>
      </w:r>
      <w:r w:rsidR="00405FB7" w:rsidRPr="00822D01">
        <w:rPr>
          <w:rFonts w:eastAsia="Calibri" w:cs="Arial"/>
          <w:szCs w:val="22"/>
        </w:rPr>
        <w:t>) of Regulation 715/2007 (row 45)</w:t>
      </w:r>
      <w:r w:rsidRPr="00822D01">
        <w:rPr>
          <w:rFonts w:eastAsia="Calibri" w:cs="Arial"/>
          <w:szCs w:val="22"/>
        </w:rPr>
        <w:t xml:space="preserve">; </w:t>
      </w:r>
    </w:p>
    <w:p w14:paraId="14C72D6D" w14:textId="77777777" w:rsidR="00822D01" w:rsidRDefault="00647D3A" w:rsidP="00822D01">
      <w:pPr>
        <w:pStyle w:val="ListParagraph"/>
        <w:numPr>
          <w:ilvl w:val="0"/>
          <w:numId w:val="8"/>
        </w:numPr>
        <w:spacing w:line="360" w:lineRule="auto"/>
        <w:jc w:val="left"/>
        <w:rPr>
          <w:rFonts w:eastAsia="Calibri" w:cs="Arial"/>
          <w:szCs w:val="22"/>
        </w:rPr>
      </w:pPr>
      <w:r w:rsidRPr="00822D01">
        <w:rPr>
          <w:rFonts w:eastAsia="Calibri" w:cs="Arial"/>
          <w:szCs w:val="22"/>
        </w:rPr>
        <w:t xml:space="preserve">Article </w:t>
      </w:r>
      <w:r w:rsidR="00952E18" w:rsidRPr="00822D01">
        <w:rPr>
          <w:rFonts w:eastAsia="Calibri" w:cs="Arial"/>
          <w:szCs w:val="22"/>
        </w:rPr>
        <w:t>6, 7, 8</w:t>
      </w:r>
      <w:r w:rsidR="00506130" w:rsidRPr="00822D01">
        <w:rPr>
          <w:rFonts w:eastAsia="Calibri" w:cs="Arial"/>
          <w:szCs w:val="22"/>
        </w:rPr>
        <w:t xml:space="preserve"> of Regulation 715/2007</w:t>
      </w:r>
      <w:r w:rsidR="00952E18" w:rsidRPr="00822D01">
        <w:rPr>
          <w:rFonts w:eastAsia="Calibri" w:cs="Arial"/>
          <w:szCs w:val="22"/>
        </w:rPr>
        <w:t>/chapter III</w:t>
      </w:r>
      <w:r w:rsidR="00506130" w:rsidRPr="00822D01">
        <w:rPr>
          <w:rFonts w:eastAsia="Calibri" w:cs="Arial"/>
          <w:szCs w:val="22"/>
        </w:rPr>
        <w:t xml:space="preserve"> on repair and maintenance information</w:t>
      </w:r>
      <w:r w:rsidR="00952E18" w:rsidRPr="00822D01">
        <w:rPr>
          <w:rFonts w:eastAsia="Calibri" w:cs="Arial"/>
          <w:szCs w:val="22"/>
        </w:rPr>
        <w:t xml:space="preserve"> (row 53, 54, 55 and 56)</w:t>
      </w:r>
    </w:p>
    <w:p w14:paraId="1731AE15" w14:textId="38266512" w:rsidR="004C128B" w:rsidRPr="00822D01" w:rsidRDefault="004C128B" w:rsidP="00822D01">
      <w:pPr>
        <w:pStyle w:val="ListParagraph"/>
        <w:numPr>
          <w:ilvl w:val="0"/>
          <w:numId w:val="8"/>
        </w:numPr>
        <w:spacing w:line="360" w:lineRule="auto"/>
        <w:jc w:val="left"/>
        <w:rPr>
          <w:rFonts w:eastAsia="Calibri" w:cs="Arial"/>
          <w:szCs w:val="22"/>
        </w:rPr>
      </w:pPr>
      <w:r w:rsidRPr="00822D01">
        <w:rPr>
          <w:rFonts w:eastAsia="Calibri" w:cs="Arial"/>
          <w:szCs w:val="22"/>
        </w:rPr>
        <w:t>Article 14 (2) of Regulation 715/2007</w:t>
      </w:r>
      <w:r w:rsidR="00B2355C" w:rsidRPr="00822D01">
        <w:rPr>
          <w:rFonts w:eastAsia="Calibri" w:cs="Arial"/>
          <w:szCs w:val="22"/>
        </w:rPr>
        <w:t xml:space="preserve"> (row </w:t>
      </w:r>
      <w:r w:rsidRPr="00822D01">
        <w:rPr>
          <w:rFonts w:eastAsia="Calibri" w:cs="Arial"/>
          <w:szCs w:val="22"/>
        </w:rPr>
        <w:t>71</w:t>
      </w:r>
      <w:r w:rsidR="00B2355C" w:rsidRPr="00822D01">
        <w:rPr>
          <w:rFonts w:eastAsia="Calibri" w:cs="Arial"/>
          <w:szCs w:val="22"/>
        </w:rPr>
        <w:t>)</w:t>
      </w:r>
    </w:p>
    <w:p w14:paraId="4E66BCD8" w14:textId="77777777" w:rsidR="00CE66B6" w:rsidRDefault="00CE66B6" w:rsidP="00647D3A">
      <w:pPr>
        <w:spacing w:line="360" w:lineRule="auto"/>
        <w:ind w:left="720"/>
        <w:contextualSpacing/>
        <w:jc w:val="left"/>
        <w:rPr>
          <w:rFonts w:eastAsia="Calibri" w:cs="Arial"/>
          <w:szCs w:val="22"/>
        </w:rPr>
      </w:pPr>
    </w:p>
    <w:p w14:paraId="7F131564" w14:textId="77777777" w:rsidR="00647D3A" w:rsidRPr="00B2355C" w:rsidRDefault="00647D3A" w:rsidP="00647D3A">
      <w:pPr>
        <w:spacing w:line="360" w:lineRule="auto"/>
        <w:ind w:left="720"/>
        <w:contextualSpacing/>
        <w:jc w:val="left"/>
        <w:rPr>
          <w:rFonts w:eastAsia="Calibri" w:cs="Arial"/>
          <w:b/>
          <w:i/>
          <w:szCs w:val="22"/>
        </w:rPr>
      </w:pPr>
      <w:r w:rsidRPr="00B2355C">
        <w:rPr>
          <w:rFonts w:eastAsia="Calibri" w:cs="Arial"/>
          <w:szCs w:val="22"/>
        </w:rPr>
        <w:t xml:space="preserve">- </w:t>
      </w:r>
      <w:r w:rsidRPr="00B2355C">
        <w:rPr>
          <w:rFonts w:eastAsia="Calibri" w:cs="Arial"/>
          <w:b/>
          <w:i/>
          <w:szCs w:val="22"/>
        </w:rPr>
        <w:t>Political endorsement</w:t>
      </w:r>
    </w:p>
    <w:p w14:paraId="1A28A03B" w14:textId="77777777" w:rsidR="00647D3A" w:rsidRPr="00B2355C" w:rsidRDefault="00647D3A" w:rsidP="00647D3A">
      <w:pPr>
        <w:spacing w:line="360" w:lineRule="auto"/>
        <w:ind w:left="720"/>
        <w:contextualSpacing/>
        <w:jc w:val="left"/>
        <w:rPr>
          <w:rFonts w:eastAsia="Calibri" w:cs="Arial"/>
          <w:szCs w:val="22"/>
        </w:rPr>
      </w:pPr>
      <w:r w:rsidRPr="00B2355C">
        <w:rPr>
          <w:rFonts w:eastAsia="Calibri" w:cs="Arial"/>
          <w:szCs w:val="22"/>
        </w:rPr>
        <w:t xml:space="preserve"> </w:t>
      </w:r>
    </w:p>
    <w:p w14:paraId="2397B780" w14:textId="41E22DEB" w:rsidR="00647D3A" w:rsidRPr="00822D01" w:rsidRDefault="00822D01" w:rsidP="00647D3A">
      <w:pPr>
        <w:numPr>
          <w:ilvl w:val="0"/>
          <w:numId w:val="1"/>
        </w:numPr>
        <w:spacing w:line="360" w:lineRule="auto"/>
        <w:contextualSpacing/>
        <w:jc w:val="left"/>
        <w:rPr>
          <w:rFonts w:eastAsia="Calibri" w:cs="Arial"/>
          <w:b/>
          <w:szCs w:val="22"/>
        </w:rPr>
      </w:pPr>
      <w:r w:rsidRPr="00822D01">
        <w:rPr>
          <w:rFonts w:eastAsia="Calibri" w:cs="Arial"/>
          <w:b/>
          <w:szCs w:val="22"/>
        </w:rPr>
        <w:t>Discussion on amendments</w:t>
      </w:r>
      <w:r w:rsidR="00587CD9">
        <w:rPr>
          <w:rFonts w:eastAsia="Calibri" w:cs="Arial"/>
          <w:b/>
          <w:szCs w:val="22"/>
        </w:rPr>
        <w:t xml:space="preserve"> with a view to agreement during second </w:t>
      </w:r>
      <w:proofErr w:type="spellStart"/>
      <w:r w:rsidR="00587CD9">
        <w:rPr>
          <w:rFonts w:eastAsia="Calibri" w:cs="Arial"/>
          <w:b/>
          <w:szCs w:val="22"/>
        </w:rPr>
        <w:t>trilogue</w:t>
      </w:r>
      <w:proofErr w:type="spellEnd"/>
    </w:p>
    <w:p w14:paraId="29579406" w14:textId="77777777" w:rsidR="00186AB5" w:rsidRDefault="00186AB5" w:rsidP="00822D01">
      <w:pPr>
        <w:spacing w:line="360" w:lineRule="auto"/>
        <w:ind w:left="720"/>
        <w:contextualSpacing/>
        <w:jc w:val="left"/>
        <w:rPr>
          <w:rFonts w:eastAsia="Calibri" w:cs="Arial"/>
          <w:szCs w:val="22"/>
          <w:u w:val="single"/>
        </w:rPr>
      </w:pPr>
    </w:p>
    <w:p w14:paraId="4066DE28" w14:textId="35479737" w:rsidR="00822D01" w:rsidRPr="00822D01" w:rsidRDefault="00822D01" w:rsidP="00822D01">
      <w:pPr>
        <w:spacing w:line="360" w:lineRule="auto"/>
        <w:ind w:left="720"/>
        <w:contextualSpacing/>
        <w:jc w:val="left"/>
        <w:rPr>
          <w:rFonts w:eastAsia="Calibri" w:cs="Arial"/>
          <w:szCs w:val="22"/>
          <w:u w:val="single"/>
        </w:rPr>
      </w:pPr>
      <w:r w:rsidRPr="00822D01">
        <w:rPr>
          <w:rFonts w:eastAsia="Calibri" w:cs="Arial"/>
          <w:szCs w:val="22"/>
          <w:u w:val="single"/>
        </w:rPr>
        <w:t xml:space="preserve">A. List of amendments/changes on which agreement </w:t>
      </w:r>
      <w:proofErr w:type="gramStart"/>
      <w:r w:rsidRPr="00822D01">
        <w:rPr>
          <w:rFonts w:eastAsia="Calibri" w:cs="Arial"/>
          <w:szCs w:val="22"/>
          <w:u w:val="single"/>
        </w:rPr>
        <w:t>should be sought</w:t>
      </w:r>
      <w:proofErr w:type="gramEnd"/>
      <w:r w:rsidRPr="00822D01">
        <w:rPr>
          <w:rFonts w:eastAsia="Calibri" w:cs="Arial"/>
          <w:szCs w:val="22"/>
          <w:u w:val="single"/>
        </w:rPr>
        <w:t xml:space="preserve"> at today’s </w:t>
      </w:r>
      <w:proofErr w:type="spellStart"/>
      <w:r w:rsidRPr="00822D01">
        <w:rPr>
          <w:rFonts w:eastAsia="Calibri" w:cs="Arial"/>
          <w:szCs w:val="22"/>
          <w:u w:val="single"/>
        </w:rPr>
        <w:t>trilogue</w:t>
      </w:r>
      <w:proofErr w:type="spellEnd"/>
    </w:p>
    <w:p w14:paraId="0E676898" w14:textId="66D84B3F" w:rsidR="00647D3A" w:rsidRDefault="00647D3A" w:rsidP="00647D3A">
      <w:pPr>
        <w:numPr>
          <w:ilvl w:val="0"/>
          <w:numId w:val="2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 w:rsidRPr="00647D3A">
        <w:rPr>
          <w:rFonts w:eastAsia="Calibri" w:cs="Arial"/>
          <w:szCs w:val="22"/>
        </w:rPr>
        <w:t xml:space="preserve">Recital </w:t>
      </w:r>
      <w:r>
        <w:rPr>
          <w:rFonts w:eastAsia="Calibri" w:cs="Arial"/>
          <w:szCs w:val="22"/>
        </w:rPr>
        <w:t>3c (row</w:t>
      </w:r>
      <w:r w:rsidR="00DB2DD4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 xml:space="preserve">13), </w:t>
      </w:r>
    </w:p>
    <w:p w14:paraId="30244073" w14:textId="791E72D6" w:rsidR="00F01E87" w:rsidRDefault="00F01E87" w:rsidP="00647D3A">
      <w:pPr>
        <w:numPr>
          <w:ilvl w:val="0"/>
          <w:numId w:val="2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Recital </w:t>
      </w:r>
      <w:r w:rsidRPr="00F01E87">
        <w:rPr>
          <w:rFonts w:eastAsia="Calibri" w:cs="Arial"/>
          <w:szCs w:val="22"/>
        </w:rPr>
        <w:t>6a (row 17)</w:t>
      </w:r>
      <w:r>
        <w:rPr>
          <w:rFonts w:eastAsia="Calibri" w:cs="Arial"/>
          <w:szCs w:val="22"/>
        </w:rPr>
        <w:t xml:space="preserve"> </w:t>
      </w:r>
      <w:r w:rsidR="00B043DD">
        <w:rPr>
          <w:rFonts w:eastAsia="Calibri" w:cs="Arial"/>
          <w:szCs w:val="22"/>
        </w:rPr>
        <w:t xml:space="preserve">- </w:t>
      </w:r>
      <w:r>
        <w:rPr>
          <w:rFonts w:eastAsia="Calibri" w:cs="Arial"/>
          <w:szCs w:val="22"/>
        </w:rPr>
        <w:t>in connection with recital 9a (row 23)</w:t>
      </w:r>
      <w:r w:rsidR="00B043DD">
        <w:rPr>
          <w:rFonts w:eastAsia="Calibri" w:cs="Arial"/>
          <w:szCs w:val="22"/>
        </w:rPr>
        <w:t>, see below under B.</w:t>
      </w:r>
    </w:p>
    <w:p w14:paraId="79C93C36" w14:textId="77777777" w:rsidR="00F01E87" w:rsidRPr="00647D3A" w:rsidRDefault="00F01E87" w:rsidP="00647D3A">
      <w:pPr>
        <w:numPr>
          <w:ilvl w:val="0"/>
          <w:numId w:val="2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Recital 7 (row 18) in connection partly with recital 8 (row 19) as far as citations from the Court case</w:t>
      </w:r>
    </w:p>
    <w:p w14:paraId="155789BD" w14:textId="2F5F390D" w:rsidR="00CE66B6" w:rsidRPr="00CE66B6" w:rsidRDefault="00CE66B6" w:rsidP="00CE66B6">
      <w:pPr>
        <w:numPr>
          <w:ilvl w:val="0"/>
          <w:numId w:val="2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Recital </w:t>
      </w:r>
      <w:r w:rsidR="00AC1C0C" w:rsidRPr="00CE66B6">
        <w:rPr>
          <w:rFonts w:eastAsia="Calibri" w:cs="Arial"/>
          <w:szCs w:val="22"/>
        </w:rPr>
        <w:t>8a (row 20)</w:t>
      </w:r>
    </w:p>
    <w:p w14:paraId="04217F57" w14:textId="77777777" w:rsidR="00814C25" w:rsidRPr="00CE66B6" w:rsidRDefault="00405FB7" w:rsidP="00814C25">
      <w:pPr>
        <w:numPr>
          <w:ilvl w:val="0"/>
          <w:numId w:val="2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 w:rsidRPr="00CE66B6">
        <w:rPr>
          <w:rFonts w:eastAsia="Calibri" w:cs="Arial"/>
          <w:szCs w:val="22"/>
        </w:rPr>
        <w:t>Recital 9c (row 25)</w:t>
      </w:r>
    </w:p>
    <w:p w14:paraId="1D2E02D2" w14:textId="78C5B015" w:rsidR="00647D3A" w:rsidRPr="00647D3A" w:rsidRDefault="00186AB5" w:rsidP="00647D3A">
      <w:pPr>
        <w:numPr>
          <w:ilvl w:val="0"/>
          <w:numId w:val="2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 w:rsidRPr="00647D3A">
        <w:rPr>
          <w:rFonts w:eastAsia="Calibri" w:cs="Arial"/>
          <w:szCs w:val="22"/>
        </w:rPr>
        <w:t>A</w:t>
      </w:r>
      <w:r>
        <w:rPr>
          <w:rFonts w:eastAsia="Calibri" w:cs="Arial"/>
          <w:szCs w:val="22"/>
        </w:rPr>
        <w:t xml:space="preserve">rticle 3 </w:t>
      </w:r>
      <w:r w:rsidRPr="00405FB7">
        <w:rPr>
          <w:rFonts w:eastAsia="Calibri" w:cs="Arial"/>
          <w:szCs w:val="22"/>
        </w:rPr>
        <w:t xml:space="preserve">of Regulation 715/2007 </w:t>
      </w:r>
      <w:r>
        <w:rPr>
          <w:rFonts w:eastAsia="Calibri" w:cs="Arial"/>
          <w:szCs w:val="22"/>
        </w:rPr>
        <w:t>as amended (row 35, 36, 37 and 38), concerning d</w:t>
      </w:r>
      <w:r w:rsidR="00405FB7">
        <w:rPr>
          <w:rFonts w:eastAsia="Calibri" w:cs="Arial"/>
          <w:szCs w:val="22"/>
        </w:rPr>
        <w:t xml:space="preserve">efinitions of “real driving emissions” and </w:t>
      </w:r>
      <w:r>
        <w:rPr>
          <w:rFonts w:eastAsia="Calibri" w:cs="Arial"/>
          <w:szCs w:val="22"/>
        </w:rPr>
        <w:t>“real driving emissions test”</w:t>
      </w:r>
      <w:r w:rsidR="00405FB7">
        <w:rPr>
          <w:rFonts w:eastAsia="Calibri" w:cs="Arial"/>
          <w:szCs w:val="22"/>
        </w:rPr>
        <w:t xml:space="preserve"> </w:t>
      </w:r>
    </w:p>
    <w:p w14:paraId="6AE5F732" w14:textId="1AF158F6" w:rsidR="000836AF" w:rsidRPr="00B2355C" w:rsidRDefault="00952E18" w:rsidP="00B2355C">
      <w:pPr>
        <w:numPr>
          <w:ilvl w:val="0"/>
          <w:numId w:val="2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Article 5 (1) </w:t>
      </w:r>
      <w:r w:rsidRPr="00952E18">
        <w:rPr>
          <w:rFonts w:eastAsia="Calibri" w:cs="Arial"/>
          <w:szCs w:val="22"/>
        </w:rPr>
        <w:t xml:space="preserve">of Regulation 715/2007 </w:t>
      </w:r>
      <w:r w:rsidR="00186AB5">
        <w:rPr>
          <w:rFonts w:eastAsia="Calibri" w:cs="Arial"/>
          <w:szCs w:val="22"/>
        </w:rPr>
        <w:t>(row 50</w:t>
      </w:r>
      <w:r>
        <w:rPr>
          <w:rFonts w:eastAsia="Calibri" w:cs="Arial"/>
          <w:szCs w:val="22"/>
        </w:rPr>
        <w:t>)</w:t>
      </w:r>
    </w:p>
    <w:p w14:paraId="1C91DC40" w14:textId="37EE45A4" w:rsidR="000836AF" w:rsidRDefault="000836AF" w:rsidP="000836AF">
      <w:pPr>
        <w:spacing w:line="360" w:lineRule="auto"/>
        <w:contextualSpacing/>
        <w:jc w:val="left"/>
        <w:rPr>
          <w:rFonts w:eastAsia="Calibri" w:cs="Arial"/>
          <w:szCs w:val="22"/>
        </w:rPr>
      </w:pPr>
    </w:p>
    <w:p w14:paraId="278BCC3A" w14:textId="150D6F98" w:rsidR="00814C25" w:rsidRPr="00CE66B6" w:rsidRDefault="00186AB5" w:rsidP="00186AB5">
      <w:pPr>
        <w:keepNext/>
        <w:spacing w:line="360" w:lineRule="auto"/>
        <w:ind w:left="1077"/>
        <w:contextualSpacing/>
        <w:jc w:val="left"/>
        <w:rPr>
          <w:rFonts w:eastAsia="Calibri" w:cs="Arial"/>
          <w:i/>
          <w:szCs w:val="22"/>
        </w:rPr>
      </w:pPr>
      <w:r>
        <w:rPr>
          <w:rFonts w:eastAsia="Calibri" w:cs="Arial"/>
          <w:i/>
          <w:szCs w:val="22"/>
        </w:rPr>
        <w:t>[</w:t>
      </w:r>
      <w:r w:rsidR="00814C25" w:rsidRPr="00CE66B6">
        <w:rPr>
          <w:rFonts w:eastAsia="Calibri" w:cs="Arial"/>
          <w:i/>
          <w:szCs w:val="22"/>
        </w:rPr>
        <w:t xml:space="preserve">The following issues </w:t>
      </w:r>
      <w:proofErr w:type="gramStart"/>
      <w:r w:rsidR="00814C25" w:rsidRPr="00CE66B6">
        <w:rPr>
          <w:rFonts w:eastAsia="Calibri" w:cs="Arial"/>
          <w:i/>
          <w:szCs w:val="22"/>
        </w:rPr>
        <w:t>will be furthe</w:t>
      </w:r>
      <w:r>
        <w:rPr>
          <w:rFonts w:eastAsia="Calibri" w:cs="Arial"/>
          <w:i/>
          <w:szCs w:val="22"/>
        </w:rPr>
        <w:t>r discussed</w:t>
      </w:r>
      <w:proofErr w:type="gramEnd"/>
      <w:r>
        <w:rPr>
          <w:rFonts w:eastAsia="Calibri" w:cs="Arial"/>
          <w:i/>
          <w:szCs w:val="22"/>
        </w:rPr>
        <w:t xml:space="preserve"> at technical level:</w:t>
      </w:r>
    </w:p>
    <w:p w14:paraId="462E55B7" w14:textId="5E75B8DA" w:rsidR="00814C25" w:rsidRPr="00CE66B6" w:rsidRDefault="00CE66B6" w:rsidP="00CE66B6">
      <w:pPr>
        <w:numPr>
          <w:ilvl w:val="0"/>
          <w:numId w:val="2"/>
        </w:numPr>
        <w:spacing w:line="360" w:lineRule="auto"/>
        <w:ind w:left="1440"/>
        <w:contextualSpacing/>
        <w:jc w:val="left"/>
        <w:rPr>
          <w:rFonts w:eastAsia="Calibri" w:cs="Arial"/>
          <w:i/>
          <w:szCs w:val="22"/>
        </w:rPr>
      </w:pPr>
      <w:r>
        <w:rPr>
          <w:rFonts w:eastAsia="Calibri" w:cs="Arial"/>
          <w:i/>
          <w:szCs w:val="22"/>
        </w:rPr>
        <w:t xml:space="preserve">Recital </w:t>
      </w:r>
      <w:r w:rsidR="00814C25" w:rsidRPr="00CE66B6">
        <w:rPr>
          <w:rFonts w:eastAsia="Calibri" w:cs="Arial"/>
          <w:i/>
          <w:szCs w:val="22"/>
        </w:rPr>
        <w:t>3a (row 11</w:t>
      </w:r>
      <w:r>
        <w:rPr>
          <w:rFonts w:eastAsia="Calibri" w:cs="Arial"/>
          <w:i/>
          <w:szCs w:val="22"/>
        </w:rPr>
        <w:t>)</w:t>
      </w:r>
      <w:r w:rsidR="00814C25" w:rsidRPr="00CE66B6">
        <w:rPr>
          <w:rFonts w:eastAsia="Calibri" w:cs="Arial"/>
          <w:i/>
          <w:szCs w:val="22"/>
        </w:rPr>
        <w:t xml:space="preserve"> - to be put on hold until publication of final report),</w:t>
      </w:r>
    </w:p>
    <w:p w14:paraId="616CDEE8" w14:textId="77777777" w:rsidR="00727BA6" w:rsidRDefault="00CE66B6" w:rsidP="00CE66B6">
      <w:pPr>
        <w:numPr>
          <w:ilvl w:val="0"/>
          <w:numId w:val="2"/>
        </w:numPr>
        <w:spacing w:line="360" w:lineRule="auto"/>
        <w:ind w:left="1440"/>
        <w:contextualSpacing/>
        <w:jc w:val="left"/>
        <w:rPr>
          <w:rFonts w:eastAsia="Calibri" w:cs="Arial"/>
          <w:i/>
          <w:szCs w:val="22"/>
        </w:rPr>
      </w:pPr>
      <w:r>
        <w:rPr>
          <w:rFonts w:eastAsia="Calibri" w:cs="Arial"/>
          <w:i/>
          <w:szCs w:val="22"/>
        </w:rPr>
        <w:lastRenderedPageBreak/>
        <w:t>Article 10 para 5 (row 63)</w:t>
      </w:r>
      <w:r w:rsidR="00814C25" w:rsidRPr="00CE66B6">
        <w:rPr>
          <w:rFonts w:eastAsia="Calibri" w:cs="Arial"/>
          <w:i/>
          <w:szCs w:val="22"/>
        </w:rPr>
        <w:t>, new subparagraph of Regulation 715/200</w:t>
      </w:r>
      <w:r>
        <w:rPr>
          <w:rFonts w:eastAsia="Calibri" w:cs="Arial"/>
          <w:i/>
          <w:szCs w:val="22"/>
        </w:rPr>
        <w:t>7</w:t>
      </w:r>
    </w:p>
    <w:p w14:paraId="4A4DAFE9" w14:textId="77766DB7" w:rsidR="00814C25" w:rsidRPr="00CE66B6" w:rsidRDefault="00727BA6" w:rsidP="00CE66B6">
      <w:pPr>
        <w:numPr>
          <w:ilvl w:val="0"/>
          <w:numId w:val="2"/>
        </w:numPr>
        <w:spacing w:line="360" w:lineRule="auto"/>
        <w:ind w:left="1440"/>
        <w:contextualSpacing/>
        <w:jc w:val="left"/>
        <w:rPr>
          <w:rFonts w:eastAsia="Calibri" w:cs="Arial"/>
          <w:i/>
          <w:szCs w:val="22"/>
        </w:rPr>
      </w:pPr>
      <w:r w:rsidRPr="00727BA6">
        <w:rPr>
          <w:rFonts w:eastAsia="Calibri" w:cs="Arial"/>
          <w:i/>
          <w:szCs w:val="22"/>
        </w:rPr>
        <w:t xml:space="preserve">Annex (Table 2a) </w:t>
      </w:r>
      <w:r>
        <w:rPr>
          <w:rFonts w:eastAsia="Calibri" w:cs="Arial"/>
          <w:i/>
          <w:szCs w:val="22"/>
        </w:rPr>
        <w:t>deletion of columns 4, 5 and 6 and footnote 1</w:t>
      </w:r>
      <w:r w:rsidR="00186AB5">
        <w:rPr>
          <w:rFonts w:eastAsia="Calibri" w:cs="Arial"/>
          <w:i/>
          <w:szCs w:val="22"/>
        </w:rPr>
        <w:t>]</w:t>
      </w:r>
    </w:p>
    <w:p w14:paraId="1959FBC7" w14:textId="77777777" w:rsidR="00814C25" w:rsidRDefault="00814C25" w:rsidP="00186AB5">
      <w:pPr>
        <w:spacing w:line="360" w:lineRule="auto"/>
        <w:contextualSpacing/>
        <w:jc w:val="left"/>
        <w:rPr>
          <w:rFonts w:eastAsia="Calibri" w:cs="Arial"/>
          <w:szCs w:val="22"/>
        </w:rPr>
      </w:pPr>
    </w:p>
    <w:p w14:paraId="5497F8A7" w14:textId="760D3015" w:rsidR="00B2355C" w:rsidRPr="00CE66B6" w:rsidRDefault="00B2355C" w:rsidP="00B2355C">
      <w:pPr>
        <w:spacing w:line="360" w:lineRule="auto"/>
        <w:ind w:left="720"/>
        <w:contextualSpacing/>
        <w:jc w:val="left"/>
        <w:rPr>
          <w:rFonts w:eastAsia="Calibri" w:cs="Arial"/>
          <w:szCs w:val="22"/>
          <w:u w:val="single"/>
        </w:rPr>
      </w:pPr>
      <w:r w:rsidRPr="00CE66B6">
        <w:rPr>
          <w:rFonts w:eastAsia="Calibri" w:cs="Arial"/>
          <w:szCs w:val="22"/>
          <w:u w:val="single"/>
        </w:rPr>
        <w:t xml:space="preserve">B. List of amendments/changes relating to issues that </w:t>
      </w:r>
      <w:proofErr w:type="gramStart"/>
      <w:r w:rsidRPr="00CE66B6">
        <w:rPr>
          <w:rFonts w:eastAsia="Calibri" w:cs="Arial"/>
          <w:szCs w:val="22"/>
          <w:u w:val="single"/>
        </w:rPr>
        <w:t>need be discussed</w:t>
      </w:r>
      <w:proofErr w:type="gramEnd"/>
      <w:r w:rsidRPr="00CE66B6">
        <w:rPr>
          <w:rFonts w:eastAsia="Calibri" w:cs="Arial"/>
          <w:szCs w:val="22"/>
          <w:u w:val="single"/>
        </w:rPr>
        <w:t xml:space="preserve"> in-depth at today’s </w:t>
      </w:r>
      <w:proofErr w:type="spellStart"/>
      <w:r w:rsidRPr="00CE66B6">
        <w:rPr>
          <w:rFonts w:eastAsia="Calibri" w:cs="Arial"/>
          <w:szCs w:val="22"/>
          <w:u w:val="single"/>
        </w:rPr>
        <w:t>trilogue</w:t>
      </w:r>
      <w:proofErr w:type="spellEnd"/>
      <w:r w:rsidRPr="00CE66B6">
        <w:rPr>
          <w:rFonts w:eastAsia="Calibri" w:cs="Arial"/>
          <w:szCs w:val="22"/>
          <w:u w:val="single"/>
        </w:rPr>
        <w:t xml:space="preserve"> and where solutions need to be explored</w:t>
      </w:r>
      <w:r w:rsidR="00CE66B6" w:rsidRPr="00CE66B6">
        <w:rPr>
          <w:rFonts w:eastAsia="Calibri" w:cs="Arial"/>
          <w:szCs w:val="22"/>
          <w:u w:val="single"/>
        </w:rPr>
        <w:t xml:space="preserve"> with a view to agreement today</w:t>
      </w:r>
      <w:r w:rsidR="00485B18" w:rsidRPr="00CE66B6">
        <w:rPr>
          <w:rFonts w:eastAsia="Calibri" w:cs="Arial"/>
          <w:szCs w:val="22"/>
          <w:u w:val="single"/>
        </w:rPr>
        <w:t>:</w:t>
      </w:r>
    </w:p>
    <w:p w14:paraId="71422023" w14:textId="77777777" w:rsidR="00CE66B6" w:rsidRDefault="00B2355C" w:rsidP="00CE66B6">
      <w:pPr>
        <w:spacing w:line="360" w:lineRule="auto"/>
        <w:ind w:firstLine="720"/>
        <w:contextualSpacing/>
        <w:jc w:val="left"/>
        <w:rPr>
          <w:rFonts w:eastAsia="Calibri" w:cs="Arial"/>
          <w:szCs w:val="22"/>
        </w:rPr>
      </w:pPr>
      <w:r w:rsidRPr="00B2355C">
        <w:rPr>
          <w:rFonts w:eastAsia="Calibri" w:cs="Arial"/>
          <w:szCs w:val="22"/>
        </w:rPr>
        <w:t>Conformity factor (value, end date, review</w:t>
      </w:r>
      <w:r w:rsidR="00485B18">
        <w:rPr>
          <w:rFonts w:eastAsia="Calibri" w:cs="Arial"/>
          <w:szCs w:val="22"/>
        </w:rPr>
        <w:t xml:space="preserve">, </w:t>
      </w:r>
      <w:proofErr w:type="gramStart"/>
      <w:r w:rsidR="00485B18">
        <w:rPr>
          <w:rFonts w:eastAsia="Calibri" w:cs="Arial"/>
          <w:szCs w:val="22"/>
        </w:rPr>
        <w:t>revision</w:t>
      </w:r>
      <w:proofErr w:type="gramEnd"/>
      <w:r w:rsidRPr="00B2355C">
        <w:rPr>
          <w:rFonts w:eastAsia="Calibri" w:cs="Arial"/>
          <w:szCs w:val="22"/>
        </w:rPr>
        <w:t xml:space="preserve"> and PEMS standardisation): </w:t>
      </w:r>
    </w:p>
    <w:p w14:paraId="731C7A71" w14:textId="25C9CEBF" w:rsidR="00CE66B6" w:rsidRDefault="00B2355C" w:rsidP="00CE66B6">
      <w:pPr>
        <w:pStyle w:val="ListParagraph"/>
        <w:numPr>
          <w:ilvl w:val="0"/>
          <w:numId w:val="9"/>
        </w:numPr>
        <w:spacing w:line="360" w:lineRule="auto"/>
        <w:jc w:val="left"/>
        <w:rPr>
          <w:rFonts w:eastAsia="Calibri" w:cs="Arial"/>
          <w:szCs w:val="22"/>
        </w:rPr>
      </w:pPr>
      <w:r w:rsidRPr="00CE66B6">
        <w:rPr>
          <w:rFonts w:eastAsia="Calibri" w:cs="Arial"/>
          <w:szCs w:val="22"/>
        </w:rPr>
        <w:t>Recital 8 (row 19 - see also above</w:t>
      </w:r>
      <w:r w:rsidR="00B043DD">
        <w:rPr>
          <w:rFonts w:eastAsia="Calibri" w:cs="Arial"/>
          <w:szCs w:val="22"/>
        </w:rPr>
        <w:t xml:space="preserve"> under A.</w:t>
      </w:r>
      <w:r w:rsidRPr="00CE66B6">
        <w:rPr>
          <w:rFonts w:eastAsia="Calibri" w:cs="Arial"/>
          <w:szCs w:val="22"/>
        </w:rPr>
        <w:t xml:space="preserve">), </w:t>
      </w:r>
    </w:p>
    <w:p w14:paraId="0551831A" w14:textId="2279BCE8" w:rsidR="00CE66B6" w:rsidRDefault="00CE66B6" w:rsidP="00CE66B6">
      <w:pPr>
        <w:pStyle w:val="ListParagraph"/>
        <w:numPr>
          <w:ilvl w:val="0"/>
          <w:numId w:val="9"/>
        </w:numPr>
        <w:spacing w:line="360" w:lineRule="auto"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</w:t>
      </w:r>
      <w:r w:rsidR="00B2355C" w:rsidRPr="00CE66B6">
        <w:rPr>
          <w:rFonts w:eastAsia="Calibri" w:cs="Arial"/>
          <w:szCs w:val="22"/>
        </w:rPr>
        <w:t>ecital 9 (row 22)</w:t>
      </w:r>
      <w:r>
        <w:rPr>
          <w:rFonts w:eastAsia="Calibri" w:cs="Arial"/>
          <w:szCs w:val="22"/>
        </w:rPr>
        <w:t xml:space="preserve"> on review, revision and end date</w:t>
      </w:r>
      <w:r w:rsidR="00B2355C" w:rsidRPr="00CE66B6">
        <w:rPr>
          <w:rFonts w:eastAsia="Calibri" w:cs="Arial"/>
          <w:szCs w:val="22"/>
        </w:rPr>
        <w:t xml:space="preserve">, </w:t>
      </w:r>
    </w:p>
    <w:p w14:paraId="4BF5397F" w14:textId="68ABD0E4" w:rsidR="00CE66B6" w:rsidRDefault="00CE66B6" w:rsidP="00CE66B6">
      <w:pPr>
        <w:pStyle w:val="ListParagraph"/>
        <w:numPr>
          <w:ilvl w:val="0"/>
          <w:numId w:val="9"/>
        </w:numPr>
        <w:spacing w:line="360" w:lineRule="auto"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</w:t>
      </w:r>
      <w:r w:rsidR="00B2355C" w:rsidRPr="00CE66B6">
        <w:rPr>
          <w:rFonts w:eastAsia="Calibri" w:cs="Arial"/>
          <w:szCs w:val="22"/>
        </w:rPr>
        <w:t>ecital 9a (row 23)</w:t>
      </w:r>
      <w:r>
        <w:rPr>
          <w:rFonts w:eastAsia="Calibri" w:cs="Arial"/>
          <w:szCs w:val="22"/>
        </w:rPr>
        <w:t xml:space="preserve"> on PEMS standardisation</w:t>
      </w:r>
      <w:r w:rsidR="00B2355C" w:rsidRPr="00CE66B6">
        <w:rPr>
          <w:rFonts w:eastAsia="Calibri" w:cs="Arial"/>
          <w:szCs w:val="22"/>
        </w:rPr>
        <w:t xml:space="preserve">, </w:t>
      </w:r>
    </w:p>
    <w:p w14:paraId="3350D059" w14:textId="1FD33ED9" w:rsidR="00CE66B6" w:rsidRDefault="00587CD9" w:rsidP="00CE66B6">
      <w:pPr>
        <w:pStyle w:val="ListParagraph"/>
        <w:numPr>
          <w:ilvl w:val="0"/>
          <w:numId w:val="9"/>
        </w:numPr>
        <w:spacing w:line="360" w:lineRule="auto"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R</w:t>
      </w:r>
      <w:r w:rsidR="00B2355C" w:rsidRPr="00CE66B6">
        <w:rPr>
          <w:rFonts w:eastAsia="Calibri" w:cs="Arial"/>
          <w:szCs w:val="22"/>
        </w:rPr>
        <w:t>ecital 9b (row 24)</w:t>
      </w:r>
      <w:r>
        <w:rPr>
          <w:rFonts w:eastAsia="Calibri" w:cs="Arial"/>
          <w:szCs w:val="22"/>
        </w:rPr>
        <w:t xml:space="preserve"> on post Euro 6</w:t>
      </w:r>
      <w:r w:rsidR="00B2355C" w:rsidRPr="00CE66B6">
        <w:rPr>
          <w:rFonts w:eastAsia="Calibri" w:cs="Arial"/>
          <w:szCs w:val="22"/>
        </w:rPr>
        <w:t xml:space="preserve">, </w:t>
      </w:r>
    </w:p>
    <w:p w14:paraId="437C7F3A" w14:textId="52B5FA47" w:rsidR="00587CD9" w:rsidRDefault="00B2355C" w:rsidP="00CE66B6">
      <w:pPr>
        <w:pStyle w:val="ListParagraph"/>
        <w:numPr>
          <w:ilvl w:val="0"/>
          <w:numId w:val="9"/>
        </w:numPr>
        <w:spacing w:line="360" w:lineRule="auto"/>
        <w:jc w:val="left"/>
        <w:rPr>
          <w:rFonts w:eastAsia="Calibri" w:cs="Arial"/>
          <w:szCs w:val="22"/>
        </w:rPr>
      </w:pPr>
      <w:r w:rsidRPr="00CE66B6">
        <w:rPr>
          <w:rFonts w:eastAsia="Calibri" w:cs="Arial"/>
          <w:szCs w:val="22"/>
        </w:rPr>
        <w:t>Article 4 (1) a) subparagraph 2 of Regulation 715/2007 (row 46)</w:t>
      </w:r>
      <w:r w:rsidR="00587CD9">
        <w:rPr>
          <w:rFonts w:eastAsia="Calibri" w:cs="Arial"/>
          <w:szCs w:val="22"/>
        </w:rPr>
        <w:t xml:space="preserve"> on end date</w:t>
      </w:r>
      <w:r w:rsidRPr="00CE66B6">
        <w:rPr>
          <w:rFonts w:eastAsia="Calibri" w:cs="Arial"/>
          <w:szCs w:val="22"/>
        </w:rPr>
        <w:t xml:space="preserve">, </w:t>
      </w:r>
    </w:p>
    <w:p w14:paraId="4A218AEA" w14:textId="2A4F6A3C" w:rsidR="00587CD9" w:rsidRDefault="00B2355C" w:rsidP="00CE66B6">
      <w:pPr>
        <w:pStyle w:val="ListParagraph"/>
        <w:numPr>
          <w:ilvl w:val="0"/>
          <w:numId w:val="9"/>
        </w:numPr>
        <w:spacing w:line="360" w:lineRule="auto"/>
        <w:jc w:val="left"/>
        <w:rPr>
          <w:rFonts w:eastAsia="Calibri" w:cs="Arial"/>
          <w:szCs w:val="22"/>
        </w:rPr>
      </w:pPr>
      <w:r w:rsidRPr="00CE66B6">
        <w:rPr>
          <w:rFonts w:eastAsia="Calibri" w:cs="Arial"/>
          <w:szCs w:val="22"/>
        </w:rPr>
        <w:t>Article 10 (4) and (5) of Regulation 715/2007 (row 60, 61 and 62)</w:t>
      </w:r>
      <w:r w:rsidR="00587CD9">
        <w:rPr>
          <w:rFonts w:eastAsia="Calibri" w:cs="Arial"/>
          <w:szCs w:val="22"/>
        </w:rPr>
        <w:t xml:space="preserve"> on end date</w:t>
      </w:r>
      <w:r w:rsidRPr="00CE66B6">
        <w:rPr>
          <w:rFonts w:eastAsia="Calibri" w:cs="Arial"/>
          <w:szCs w:val="22"/>
        </w:rPr>
        <w:t xml:space="preserve">, </w:t>
      </w:r>
    </w:p>
    <w:p w14:paraId="051E574B" w14:textId="061ECFEB" w:rsidR="00587CD9" w:rsidRDefault="00B2355C" w:rsidP="00CE66B6">
      <w:pPr>
        <w:pStyle w:val="ListParagraph"/>
        <w:numPr>
          <w:ilvl w:val="0"/>
          <w:numId w:val="9"/>
        </w:numPr>
        <w:spacing w:line="360" w:lineRule="auto"/>
        <w:jc w:val="left"/>
        <w:rPr>
          <w:rFonts w:eastAsia="Calibri" w:cs="Arial"/>
          <w:szCs w:val="22"/>
        </w:rPr>
      </w:pPr>
      <w:r w:rsidRPr="00CE66B6">
        <w:rPr>
          <w:rFonts w:eastAsia="Calibri" w:cs="Arial"/>
          <w:szCs w:val="22"/>
        </w:rPr>
        <w:t>Article 14 (3 partly) and new paragraph on review of Regulation 715/2007 (row 73, 74 and 75)</w:t>
      </w:r>
      <w:r w:rsidR="00587CD9">
        <w:rPr>
          <w:rFonts w:eastAsia="Calibri" w:cs="Arial"/>
          <w:szCs w:val="22"/>
        </w:rPr>
        <w:t xml:space="preserve"> on revision and empowerment of Commission</w:t>
      </w:r>
      <w:r w:rsidRPr="00CE66B6">
        <w:rPr>
          <w:rFonts w:eastAsia="Calibri" w:cs="Arial"/>
          <w:szCs w:val="22"/>
        </w:rPr>
        <w:t xml:space="preserve">, </w:t>
      </w:r>
    </w:p>
    <w:p w14:paraId="4AF282FD" w14:textId="53CBC839" w:rsidR="00B2355C" w:rsidRPr="00CE66B6" w:rsidRDefault="00B2355C" w:rsidP="00CE66B6">
      <w:pPr>
        <w:pStyle w:val="ListParagraph"/>
        <w:numPr>
          <w:ilvl w:val="0"/>
          <w:numId w:val="9"/>
        </w:numPr>
        <w:spacing w:line="360" w:lineRule="auto"/>
        <w:jc w:val="left"/>
        <w:rPr>
          <w:rFonts w:eastAsia="Calibri" w:cs="Arial"/>
          <w:szCs w:val="22"/>
        </w:rPr>
      </w:pPr>
      <w:r w:rsidRPr="00CE66B6">
        <w:rPr>
          <w:rFonts w:eastAsia="Calibri" w:cs="Arial"/>
          <w:szCs w:val="22"/>
        </w:rPr>
        <w:t>Annex (</w:t>
      </w:r>
      <w:r w:rsidR="00587CD9">
        <w:rPr>
          <w:rFonts w:eastAsia="Calibri" w:cs="Arial"/>
          <w:szCs w:val="22"/>
        </w:rPr>
        <w:t>Table 2a</w:t>
      </w:r>
      <w:r w:rsidRPr="00CE66B6">
        <w:rPr>
          <w:rFonts w:eastAsia="Calibri" w:cs="Arial"/>
          <w:szCs w:val="22"/>
        </w:rPr>
        <w:t>)</w:t>
      </w:r>
      <w:r w:rsidR="00AC1C0C" w:rsidRPr="00CE66B6">
        <w:rPr>
          <w:rFonts w:eastAsia="Calibri" w:cs="Arial"/>
          <w:szCs w:val="22"/>
        </w:rPr>
        <w:t xml:space="preserve"> </w:t>
      </w:r>
      <w:r w:rsidR="00587CD9">
        <w:rPr>
          <w:rFonts w:eastAsia="Calibri" w:cs="Arial"/>
          <w:szCs w:val="22"/>
        </w:rPr>
        <w:t xml:space="preserve">on value of error margin, review, revision, end date </w:t>
      </w:r>
    </w:p>
    <w:p w14:paraId="566789A0" w14:textId="77777777" w:rsidR="00CE66B6" w:rsidRDefault="00CE66B6" w:rsidP="00B2355C">
      <w:pPr>
        <w:spacing w:line="360" w:lineRule="auto"/>
        <w:ind w:left="1080"/>
        <w:contextualSpacing/>
        <w:jc w:val="left"/>
        <w:rPr>
          <w:rFonts w:eastAsia="Calibri" w:cs="Arial"/>
          <w:szCs w:val="22"/>
        </w:rPr>
      </w:pPr>
    </w:p>
    <w:p w14:paraId="04C77CE2" w14:textId="6C6A1E59" w:rsidR="000836AF" w:rsidRPr="00647D3A" w:rsidRDefault="00647D3A" w:rsidP="00B2355C">
      <w:pPr>
        <w:spacing w:line="360" w:lineRule="auto"/>
        <w:ind w:left="1080"/>
        <w:contextualSpacing/>
        <w:jc w:val="left"/>
        <w:rPr>
          <w:rFonts w:eastAsia="Calibri" w:cs="Arial"/>
          <w:b/>
          <w:i/>
          <w:szCs w:val="22"/>
        </w:rPr>
      </w:pPr>
      <w:r w:rsidRPr="00647D3A">
        <w:rPr>
          <w:rFonts w:eastAsia="Calibri" w:cs="Arial"/>
          <w:szCs w:val="22"/>
        </w:rPr>
        <w:t xml:space="preserve">- </w:t>
      </w:r>
      <w:r w:rsidR="00587CD9">
        <w:rPr>
          <w:rFonts w:eastAsia="Calibri" w:cs="Arial"/>
          <w:b/>
          <w:i/>
          <w:szCs w:val="22"/>
        </w:rPr>
        <w:t>Analysis and</w:t>
      </w:r>
      <w:r w:rsidR="00CE66B6">
        <w:rPr>
          <w:rFonts w:eastAsia="Calibri" w:cs="Arial"/>
          <w:b/>
          <w:i/>
          <w:szCs w:val="22"/>
        </w:rPr>
        <w:t xml:space="preserve"> </w:t>
      </w:r>
      <w:r w:rsidRPr="00647D3A">
        <w:rPr>
          <w:rFonts w:eastAsia="Calibri" w:cs="Arial"/>
          <w:b/>
          <w:i/>
          <w:szCs w:val="22"/>
        </w:rPr>
        <w:t>agreement</w:t>
      </w:r>
    </w:p>
    <w:p w14:paraId="740E9362" w14:textId="77777777" w:rsidR="00647D3A" w:rsidRPr="00647D3A" w:rsidRDefault="00647D3A" w:rsidP="00647D3A">
      <w:pPr>
        <w:spacing w:line="360" w:lineRule="auto"/>
        <w:jc w:val="left"/>
        <w:rPr>
          <w:rFonts w:eastAsia="Calibri" w:cs="Arial"/>
          <w:szCs w:val="22"/>
        </w:rPr>
      </w:pPr>
    </w:p>
    <w:p w14:paraId="6E391A06" w14:textId="045E2570" w:rsidR="00F01E87" w:rsidRPr="00587CD9" w:rsidRDefault="00587CD9" w:rsidP="00F01E87">
      <w:pPr>
        <w:numPr>
          <w:ilvl w:val="0"/>
          <w:numId w:val="1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 w:rsidRPr="00587CD9">
        <w:rPr>
          <w:rFonts w:eastAsia="Calibri" w:cs="Arial"/>
          <w:b/>
          <w:szCs w:val="22"/>
        </w:rPr>
        <w:t xml:space="preserve">Discussion on </w:t>
      </w:r>
      <w:r w:rsidR="00D34BE4">
        <w:rPr>
          <w:rFonts w:eastAsia="Calibri" w:cs="Arial"/>
          <w:b/>
          <w:szCs w:val="22"/>
        </w:rPr>
        <w:t>amendments</w:t>
      </w:r>
      <w:r w:rsidRPr="00587CD9">
        <w:rPr>
          <w:rFonts w:eastAsia="Calibri" w:cs="Arial"/>
          <w:b/>
          <w:szCs w:val="22"/>
        </w:rPr>
        <w:t xml:space="preserve"> </w:t>
      </w:r>
      <w:r w:rsidR="00186AB5">
        <w:rPr>
          <w:rFonts w:eastAsia="Calibri" w:cs="Arial"/>
          <w:b/>
          <w:szCs w:val="22"/>
        </w:rPr>
        <w:t>with a view to agreement</w:t>
      </w:r>
      <w:r w:rsidRPr="00587CD9">
        <w:rPr>
          <w:rFonts w:eastAsia="Calibri" w:cs="Arial"/>
          <w:b/>
          <w:szCs w:val="22"/>
        </w:rPr>
        <w:t xml:space="preserve"> during second or third </w:t>
      </w:r>
      <w:proofErr w:type="spellStart"/>
      <w:r w:rsidRPr="00587CD9">
        <w:rPr>
          <w:rFonts w:eastAsia="Calibri" w:cs="Arial"/>
          <w:b/>
          <w:szCs w:val="22"/>
        </w:rPr>
        <w:t>trilogue</w:t>
      </w:r>
      <w:proofErr w:type="spellEnd"/>
      <w:r w:rsidR="00727BA6">
        <w:rPr>
          <w:rFonts w:eastAsia="Calibri" w:cs="Arial"/>
          <w:b/>
          <w:szCs w:val="22"/>
        </w:rPr>
        <w:t xml:space="preserve"> </w:t>
      </w:r>
    </w:p>
    <w:p w14:paraId="24C5E21E" w14:textId="77777777" w:rsidR="00587CD9" w:rsidRDefault="00485B18" w:rsidP="00485B18">
      <w:pPr>
        <w:numPr>
          <w:ilvl w:val="0"/>
          <w:numId w:val="6"/>
        </w:numPr>
        <w:spacing w:line="360" w:lineRule="auto"/>
        <w:ind w:left="1418" w:hanging="284"/>
        <w:contextualSpacing/>
        <w:jc w:val="left"/>
        <w:rPr>
          <w:rFonts w:eastAsia="Calibri" w:cs="Arial"/>
          <w:szCs w:val="22"/>
        </w:rPr>
      </w:pPr>
      <w:r w:rsidRPr="00B2355C">
        <w:rPr>
          <w:rFonts w:eastAsia="Calibri" w:cs="Arial"/>
          <w:szCs w:val="22"/>
        </w:rPr>
        <w:t xml:space="preserve">Small/ultra-small volume manufacturers: </w:t>
      </w:r>
    </w:p>
    <w:p w14:paraId="147FFF38" w14:textId="77777777" w:rsidR="00587CD9" w:rsidRDefault="00485B18" w:rsidP="00587CD9">
      <w:pPr>
        <w:numPr>
          <w:ilvl w:val="1"/>
          <w:numId w:val="6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 w:rsidRPr="00B2355C">
        <w:rPr>
          <w:rFonts w:eastAsia="Calibri" w:cs="Arial"/>
          <w:szCs w:val="22"/>
        </w:rPr>
        <w:t xml:space="preserve">Recital 8a (row 21), </w:t>
      </w:r>
    </w:p>
    <w:p w14:paraId="59002F6B" w14:textId="62402D98" w:rsidR="00587CD9" w:rsidRDefault="00587CD9" w:rsidP="00587CD9">
      <w:pPr>
        <w:numPr>
          <w:ilvl w:val="1"/>
          <w:numId w:val="6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D</w:t>
      </w:r>
      <w:r w:rsidR="00485B18" w:rsidRPr="00B2355C">
        <w:rPr>
          <w:rFonts w:eastAsia="Calibri" w:cs="Arial"/>
          <w:szCs w:val="22"/>
        </w:rPr>
        <w:t>efinitions in Article 3 of Regulation 715/200</w:t>
      </w:r>
      <w:r>
        <w:rPr>
          <w:rFonts w:eastAsia="Calibri" w:cs="Arial"/>
          <w:szCs w:val="22"/>
        </w:rPr>
        <w:t>7 as amended (row 39 -</w:t>
      </w:r>
      <w:r w:rsidR="00485B18" w:rsidRPr="00B2355C">
        <w:rPr>
          <w:rFonts w:eastAsia="Calibri" w:cs="Arial"/>
          <w:szCs w:val="22"/>
        </w:rPr>
        <w:t xml:space="preserve"> 42),  </w:t>
      </w:r>
    </w:p>
    <w:p w14:paraId="52DD7334" w14:textId="424A018D" w:rsidR="00485B18" w:rsidRPr="00485B18" w:rsidRDefault="00587CD9" w:rsidP="00587CD9">
      <w:pPr>
        <w:numPr>
          <w:ilvl w:val="1"/>
          <w:numId w:val="6"/>
        </w:numPr>
        <w:spacing w:line="360" w:lineRule="auto"/>
        <w:contextualSpacing/>
        <w:jc w:val="lef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new letter </w:t>
      </w:r>
      <w:proofErr w:type="spellStart"/>
      <w:r>
        <w:rPr>
          <w:rFonts w:eastAsia="Calibri" w:cs="Arial"/>
          <w:szCs w:val="22"/>
        </w:rPr>
        <w:t>ga</w:t>
      </w:r>
      <w:proofErr w:type="spellEnd"/>
      <w:r>
        <w:rPr>
          <w:rFonts w:eastAsia="Calibri" w:cs="Arial"/>
          <w:szCs w:val="22"/>
        </w:rPr>
        <w:t xml:space="preserve"> in Article 5 para</w:t>
      </w:r>
      <w:r w:rsidR="00485B18" w:rsidRPr="00B2355C">
        <w:rPr>
          <w:rFonts w:eastAsia="Calibri" w:cs="Arial"/>
          <w:szCs w:val="22"/>
        </w:rPr>
        <w:t xml:space="preserve"> (part of row 52) </w:t>
      </w:r>
    </w:p>
    <w:p w14:paraId="2C2A5178" w14:textId="4496CCF5" w:rsidR="00587CD9" w:rsidRPr="00587CD9" w:rsidRDefault="00587CD9" w:rsidP="00B2355C">
      <w:pPr>
        <w:pStyle w:val="ListParagraph"/>
        <w:numPr>
          <w:ilvl w:val="0"/>
          <w:numId w:val="7"/>
        </w:numPr>
        <w:spacing w:line="360" w:lineRule="auto"/>
        <w:jc w:val="left"/>
        <w:rPr>
          <w:rFonts w:eastAsia="Calibri" w:cs="Arial"/>
          <w:b/>
          <w:i/>
          <w:szCs w:val="22"/>
        </w:rPr>
      </w:pPr>
      <w:r>
        <w:rPr>
          <w:rFonts w:eastAsia="Calibri" w:cs="Arial"/>
          <w:szCs w:val="22"/>
        </w:rPr>
        <w:t xml:space="preserve">Transform empowerments of Commission: RPS to delegated or </w:t>
      </w:r>
      <w:r w:rsidR="00405FB7" w:rsidRPr="00B2355C">
        <w:rPr>
          <w:rFonts w:eastAsia="Calibri" w:cs="Arial"/>
          <w:szCs w:val="22"/>
        </w:rPr>
        <w:t>implementing acts</w:t>
      </w:r>
      <w:r w:rsidR="00647D3A" w:rsidRPr="00B2355C" w:rsidDel="003D0285">
        <w:rPr>
          <w:rFonts w:eastAsia="Calibri" w:cs="Arial"/>
          <w:szCs w:val="22"/>
        </w:rPr>
        <w:t xml:space="preserve">: </w:t>
      </w:r>
    </w:p>
    <w:p w14:paraId="61D31B0E" w14:textId="77777777" w:rsidR="00587CD9" w:rsidRPr="00587CD9" w:rsidRDefault="00405FB7" w:rsidP="00587CD9">
      <w:pPr>
        <w:pStyle w:val="ListParagraph"/>
        <w:numPr>
          <w:ilvl w:val="1"/>
          <w:numId w:val="7"/>
        </w:numPr>
        <w:spacing w:line="360" w:lineRule="auto"/>
        <w:jc w:val="left"/>
        <w:rPr>
          <w:rFonts w:eastAsia="Calibri" w:cs="Arial"/>
          <w:b/>
          <w:i/>
          <w:szCs w:val="22"/>
        </w:rPr>
      </w:pPr>
      <w:r w:rsidRPr="00B2355C">
        <w:rPr>
          <w:rFonts w:eastAsia="Calibri" w:cs="Arial"/>
          <w:szCs w:val="22"/>
        </w:rPr>
        <w:t xml:space="preserve">Recital 10 (row 26), </w:t>
      </w:r>
    </w:p>
    <w:p w14:paraId="17FCE47F" w14:textId="77777777" w:rsidR="00587CD9" w:rsidRPr="00587CD9" w:rsidRDefault="00587CD9" w:rsidP="00587CD9">
      <w:pPr>
        <w:pStyle w:val="ListParagraph"/>
        <w:numPr>
          <w:ilvl w:val="1"/>
          <w:numId w:val="7"/>
        </w:numPr>
        <w:spacing w:line="360" w:lineRule="auto"/>
        <w:jc w:val="left"/>
        <w:rPr>
          <w:rFonts w:eastAsia="Calibri" w:cs="Arial"/>
          <w:b/>
          <w:i/>
          <w:szCs w:val="22"/>
        </w:rPr>
      </w:pPr>
      <w:r>
        <w:rPr>
          <w:rFonts w:eastAsia="Calibri" w:cs="Arial"/>
          <w:szCs w:val="22"/>
        </w:rPr>
        <w:t>R</w:t>
      </w:r>
      <w:r w:rsidR="00405FB7" w:rsidRPr="00B2355C">
        <w:rPr>
          <w:rFonts w:eastAsia="Calibri" w:cs="Arial"/>
          <w:szCs w:val="22"/>
        </w:rPr>
        <w:t xml:space="preserve">ecital 11 (row 27), </w:t>
      </w:r>
    </w:p>
    <w:p w14:paraId="545CAC62" w14:textId="77777777" w:rsidR="00186AB5" w:rsidRPr="00186AB5" w:rsidRDefault="00587CD9" w:rsidP="00587CD9">
      <w:pPr>
        <w:pStyle w:val="ListParagraph"/>
        <w:numPr>
          <w:ilvl w:val="1"/>
          <w:numId w:val="7"/>
        </w:numPr>
        <w:spacing w:line="360" w:lineRule="auto"/>
        <w:jc w:val="left"/>
        <w:rPr>
          <w:rFonts w:eastAsia="Calibri" w:cs="Arial"/>
          <w:b/>
          <w:i/>
          <w:szCs w:val="22"/>
        </w:rPr>
      </w:pPr>
      <w:r>
        <w:rPr>
          <w:rFonts w:eastAsia="Calibri" w:cs="Arial"/>
          <w:szCs w:val="22"/>
        </w:rPr>
        <w:t>R</w:t>
      </w:r>
      <w:r w:rsidR="00405FB7" w:rsidRPr="00B2355C">
        <w:rPr>
          <w:rFonts w:eastAsia="Calibri" w:cs="Arial"/>
          <w:szCs w:val="22"/>
        </w:rPr>
        <w:t>ecital 13 (row</w:t>
      </w:r>
      <w:r w:rsidR="00952E18" w:rsidRPr="00B2355C">
        <w:rPr>
          <w:rFonts w:eastAsia="Calibri" w:cs="Arial"/>
          <w:szCs w:val="22"/>
        </w:rPr>
        <w:t xml:space="preserve"> </w:t>
      </w:r>
      <w:r w:rsidR="00405FB7" w:rsidRPr="00B2355C">
        <w:rPr>
          <w:rFonts w:eastAsia="Calibri" w:cs="Arial"/>
          <w:szCs w:val="22"/>
        </w:rPr>
        <w:t>29)</w:t>
      </w:r>
      <w:r w:rsidR="00952E18" w:rsidRPr="00B2355C">
        <w:rPr>
          <w:rFonts w:eastAsia="Calibri" w:cs="Arial"/>
          <w:szCs w:val="22"/>
        </w:rPr>
        <w:t>, Article 5 (3)</w:t>
      </w:r>
      <w:r w:rsidR="00506130" w:rsidRPr="00B2355C">
        <w:rPr>
          <w:rFonts w:eastAsia="Calibri" w:cs="Arial"/>
          <w:szCs w:val="22"/>
        </w:rPr>
        <w:t xml:space="preserve"> of Regulation 715/2007</w:t>
      </w:r>
      <w:r w:rsidR="00952E18" w:rsidRPr="00B2355C">
        <w:rPr>
          <w:rFonts w:eastAsia="Calibri" w:cs="Arial"/>
          <w:szCs w:val="22"/>
        </w:rPr>
        <w:t xml:space="preserve"> (row 51 and 52)</w:t>
      </w:r>
      <w:r w:rsidR="00506130" w:rsidRPr="00B2355C">
        <w:rPr>
          <w:rFonts w:eastAsia="Calibri" w:cs="Arial"/>
          <w:szCs w:val="22"/>
        </w:rPr>
        <w:t>,</w:t>
      </w:r>
    </w:p>
    <w:p w14:paraId="5321FA35" w14:textId="77777777" w:rsidR="00186AB5" w:rsidRPr="00186AB5" w:rsidRDefault="00647D3A" w:rsidP="00587CD9">
      <w:pPr>
        <w:pStyle w:val="ListParagraph"/>
        <w:numPr>
          <w:ilvl w:val="1"/>
          <w:numId w:val="7"/>
        </w:numPr>
        <w:spacing w:line="360" w:lineRule="auto"/>
        <w:jc w:val="left"/>
        <w:rPr>
          <w:rFonts w:eastAsia="Calibri" w:cs="Arial"/>
          <w:b/>
          <w:i/>
          <w:szCs w:val="22"/>
        </w:rPr>
      </w:pPr>
      <w:r w:rsidRPr="00B2355C" w:rsidDel="003D0285">
        <w:rPr>
          <w:rFonts w:eastAsia="Calibri" w:cs="Arial"/>
          <w:szCs w:val="22"/>
        </w:rPr>
        <w:t>A</w:t>
      </w:r>
      <w:r w:rsidR="00506130" w:rsidRPr="00B2355C">
        <w:rPr>
          <w:rFonts w:eastAsia="Calibri" w:cs="Arial"/>
          <w:szCs w:val="22"/>
        </w:rPr>
        <w:t xml:space="preserve">rticle 14 </w:t>
      </w:r>
      <w:r w:rsidR="00186AB5">
        <w:rPr>
          <w:rFonts w:eastAsia="Calibri" w:cs="Arial"/>
          <w:szCs w:val="22"/>
        </w:rPr>
        <w:t>para 3 (</w:t>
      </w:r>
      <w:r w:rsidR="00F05A37" w:rsidRPr="00B2355C">
        <w:rPr>
          <w:rFonts w:eastAsia="Calibri" w:cs="Arial"/>
          <w:szCs w:val="22"/>
        </w:rPr>
        <w:t xml:space="preserve">partly) </w:t>
      </w:r>
      <w:r w:rsidR="00506130" w:rsidRPr="00B2355C">
        <w:rPr>
          <w:rFonts w:eastAsia="Calibri" w:cs="Arial"/>
          <w:szCs w:val="22"/>
        </w:rPr>
        <w:t>of Regulation 715/2007</w:t>
      </w:r>
      <w:r w:rsidR="00F05A37" w:rsidRPr="00B2355C">
        <w:rPr>
          <w:rFonts w:eastAsia="Calibri" w:cs="Arial"/>
          <w:szCs w:val="22"/>
        </w:rPr>
        <w:t xml:space="preserve"> (row 68, 69</w:t>
      </w:r>
      <w:r w:rsidR="00506130" w:rsidRPr="00B2355C">
        <w:rPr>
          <w:rFonts w:eastAsia="Calibri" w:cs="Arial"/>
          <w:szCs w:val="22"/>
        </w:rPr>
        <w:t>,</w:t>
      </w:r>
      <w:r w:rsidR="004C128B" w:rsidRPr="00B2355C">
        <w:rPr>
          <w:rFonts w:eastAsia="Calibri" w:cs="Arial"/>
          <w:szCs w:val="22"/>
        </w:rPr>
        <w:t xml:space="preserve"> 78, </w:t>
      </w:r>
      <w:r w:rsidR="00506130" w:rsidRPr="00B2355C">
        <w:rPr>
          <w:rFonts w:eastAsia="Calibri" w:cs="Arial"/>
          <w:szCs w:val="22"/>
        </w:rPr>
        <w:t>79 and 82),</w:t>
      </w:r>
    </w:p>
    <w:p w14:paraId="37C0060B" w14:textId="69DCC96E" w:rsidR="004C128B" w:rsidRPr="00B2355C" w:rsidRDefault="00506130" w:rsidP="00587CD9">
      <w:pPr>
        <w:pStyle w:val="ListParagraph"/>
        <w:numPr>
          <w:ilvl w:val="1"/>
          <w:numId w:val="7"/>
        </w:numPr>
        <w:spacing w:line="360" w:lineRule="auto"/>
        <w:jc w:val="left"/>
        <w:rPr>
          <w:rFonts w:eastAsia="Calibri" w:cs="Arial"/>
          <w:b/>
          <w:i/>
          <w:szCs w:val="22"/>
        </w:rPr>
      </w:pPr>
      <w:r w:rsidRPr="00B2355C">
        <w:rPr>
          <w:rFonts w:eastAsia="Calibri" w:cs="Arial"/>
          <w:szCs w:val="22"/>
        </w:rPr>
        <w:t xml:space="preserve">Article 15 of Regulation 715/2007 (row 84) </w:t>
      </w:r>
    </w:p>
    <w:p w14:paraId="450A4F3A" w14:textId="5A611EFF" w:rsidR="00647D3A" w:rsidRPr="00647D3A" w:rsidRDefault="00647D3A" w:rsidP="00814C25">
      <w:pPr>
        <w:spacing w:line="360" w:lineRule="auto"/>
        <w:contextualSpacing/>
        <w:jc w:val="left"/>
        <w:rPr>
          <w:rFonts w:eastAsia="Calibri" w:cs="Arial"/>
          <w:b/>
          <w:i/>
          <w:szCs w:val="22"/>
        </w:rPr>
      </w:pPr>
    </w:p>
    <w:p w14:paraId="20589B2E" w14:textId="6C4D309D" w:rsidR="008765BE" w:rsidRPr="00D34BE4" w:rsidRDefault="00647D3A" w:rsidP="00186AB5">
      <w:pPr>
        <w:numPr>
          <w:ilvl w:val="0"/>
          <w:numId w:val="1"/>
        </w:numPr>
        <w:spacing w:line="360" w:lineRule="auto"/>
        <w:contextualSpacing/>
        <w:jc w:val="left"/>
        <w:rPr>
          <w:rFonts w:eastAsia="Calibri" w:cs="Arial"/>
          <w:b/>
          <w:szCs w:val="22"/>
        </w:rPr>
      </w:pPr>
      <w:r w:rsidRPr="00D34BE4">
        <w:rPr>
          <w:rFonts w:eastAsia="Calibri" w:cs="Arial"/>
          <w:b/>
          <w:szCs w:val="22"/>
        </w:rPr>
        <w:t>Conclusion</w:t>
      </w:r>
      <w:r w:rsidR="00587CD9" w:rsidRPr="00D34BE4">
        <w:rPr>
          <w:rFonts w:eastAsia="Calibri" w:cs="Arial"/>
          <w:b/>
          <w:szCs w:val="22"/>
        </w:rPr>
        <w:t xml:space="preserve"> and next steps</w:t>
      </w:r>
    </w:p>
    <w:sectPr w:rsidR="008765BE" w:rsidRPr="00D34BE4" w:rsidSect="00F36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4FB9" w14:textId="77777777" w:rsidR="00800CC8" w:rsidRDefault="00800CC8">
      <w:r>
        <w:separator/>
      </w:r>
    </w:p>
  </w:endnote>
  <w:endnote w:type="continuationSeparator" w:id="0">
    <w:p w14:paraId="216ACCCF" w14:textId="77777777" w:rsidR="00800CC8" w:rsidRDefault="0080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8AB8" w14:textId="77777777" w:rsidR="00677C57" w:rsidRDefault="00F97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93DA" w14:textId="77777777" w:rsidR="00677C57" w:rsidRDefault="00F97D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4D54" w14:textId="77777777" w:rsidR="00677C57" w:rsidRDefault="00F97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51B3" w14:textId="77777777" w:rsidR="00800CC8" w:rsidRDefault="00800CC8">
      <w:r>
        <w:separator/>
      </w:r>
    </w:p>
  </w:footnote>
  <w:footnote w:type="continuationSeparator" w:id="0">
    <w:p w14:paraId="24077A63" w14:textId="77777777" w:rsidR="00800CC8" w:rsidRDefault="0080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B8AF4" w14:textId="77777777" w:rsidR="00677C57" w:rsidRDefault="00F97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B6CB" w14:textId="77777777" w:rsidR="00677C57" w:rsidRDefault="00F97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B430" w14:textId="77777777" w:rsidR="00677C57" w:rsidRDefault="00F97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784"/>
    <w:multiLevelType w:val="hybridMultilevel"/>
    <w:tmpl w:val="4150FC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057AA"/>
    <w:multiLevelType w:val="hybridMultilevel"/>
    <w:tmpl w:val="F38AB59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A1CA8"/>
    <w:multiLevelType w:val="hybridMultilevel"/>
    <w:tmpl w:val="253A8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85210"/>
    <w:multiLevelType w:val="hybridMultilevel"/>
    <w:tmpl w:val="B7C22670"/>
    <w:lvl w:ilvl="0" w:tplc="4DFC3B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0E716C"/>
    <w:multiLevelType w:val="hybridMultilevel"/>
    <w:tmpl w:val="F3000A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C472F"/>
    <w:multiLevelType w:val="hybridMultilevel"/>
    <w:tmpl w:val="2BDA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B539D"/>
    <w:multiLevelType w:val="hybridMultilevel"/>
    <w:tmpl w:val="00169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03C37"/>
    <w:multiLevelType w:val="hybridMultilevel"/>
    <w:tmpl w:val="9D1841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F71609"/>
    <w:multiLevelType w:val="hybridMultilevel"/>
    <w:tmpl w:val="27C07B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3A"/>
    <w:rsid w:val="000836AF"/>
    <w:rsid w:val="00150B4B"/>
    <w:rsid w:val="00186AB5"/>
    <w:rsid w:val="002717AF"/>
    <w:rsid w:val="002D36D9"/>
    <w:rsid w:val="00405FB7"/>
    <w:rsid w:val="00485B18"/>
    <w:rsid w:val="004C128B"/>
    <w:rsid w:val="004C2DA8"/>
    <w:rsid w:val="004F6199"/>
    <w:rsid w:val="00506130"/>
    <w:rsid w:val="005762E3"/>
    <w:rsid w:val="00587C61"/>
    <w:rsid w:val="00587CD9"/>
    <w:rsid w:val="006376B2"/>
    <w:rsid w:val="00647D3A"/>
    <w:rsid w:val="00727BA6"/>
    <w:rsid w:val="007A489E"/>
    <w:rsid w:val="00800CC8"/>
    <w:rsid w:val="00814C25"/>
    <w:rsid w:val="00822D01"/>
    <w:rsid w:val="008765BE"/>
    <w:rsid w:val="00887711"/>
    <w:rsid w:val="00952E18"/>
    <w:rsid w:val="009E1EA2"/>
    <w:rsid w:val="00A260F6"/>
    <w:rsid w:val="00AC1C0C"/>
    <w:rsid w:val="00B043DD"/>
    <w:rsid w:val="00B2355C"/>
    <w:rsid w:val="00BB5B52"/>
    <w:rsid w:val="00BE3B50"/>
    <w:rsid w:val="00CE66B6"/>
    <w:rsid w:val="00D34BE4"/>
    <w:rsid w:val="00D77003"/>
    <w:rsid w:val="00DB2DD4"/>
    <w:rsid w:val="00E22BEF"/>
    <w:rsid w:val="00F01E87"/>
    <w:rsid w:val="00F05A37"/>
    <w:rsid w:val="00F46D24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B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47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D3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7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D3A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C128B"/>
    <w:rPr>
      <w:rFonts w:cs="Arial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36AF"/>
    <w:rPr>
      <w:rFonts w:cs="Arial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DA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DA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2021-01-12T20:13:00Z</dcterms:created>
  <dcterms:modified xsi:type="dcterms:W3CDTF">2021-01-12T20:13:00Z</dcterms:modified>
</cp:coreProperties>
</file>