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1510" w14:textId="77777777" w:rsidR="00B056B1" w:rsidRDefault="00B056B1" w:rsidP="00B056B1">
      <w:pPr>
        <w:spacing w:after="120"/>
        <w:jc w:val="center"/>
        <w:rPr>
          <w:b/>
          <w:u w:val="single"/>
          <w:lang w:val="en-US"/>
        </w:rPr>
      </w:pPr>
      <w:r>
        <w:rPr>
          <w:b/>
          <w:u w:val="single"/>
          <w:lang w:val="en-US"/>
        </w:rPr>
        <w:t xml:space="preserve">CHECKLIST </w:t>
      </w:r>
    </w:p>
    <w:p w14:paraId="750A5B3A" w14:textId="2961C1DC" w:rsidR="00E81A92" w:rsidRDefault="00B056B1" w:rsidP="00B056B1">
      <w:pPr>
        <w:spacing w:after="120"/>
        <w:ind w:left="-284"/>
        <w:jc w:val="center"/>
        <w:rPr>
          <w:b/>
          <w:u w:val="single"/>
          <w:lang w:val="en-US"/>
        </w:rPr>
      </w:pPr>
      <w:r>
        <w:rPr>
          <w:b/>
          <w:u w:val="single"/>
          <w:lang w:val="en-US"/>
        </w:rPr>
        <w:t>For reporting according to Regulation (EU) 1233/2011</w:t>
      </w:r>
    </w:p>
    <w:p w14:paraId="2656CD7F" w14:textId="77777777" w:rsidR="00B056B1" w:rsidRPr="00012037" w:rsidRDefault="00B056B1" w:rsidP="00B056B1">
      <w:pPr>
        <w:spacing w:after="120"/>
        <w:ind w:left="-284"/>
        <w:rPr>
          <w:b/>
          <w:lang w:val="en-US"/>
        </w:rPr>
      </w:pPr>
    </w:p>
    <w:p w14:paraId="295AC00D" w14:textId="77777777" w:rsidR="00072C22" w:rsidRPr="00012037" w:rsidRDefault="00A53979" w:rsidP="003F394B">
      <w:pPr>
        <w:outlineLvl w:val="0"/>
        <w:rPr>
          <w:b/>
          <w:lang w:val="en-US"/>
        </w:rPr>
      </w:pPr>
      <w:r w:rsidRPr="00012037">
        <w:rPr>
          <w:b/>
          <w:lang w:val="en-US"/>
        </w:rPr>
        <w:t xml:space="preserve">I. </w:t>
      </w:r>
      <w:r w:rsidRPr="00012037">
        <w:rPr>
          <w:b/>
          <w:lang w:val="en-US"/>
        </w:rPr>
        <w:tab/>
        <w:t>Reporting country i</w:t>
      </w:r>
      <w:r w:rsidR="00072C22" w:rsidRPr="00012037">
        <w:rPr>
          <w:b/>
          <w:lang w:val="en-US"/>
        </w:rPr>
        <w:t>nformation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961"/>
      </w:tblGrid>
      <w:tr w:rsidR="003F1258" w:rsidRPr="00012037" w14:paraId="42F6BC5C" w14:textId="77777777" w:rsidTr="001B138A">
        <w:tc>
          <w:tcPr>
            <w:tcW w:w="4395" w:type="dxa"/>
          </w:tcPr>
          <w:p w14:paraId="19866F7E" w14:textId="77777777" w:rsidR="003F1258" w:rsidRPr="00012037" w:rsidRDefault="003F1258" w:rsidP="00072C22">
            <w:pPr>
              <w:rPr>
                <w:lang w:val="en-US"/>
              </w:rPr>
            </w:pPr>
            <w:r w:rsidRPr="00012037">
              <w:rPr>
                <w:lang w:val="en-US"/>
              </w:rPr>
              <w:t>Reporting Country</w:t>
            </w:r>
          </w:p>
        </w:tc>
        <w:tc>
          <w:tcPr>
            <w:tcW w:w="4961" w:type="dxa"/>
          </w:tcPr>
          <w:p w14:paraId="556FF429" w14:textId="77777777" w:rsidR="003F1258" w:rsidRPr="002E08B2" w:rsidRDefault="002E08B2" w:rsidP="00072C22">
            <w:pPr>
              <w:rPr>
                <w:color w:val="0070C0"/>
                <w:lang w:val="en-US"/>
              </w:rPr>
            </w:pPr>
            <w:r>
              <w:rPr>
                <w:color w:val="0070C0"/>
                <w:lang w:val="en-US"/>
              </w:rPr>
              <w:t>Denmark</w:t>
            </w:r>
          </w:p>
        </w:tc>
      </w:tr>
      <w:tr w:rsidR="003F1258" w:rsidRPr="00012037" w14:paraId="2D086E9F" w14:textId="77777777" w:rsidTr="001B138A">
        <w:tc>
          <w:tcPr>
            <w:tcW w:w="4395" w:type="dxa"/>
          </w:tcPr>
          <w:p w14:paraId="0EA4EBBE" w14:textId="77777777" w:rsidR="003F1258" w:rsidRPr="00012037" w:rsidRDefault="003F1258" w:rsidP="00072C22">
            <w:pPr>
              <w:rPr>
                <w:lang w:val="en-US"/>
              </w:rPr>
            </w:pPr>
            <w:r w:rsidRPr="00012037">
              <w:rPr>
                <w:lang w:val="en-US"/>
              </w:rPr>
              <w:t>Submission Date</w:t>
            </w:r>
          </w:p>
        </w:tc>
        <w:tc>
          <w:tcPr>
            <w:tcW w:w="4961" w:type="dxa"/>
          </w:tcPr>
          <w:p w14:paraId="67F49516" w14:textId="6A4B08EE" w:rsidR="003F1258" w:rsidRPr="00AB5F63" w:rsidRDefault="00B056B1" w:rsidP="00B056B1">
            <w:pPr>
              <w:rPr>
                <w:color w:val="4F81BD"/>
                <w:lang w:val="en-US"/>
              </w:rPr>
            </w:pPr>
            <w:r>
              <w:rPr>
                <w:color w:val="4F81BD"/>
                <w:lang w:val="en-US"/>
              </w:rPr>
              <w:t>18</w:t>
            </w:r>
            <w:bookmarkStart w:id="0" w:name="_GoBack"/>
            <w:bookmarkEnd w:id="0"/>
            <w:r>
              <w:rPr>
                <w:color w:val="4F81BD"/>
                <w:lang w:val="en-US"/>
              </w:rPr>
              <w:t xml:space="preserve"> July </w:t>
            </w:r>
            <w:r w:rsidR="002E08B2">
              <w:rPr>
                <w:color w:val="4F81BD"/>
                <w:lang w:val="en-US"/>
              </w:rPr>
              <w:t>2012</w:t>
            </w:r>
          </w:p>
        </w:tc>
      </w:tr>
      <w:tr w:rsidR="003F1258" w:rsidRPr="00012037" w14:paraId="6386616D" w14:textId="77777777" w:rsidTr="001B138A">
        <w:tc>
          <w:tcPr>
            <w:tcW w:w="4395" w:type="dxa"/>
          </w:tcPr>
          <w:p w14:paraId="37888661" w14:textId="77777777" w:rsidR="003F1258" w:rsidRPr="00012037" w:rsidRDefault="003F1258" w:rsidP="008908EA">
            <w:pPr>
              <w:jc w:val="left"/>
              <w:rPr>
                <w:lang w:val="en-US"/>
              </w:rPr>
            </w:pPr>
            <w:r w:rsidRPr="00012037">
              <w:rPr>
                <w:lang w:val="en-US"/>
              </w:rPr>
              <w:t>Reporting Institution</w:t>
            </w:r>
            <w:r w:rsidR="00012037" w:rsidRPr="00012037">
              <w:rPr>
                <w:lang w:val="en-US"/>
              </w:rPr>
              <w:t xml:space="preserve"> (Government Department, ECA)</w:t>
            </w:r>
            <w:r w:rsidRPr="00012037">
              <w:rPr>
                <w:lang w:val="en-US"/>
              </w:rPr>
              <w:t xml:space="preserve"> </w:t>
            </w:r>
          </w:p>
        </w:tc>
        <w:tc>
          <w:tcPr>
            <w:tcW w:w="4961" w:type="dxa"/>
          </w:tcPr>
          <w:p w14:paraId="0B980F0F" w14:textId="77777777" w:rsidR="003F1258" w:rsidRPr="00AB5F63" w:rsidRDefault="002E08B2" w:rsidP="002424A4">
            <w:pPr>
              <w:rPr>
                <w:color w:val="4F81BD"/>
                <w:lang w:val="en-US"/>
              </w:rPr>
            </w:pPr>
            <w:r>
              <w:rPr>
                <w:color w:val="4F81BD"/>
                <w:lang w:val="en-US"/>
              </w:rPr>
              <w:t>Eksport Kredit Fonden (EKF)</w:t>
            </w:r>
          </w:p>
        </w:tc>
      </w:tr>
    </w:tbl>
    <w:p w14:paraId="35548E88" w14:textId="77777777" w:rsidR="00012037" w:rsidRPr="00012037" w:rsidRDefault="00012037" w:rsidP="003F394B">
      <w:pPr>
        <w:outlineLvl w:val="0"/>
        <w:rPr>
          <w:b/>
          <w:lang w:val="en-US"/>
        </w:rPr>
      </w:pPr>
    </w:p>
    <w:p w14:paraId="07ECBB85" w14:textId="77777777" w:rsidR="00072C22" w:rsidRPr="00012037" w:rsidRDefault="00A53979" w:rsidP="003F394B">
      <w:pPr>
        <w:outlineLvl w:val="0"/>
        <w:rPr>
          <w:b/>
          <w:lang w:val="en-US"/>
        </w:rPr>
      </w:pPr>
      <w:r w:rsidRPr="00012037">
        <w:rPr>
          <w:b/>
          <w:lang w:val="en-US"/>
        </w:rPr>
        <w:t>II.</w:t>
      </w:r>
      <w:r w:rsidRPr="00012037">
        <w:rPr>
          <w:b/>
          <w:lang w:val="en-US"/>
        </w:rPr>
        <w:tab/>
      </w:r>
      <w:r w:rsidR="00072C22" w:rsidRPr="00012037">
        <w:rPr>
          <w:b/>
          <w:lang w:val="en-US"/>
        </w:rPr>
        <w:t xml:space="preserve">Reporting country legal and policy information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3F1258" w:rsidRPr="00012037" w14:paraId="2FC0AF08" w14:textId="77777777" w:rsidTr="001B138A">
        <w:tc>
          <w:tcPr>
            <w:tcW w:w="4395" w:type="dxa"/>
          </w:tcPr>
          <w:p w14:paraId="1FE29511" w14:textId="77777777" w:rsidR="003F1258" w:rsidRPr="00012037" w:rsidRDefault="003F1258" w:rsidP="00072C22">
            <w:pPr>
              <w:rPr>
                <w:lang w:val="en-US"/>
              </w:rPr>
            </w:pPr>
            <w:r w:rsidRPr="00012037">
              <w:rPr>
                <w:lang w:val="en-US"/>
              </w:rPr>
              <w:t>Mandate/Legal status of ECA</w:t>
            </w:r>
          </w:p>
        </w:tc>
        <w:tc>
          <w:tcPr>
            <w:tcW w:w="4961" w:type="dxa"/>
          </w:tcPr>
          <w:p w14:paraId="527D660C" w14:textId="77777777" w:rsidR="003F1258" w:rsidRPr="002E08B2" w:rsidRDefault="002E08B2" w:rsidP="002E08B2">
            <w:pPr>
              <w:rPr>
                <w:color w:val="0070C0"/>
              </w:rPr>
            </w:pPr>
            <w:r w:rsidRPr="002E08B2">
              <w:rPr>
                <w:color w:val="0070C0"/>
              </w:rPr>
              <w:t>EKF is an independent administrative unit under the Danish State</w:t>
            </w:r>
          </w:p>
        </w:tc>
      </w:tr>
      <w:tr w:rsidR="00BA70CA" w:rsidRPr="00012037" w14:paraId="66DB41D3" w14:textId="77777777" w:rsidTr="00980422">
        <w:tc>
          <w:tcPr>
            <w:tcW w:w="4395" w:type="dxa"/>
          </w:tcPr>
          <w:p w14:paraId="0E078320" w14:textId="77777777" w:rsidR="00BA70CA" w:rsidRDefault="00BA70CA" w:rsidP="00072C22">
            <w:pPr>
              <w:rPr>
                <w:lang w:val="en-US"/>
              </w:rPr>
            </w:pPr>
            <w:r w:rsidRPr="00012037">
              <w:rPr>
                <w:lang w:val="en-US"/>
              </w:rPr>
              <w:t xml:space="preserve">Officially supported export credit </w:t>
            </w:r>
          </w:p>
          <w:p w14:paraId="513E2576" w14:textId="77777777" w:rsidR="00BA70CA" w:rsidRPr="00012037" w:rsidRDefault="00BA70CA" w:rsidP="00072C22">
            <w:pPr>
              <w:rPr>
                <w:lang w:val="en-US"/>
              </w:rPr>
            </w:pPr>
            <w:r w:rsidRPr="00012037">
              <w:rPr>
                <w:lang w:val="en-US"/>
              </w:rPr>
              <w:t>programs</w:t>
            </w:r>
            <w:r>
              <w:rPr>
                <w:lang w:val="en-US"/>
              </w:rPr>
              <w:t xml:space="preserve">(in the sense of Article 5 of the OECD Arrangement) </w:t>
            </w:r>
            <w:r w:rsidRPr="00012037">
              <w:rPr>
                <w:lang w:val="en-US"/>
              </w:rPr>
              <w:t>during reporting period</w:t>
            </w:r>
          </w:p>
        </w:tc>
        <w:tc>
          <w:tcPr>
            <w:tcW w:w="4961" w:type="dxa"/>
          </w:tcPr>
          <w:p w14:paraId="582FFA9B" w14:textId="77777777" w:rsidR="00BA70CA" w:rsidRPr="0021353C" w:rsidRDefault="00BA70CA" w:rsidP="00B609B5">
            <w:pPr>
              <w:numPr>
                <w:ilvl w:val="0"/>
                <w:numId w:val="8"/>
              </w:numPr>
              <w:rPr>
                <w:color w:val="0070C0"/>
                <w:lang w:val="en-US"/>
              </w:rPr>
            </w:pPr>
            <w:r w:rsidRPr="0021353C">
              <w:rPr>
                <w:color w:val="0070C0"/>
                <w:lang w:val="en-US"/>
              </w:rPr>
              <w:t>Buyer credit guarantee</w:t>
            </w:r>
          </w:p>
          <w:p w14:paraId="43ADE4E0" w14:textId="77777777" w:rsidR="00BA70CA" w:rsidRDefault="00BA70CA" w:rsidP="00B609B5">
            <w:pPr>
              <w:numPr>
                <w:ilvl w:val="0"/>
                <w:numId w:val="8"/>
              </w:numPr>
              <w:rPr>
                <w:color w:val="0070C0"/>
                <w:lang w:val="en-US"/>
              </w:rPr>
            </w:pPr>
            <w:r>
              <w:rPr>
                <w:color w:val="0070C0"/>
                <w:lang w:val="en-US"/>
              </w:rPr>
              <w:t>Financing guarantee</w:t>
            </w:r>
          </w:p>
          <w:p w14:paraId="013233AE" w14:textId="77777777" w:rsidR="00BA70CA" w:rsidRPr="0021353C" w:rsidRDefault="00BA70CA" w:rsidP="00B609B5">
            <w:pPr>
              <w:numPr>
                <w:ilvl w:val="0"/>
                <w:numId w:val="8"/>
              </w:numPr>
              <w:rPr>
                <w:color w:val="0070C0"/>
                <w:lang w:val="en-US"/>
              </w:rPr>
            </w:pPr>
            <w:r w:rsidRPr="0021353C">
              <w:rPr>
                <w:color w:val="0070C0"/>
                <w:lang w:val="en-US"/>
              </w:rPr>
              <w:t xml:space="preserve">Project </w:t>
            </w:r>
            <w:r w:rsidR="00D76085">
              <w:rPr>
                <w:color w:val="0070C0"/>
                <w:lang w:val="en-US"/>
              </w:rPr>
              <w:t xml:space="preserve">financing </w:t>
            </w:r>
            <w:r w:rsidRPr="0021353C">
              <w:rPr>
                <w:color w:val="0070C0"/>
                <w:lang w:val="en-US"/>
              </w:rPr>
              <w:t>guarantee</w:t>
            </w:r>
          </w:p>
          <w:p w14:paraId="7DF54691" w14:textId="77777777" w:rsidR="00BA70CA" w:rsidRPr="0021353C" w:rsidRDefault="00BA70CA" w:rsidP="00635214">
            <w:pPr>
              <w:numPr>
                <w:ilvl w:val="0"/>
                <w:numId w:val="8"/>
              </w:numPr>
              <w:rPr>
                <w:color w:val="0070C0"/>
                <w:lang w:val="en-US"/>
              </w:rPr>
            </w:pPr>
            <w:r w:rsidRPr="0021353C">
              <w:rPr>
                <w:color w:val="0070C0"/>
                <w:lang w:val="en-US"/>
              </w:rPr>
              <w:t>Supplier credit guarantee</w:t>
            </w:r>
          </w:p>
          <w:p w14:paraId="45A116E5" w14:textId="77777777" w:rsidR="00BA70CA" w:rsidRDefault="00BA70CA" w:rsidP="00635214">
            <w:pPr>
              <w:numPr>
                <w:ilvl w:val="0"/>
                <w:numId w:val="8"/>
              </w:numPr>
              <w:rPr>
                <w:color w:val="0070C0"/>
                <w:lang w:val="en-US"/>
              </w:rPr>
            </w:pPr>
            <w:r w:rsidRPr="0021353C">
              <w:rPr>
                <w:color w:val="0070C0"/>
                <w:lang w:val="en-US"/>
              </w:rPr>
              <w:t>SME guara</w:t>
            </w:r>
            <w:r>
              <w:rPr>
                <w:color w:val="0070C0"/>
                <w:lang w:val="en-US"/>
              </w:rPr>
              <w:t>ntee</w:t>
            </w:r>
          </w:p>
          <w:p w14:paraId="012508BC" w14:textId="77777777" w:rsidR="00BA70CA" w:rsidRPr="00635214" w:rsidRDefault="00D76085" w:rsidP="00635214">
            <w:pPr>
              <w:numPr>
                <w:ilvl w:val="0"/>
                <w:numId w:val="8"/>
              </w:numPr>
              <w:rPr>
                <w:color w:val="548DD4"/>
                <w:lang w:val="en-US"/>
              </w:rPr>
            </w:pPr>
            <w:r>
              <w:rPr>
                <w:color w:val="0070C0"/>
                <w:lang w:val="en-US"/>
              </w:rPr>
              <w:t>Mixed Credits/</w:t>
            </w:r>
            <w:r w:rsidR="00BA70CA">
              <w:rPr>
                <w:color w:val="0070C0"/>
                <w:lang w:val="en-US"/>
              </w:rPr>
              <w:t>Tied Aid (Danida/ Ministry of Foreign Affairs)</w:t>
            </w:r>
          </w:p>
          <w:p w14:paraId="3D63DC43" w14:textId="77777777" w:rsidR="00BA70CA" w:rsidRPr="0021353C" w:rsidRDefault="00BA70CA" w:rsidP="00635214">
            <w:pPr>
              <w:numPr>
                <w:ilvl w:val="0"/>
                <w:numId w:val="8"/>
              </w:numPr>
              <w:rPr>
                <w:color w:val="0070C0"/>
                <w:lang w:val="en-US"/>
              </w:rPr>
            </w:pPr>
            <w:r>
              <w:rPr>
                <w:color w:val="0070C0"/>
                <w:lang w:val="en-US"/>
              </w:rPr>
              <w:t>The Danish Export Lending Scheme</w:t>
            </w:r>
            <w:r w:rsidR="004D5AD9">
              <w:rPr>
                <w:color w:val="0070C0"/>
                <w:lang w:val="en-US"/>
              </w:rPr>
              <w:t xml:space="preserve"> (ELO)</w:t>
            </w:r>
          </w:p>
          <w:p w14:paraId="3B05C174" w14:textId="77777777" w:rsidR="00BA70CA" w:rsidRPr="00AB5F63" w:rsidRDefault="00BA70CA" w:rsidP="006831DD">
            <w:pPr>
              <w:ind w:left="720"/>
              <w:rPr>
                <w:color w:val="548DD4"/>
                <w:lang w:val="en-US"/>
              </w:rPr>
            </w:pPr>
          </w:p>
        </w:tc>
      </w:tr>
      <w:tr w:rsidR="003F1258" w:rsidRPr="00012037" w14:paraId="1DE5B91B" w14:textId="77777777" w:rsidTr="001B138A">
        <w:tc>
          <w:tcPr>
            <w:tcW w:w="4395" w:type="dxa"/>
          </w:tcPr>
          <w:p w14:paraId="04792ED2" w14:textId="77777777" w:rsidR="00012037" w:rsidRDefault="003F1258" w:rsidP="00072C22">
            <w:pPr>
              <w:rPr>
                <w:lang w:val="en-US"/>
              </w:rPr>
            </w:pPr>
            <w:r w:rsidRPr="00012037">
              <w:rPr>
                <w:lang w:val="en-US"/>
              </w:rPr>
              <w:t xml:space="preserve">Annual reports available on reporting </w:t>
            </w:r>
          </w:p>
          <w:p w14:paraId="3805E8BC" w14:textId="77777777" w:rsidR="003F1258" w:rsidRPr="00012037" w:rsidRDefault="003F1258" w:rsidP="00072C22">
            <w:pPr>
              <w:rPr>
                <w:lang w:val="en-US"/>
              </w:rPr>
            </w:pPr>
            <w:r w:rsidRPr="00012037">
              <w:rPr>
                <w:lang w:val="en-US"/>
              </w:rPr>
              <w:t>year</w:t>
            </w:r>
          </w:p>
        </w:tc>
        <w:tc>
          <w:tcPr>
            <w:tcW w:w="4961" w:type="dxa"/>
          </w:tcPr>
          <w:p w14:paraId="55BE41D9" w14:textId="77777777" w:rsidR="007961DA" w:rsidRPr="007961DA" w:rsidRDefault="007961DA" w:rsidP="001B138A">
            <w:pPr>
              <w:rPr>
                <w:color w:val="0070C0"/>
                <w:lang w:val="en-US"/>
              </w:rPr>
            </w:pPr>
            <w:r w:rsidRPr="007961DA">
              <w:rPr>
                <w:color w:val="0070C0"/>
                <w:lang w:val="en-US"/>
              </w:rPr>
              <w:t xml:space="preserve">The annual report together with the CSR report for 2011 has been </w:t>
            </w:r>
            <w:r w:rsidR="001B138A" w:rsidRPr="007961DA">
              <w:rPr>
                <w:color w:val="0070C0"/>
                <w:lang w:val="en-US"/>
              </w:rPr>
              <w:t xml:space="preserve">published on </w:t>
            </w:r>
            <w:r w:rsidR="00E757FD">
              <w:rPr>
                <w:color w:val="0070C0"/>
                <w:lang w:val="en-US"/>
              </w:rPr>
              <w:t>16 April</w:t>
            </w:r>
            <w:r w:rsidRPr="007961DA">
              <w:rPr>
                <w:color w:val="0070C0"/>
                <w:lang w:val="en-US"/>
              </w:rPr>
              <w:t xml:space="preserve"> 2012.</w:t>
            </w:r>
          </w:p>
          <w:p w14:paraId="7EF0FB98" w14:textId="77777777" w:rsidR="001B138A" w:rsidRPr="007961DA" w:rsidRDefault="007961DA" w:rsidP="001B138A">
            <w:pPr>
              <w:rPr>
                <w:color w:val="0070C0"/>
                <w:lang w:val="en-US"/>
              </w:rPr>
            </w:pPr>
            <w:r w:rsidRPr="007961DA">
              <w:rPr>
                <w:color w:val="0070C0"/>
                <w:lang w:val="en-US"/>
              </w:rPr>
              <w:t xml:space="preserve">Both are publicly available at </w:t>
            </w:r>
          </w:p>
          <w:p w14:paraId="7DF0E748" w14:textId="77777777" w:rsidR="003F1258" w:rsidRPr="00AB5F63" w:rsidRDefault="001B138A" w:rsidP="001B138A">
            <w:pPr>
              <w:rPr>
                <w:color w:val="4F81BD"/>
                <w:lang w:val="en-US"/>
              </w:rPr>
            </w:pPr>
            <w:r w:rsidRPr="007961DA">
              <w:rPr>
                <w:color w:val="0070C0"/>
                <w:lang w:val="en-US"/>
              </w:rPr>
              <w:t xml:space="preserve">www.ekf.dk </w:t>
            </w:r>
          </w:p>
        </w:tc>
      </w:tr>
    </w:tbl>
    <w:p w14:paraId="10FB15B5" w14:textId="77777777" w:rsidR="00012037" w:rsidRPr="00012037" w:rsidRDefault="00012037" w:rsidP="00305981">
      <w:pPr>
        <w:rPr>
          <w:b/>
          <w:lang w:val="en-US"/>
        </w:rPr>
      </w:pPr>
    </w:p>
    <w:p w14:paraId="0B7C6C84" w14:textId="77777777" w:rsidR="00253D33" w:rsidRPr="00012037" w:rsidRDefault="005E2974" w:rsidP="00305981">
      <w:pPr>
        <w:rPr>
          <w:b/>
          <w:lang w:val="en-US"/>
        </w:rPr>
      </w:pPr>
      <w:r w:rsidRPr="00012037">
        <w:rPr>
          <w:b/>
          <w:lang w:val="en-US"/>
        </w:rPr>
        <w:t>I</w:t>
      </w:r>
      <w:r w:rsidR="007D219F" w:rsidRPr="00012037">
        <w:rPr>
          <w:b/>
          <w:lang w:val="en-US"/>
        </w:rPr>
        <w:t>II</w:t>
      </w:r>
      <w:r w:rsidRPr="00012037">
        <w:rPr>
          <w:b/>
          <w:lang w:val="en-US"/>
        </w:rPr>
        <w:t>.</w:t>
      </w:r>
      <w:r w:rsidRPr="00012037">
        <w:rPr>
          <w:b/>
          <w:lang w:val="en-US"/>
        </w:rPr>
        <w:tab/>
      </w:r>
      <w:r w:rsidR="00253D33" w:rsidRPr="00012037">
        <w:rPr>
          <w:b/>
          <w:lang w:val="en-US"/>
        </w:rPr>
        <w:t xml:space="preserve">Information on the reporting </w:t>
      </w:r>
      <w:smartTag w:uri="urn:schemas-microsoft-com:office:smarttags" w:element="place">
        <w:smartTag w:uri="urn:schemas-microsoft-com:office:smarttags" w:element="PlaceName">
          <w:r w:rsidR="00253D33" w:rsidRPr="00012037">
            <w:rPr>
              <w:b/>
              <w:lang w:val="en-US"/>
            </w:rPr>
            <w:t>Member</w:t>
          </w:r>
        </w:smartTag>
        <w:r w:rsidR="00253D33" w:rsidRPr="00012037">
          <w:rPr>
            <w:b/>
            <w:lang w:val="en-US"/>
          </w:rPr>
          <w:t xml:space="preserve"> </w:t>
        </w:r>
        <w:smartTag w:uri="urn:schemas-microsoft-com:office:smarttags" w:element="PlaceType">
          <w:r w:rsidR="00253D33" w:rsidRPr="00012037">
            <w:rPr>
              <w:b/>
              <w:lang w:val="en-US"/>
            </w:rPr>
            <w:t>State</w:t>
          </w:r>
        </w:smartTag>
      </w:smartTag>
      <w:r w:rsidR="00253D33" w:rsidRPr="00012037">
        <w:rPr>
          <w:b/>
          <w:lang w:val="en-US"/>
        </w:rPr>
        <w:t>’s Export Credit policies: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93"/>
      </w:tblGrid>
      <w:tr w:rsidR="00253D33" w:rsidRPr="00012037" w14:paraId="3EE3F843" w14:textId="77777777" w:rsidTr="00014D5B">
        <w:tc>
          <w:tcPr>
            <w:tcW w:w="4395" w:type="dxa"/>
          </w:tcPr>
          <w:p w14:paraId="3F5BBA6D" w14:textId="77777777" w:rsidR="00253D33" w:rsidRPr="00012037" w:rsidRDefault="00CB578D" w:rsidP="00305981">
            <w:pPr>
              <w:rPr>
                <w:u w:val="single"/>
                <w:lang w:val="en-US"/>
              </w:rPr>
            </w:pPr>
            <w:r w:rsidRPr="00012037">
              <w:rPr>
                <w:lang w:val="en-US"/>
              </w:rPr>
              <w:t>General presentation of the reporting MS’ policies on export credits</w:t>
            </w:r>
            <w:r w:rsidRPr="006875D2">
              <w:rPr>
                <w:lang w:val="en-US"/>
              </w:rPr>
              <w:t>, including all information that can help the Commission in carrying out its evaluation regarding the compliance of the Export Credit Agencies with EU objectives and obligations</w:t>
            </w:r>
            <w:r w:rsidR="001B138A">
              <w:rPr>
                <w:rStyle w:val="Fodnotehenvisning"/>
                <w:lang w:val="en-US"/>
              </w:rPr>
              <w:footnoteReference w:id="1"/>
            </w:r>
            <w:r w:rsidR="00CB2FC4" w:rsidRPr="006875D2">
              <w:rPr>
                <w:lang w:val="en-US"/>
              </w:rPr>
              <w:t xml:space="preserve"> (in the sense of Art</w:t>
            </w:r>
            <w:r w:rsidR="006875D2" w:rsidRPr="006875D2">
              <w:rPr>
                <w:lang w:val="en-US"/>
              </w:rPr>
              <w:t>icle 3, Annex</w:t>
            </w:r>
            <w:r w:rsidR="00CB2FC4" w:rsidRPr="006875D2">
              <w:rPr>
                <w:lang w:val="en-US"/>
              </w:rPr>
              <w:t xml:space="preserve"> 1 of EU Regulation1233/2011)</w:t>
            </w:r>
          </w:p>
          <w:p w14:paraId="3D0BC376" w14:textId="77777777" w:rsidR="00012037" w:rsidRPr="00012037" w:rsidRDefault="00012037" w:rsidP="00305981">
            <w:pPr>
              <w:rPr>
                <w:lang w:val="en-US"/>
              </w:rPr>
            </w:pPr>
          </w:p>
        </w:tc>
        <w:tc>
          <w:tcPr>
            <w:tcW w:w="4993" w:type="dxa"/>
          </w:tcPr>
          <w:p w14:paraId="075653DF" w14:textId="77777777" w:rsidR="00E757FD" w:rsidRPr="00E757FD" w:rsidRDefault="00E757FD" w:rsidP="00E757FD">
            <w:pPr>
              <w:rPr>
                <w:color w:val="0070C0"/>
              </w:rPr>
            </w:pPr>
            <w:r w:rsidRPr="00E757FD">
              <w:rPr>
                <w:color w:val="0070C0"/>
              </w:rPr>
              <w:t>EKF aims to contribute to environmental and social sustainability. Consequently, an assessment of environmental and social factors is an integrated part of EKF’s risk analysis. EKF only takes on cases/projects where environmental and social factors comply with international standards.</w:t>
            </w:r>
          </w:p>
          <w:p w14:paraId="15DC48DD" w14:textId="77777777" w:rsidR="000B2E65" w:rsidRPr="00E757FD" w:rsidRDefault="000B2E65" w:rsidP="00303F33">
            <w:pPr>
              <w:rPr>
                <w:color w:val="0070C0"/>
              </w:rPr>
            </w:pPr>
          </w:p>
        </w:tc>
      </w:tr>
      <w:tr w:rsidR="001B138A" w:rsidRPr="00012037" w14:paraId="7A1CB98E" w14:textId="77777777" w:rsidTr="001B138A">
        <w:trPr>
          <w:trHeight w:val="3598"/>
        </w:trPr>
        <w:tc>
          <w:tcPr>
            <w:tcW w:w="4395" w:type="dxa"/>
          </w:tcPr>
          <w:p w14:paraId="4AB80219" w14:textId="77777777" w:rsidR="001B138A" w:rsidRPr="00012037" w:rsidRDefault="001B138A" w:rsidP="00305981">
            <w:pPr>
              <w:rPr>
                <w:lang w:val="en-US"/>
              </w:rPr>
            </w:pPr>
            <w:r w:rsidRPr="00012037">
              <w:rPr>
                <w:lang w:val="en-US"/>
              </w:rPr>
              <w:lastRenderedPageBreak/>
              <w:t>Special information on the following policies</w:t>
            </w:r>
            <w:r>
              <w:rPr>
                <w:lang w:val="en-US"/>
              </w:rPr>
              <w:t>:</w:t>
            </w:r>
          </w:p>
          <w:p w14:paraId="1035582B" w14:textId="77777777" w:rsidR="001B138A" w:rsidRPr="00012037" w:rsidRDefault="001B138A" w:rsidP="00305981">
            <w:pPr>
              <w:rPr>
                <w:lang w:val="en-US"/>
              </w:rPr>
            </w:pPr>
          </w:p>
          <w:p w14:paraId="6984305A" w14:textId="77777777" w:rsidR="001B138A" w:rsidRPr="001B138A" w:rsidRDefault="001B138A" w:rsidP="00305981">
            <w:pPr>
              <w:rPr>
                <w:i/>
                <w:lang w:val="en-US"/>
              </w:rPr>
            </w:pPr>
            <w:r w:rsidRPr="001B138A">
              <w:rPr>
                <w:i/>
                <w:u w:val="single"/>
                <w:lang w:val="en-US"/>
              </w:rPr>
              <w:t>1</w:t>
            </w:r>
            <w:r w:rsidRPr="001B138A">
              <w:rPr>
                <w:i/>
                <w:lang w:val="en-US"/>
              </w:rPr>
              <w:t>) Environment:</w:t>
            </w:r>
          </w:p>
          <w:p w14:paraId="0F3FD885" w14:textId="77777777" w:rsidR="001B138A" w:rsidRPr="006875D2" w:rsidRDefault="001B138A" w:rsidP="00305981">
            <w:pPr>
              <w:rPr>
                <w:lang w:val="en-US"/>
              </w:rPr>
            </w:pPr>
            <w:r w:rsidRPr="00012037">
              <w:rPr>
                <w:u w:val="single"/>
                <w:lang w:val="en-US"/>
              </w:rPr>
              <w:t>a</w:t>
            </w:r>
            <w:r w:rsidRPr="006875D2">
              <w:rPr>
                <w:lang w:val="en-US"/>
              </w:rPr>
              <w:t xml:space="preserve">) Do you apply the OECD Recommendation on Common Approaches to the Environment and Officially Supported Export Credits? </w:t>
            </w:r>
          </w:p>
          <w:p w14:paraId="1F622868" w14:textId="77777777" w:rsidR="001B138A" w:rsidRDefault="001B138A" w:rsidP="006875D2">
            <w:pPr>
              <w:rPr>
                <w:lang w:val="en-US"/>
              </w:rPr>
            </w:pPr>
            <w:r w:rsidRPr="006875D2">
              <w:rPr>
                <w:lang w:val="en-US"/>
              </w:rPr>
              <w:t>(its successor instrument the OECD Recommendation on Common Approaches on Officially Supported Export Credits and Environmental and Social Due Diligence?)</w:t>
            </w:r>
          </w:p>
          <w:p w14:paraId="13B4D934" w14:textId="77777777" w:rsidR="001B138A" w:rsidRPr="00012037" w:rsidRDefault="001B138A" w:rsidP="006875D2">
            <w:pPr>
              <w:rPr>
                <w:lang w:val="en-US"/>
              </w:rPr>
            </w:pPr>
          </w:p>
          <w:p w14:paraId="1BFD54F1" w14:textId="77777777" w:rsidR="001B138A" w:rsidRPr="00012037" w:rsidRDefault="001B138A" w:rsidP="00305981">
            <w:pPr>
              <w:rPr>
                <w:lang w:val="en-US"/>
              </w:rPr>
            </w:pPr>
            <w:r w:rsidRPr="006875D2">
              <w:rPr>
                <w:lang w:val="en-US"/>
              </w:rPr>
              <w:t>b) any other relevant information</w:t>
            </w:r>
          </w:p>
        </w:tc>
        <w:tc>
          <w:tcPr>
            <w:tcW w:w="4993" w:type="dxa"/>
          </w:tcPr>
          <w:p w14:paraId="60B06C1A" w14:textId="77777777" w:rsidR="00366FFC" w:rsidRDefault="00366FFC" w:rsidP="00305981">
            <w:pPr>
              <w:rPr>
                <w:color w:val="0070C0"/>
                <w:lang w:val="en-US"/>
              </w:rPr>
            </w:pPr>
          </w:p>
          <w:p w14:paraId="6B301761" w14:textId="77777777" w:rsidR="00366FFC" w:rsidRDefault="00366FFC" w:rsidP="00305981">
            <w:pPr>
              <w:rPr>
                <w:color w:val="0070C0"/>
                <w:lang w:val="en-US"/>
              </w:rPr>
            </w:pPr>
            <w:r>
              <w:rPr>
                <w:color w:val="0070C0"/>
                <w:lang w:val="en-US"/>
              </w:rPr>
              <w:t>a)</w:t>
            </w:r>
            <w:r w:rsidR="004D5AD9">
              <w:rPr>
                <w:color w:val="0070C0"/>
                <w:lang w:val="en-US"/>
              </w:rPr>
              <w:t xml:space="preserve"> </w:t>
            </w:r>
            <w:r>
              <w:rPr>
                <w:color w:val="0070C0"/>
                <w:lang w:val="en-US"/>
              </w:rPr>
              <w:t>Yes</w:t>
            </w:r>
            <w:r w:rsidR="004D5AD9">
              <w:rPr>
                <w:color w:val="0070C0"/>
                <w:lang w:val="en-US"/>
              </w:rPr>
              <w:t>,</w:t>
            </w:r>
            <w:r>
              <w:rPr>
                <w:color w:val="0070C0"/>
                <w:lang w:val="en-US"/>
              </w:rPr>
              <w:t xml:space="preserve"> EKF applies OECD Common Approaches</w:t>
            </w:r>
            <w:r w:rsidR="004D5AD9">
              <w:rPr>
                <w:color w:val="0070C0"/>
                <w:lang w:val="en-US"/>
              </w:rPr>
              <w:t>.</w:t>
            </w:r>
          </w:p>
          <w:p w14:paraId="2EFDE0B2" w14:textId="77777777" w:rsidR="00366FFC" w:rsidRDefault="00366FFC" w:rsidP="00305981">
            <w:pPr>
              <w:rPr>
                <w:color w:val="0070C0"/>
                <w:lang w:val="en-US"/>
              </w:rPr>
            </w:pPr>
          </w:p>
          <w:p w14:paraId="5CA1DB43" w14:textId="77777777" w:rsidR="00E757FD" w:rsidRPr="00303F33" w:rsidRDefault="00366FFC" w:rsidP="00E757FD">
            <w:r>
              <w:rPr>
                <w:color w:val="0070C0"/>
                <w:lang w:val="en-US"/>
              </w:rPr>
              <w:t>b)</w:t>
            </w:r>
            <w:r w:rsidR="00E757FD" w:rsidRPr="00303F33">
              <w:t xml:space="preserve"> </w:t>
            </w:r>
            <w:r w:rsidR="00E757FD" w:rsidRPr="00E726F9">
              <w:rPr>
                <w:color w:val="0070C0"/>
              </w:rPr>
              <w:t xml:space="preserve">In the cases that EKF guarantees we work to ensure that environmental impacts through wastewater discharge, air emissions and solid waste are minimised as far as possible and that consumption of water, energy, raw materials, etc., is as efficient as possible. </w:t>
            </w:r>
          </w:p>
          <w:p w14:paraId="486587EF" w14:textId="77777777" w:rsidR="001B138A" w:rsidRPr="00E757FD" w:rsidRDefault="001B138A" w:rsidP="00E757FD"/>
        </w:tc>
      </w:tr>
      <w:tr w:rsidR="007961DA" w:rsidRPr="00012037" w14:paraId="2CAF305F" w14:textId="77777777" w:rsidTr="00014D5B">
        <w:tc>
          <w:tcPr>
            <w:tcW w:w="4395" w:type="dxa"/>
          </w:tcPr>
          <w:p w14:paraId="3B0785B5" w14:textId="77777777" w:rsidR="007961DA" w:rsidRPr="001B138A" w:rsidRDefault="007961DA" w:rsidP="007961DA">
            <w:pPr>
              <w:rPr>
                <w:i/>
                <w:lang w:val="en-US"/>
              </w:rPr>
            </w:pPr>
            <w:r w:rsidRPr="001B138A">
              <w:rPr>
                <w:i/>
                <w:lang w:val="en-US"/>
              </w:rPr>
              <w:t>2) Human rights</w:t>
            </w:r>
            <w:r>
              <w:rPr>
                <w:i/>
                <w:lang w:val="en-US"/>
              </w:rPr>
              <w:t>:</w:t>
            </w:r>
          </w:p>
          <w:p w14:paraId="2AA133D1" w14:textId="77777777" w:rsidR="007961DA" w:rsidRPr="006875D2" w:rsidRDefault="007961DA" w:rsidP="007961DA">
            <w:pPr>
              <w:rPr>
                <w:lang w:val="en-US"/>
              </w:rPr>
            </w:pPr>
            <w:r w:rsidRPr="006875D2">
              <w:rPr>
                <w:lang w:val="en-US"/>
              </w:rPr>
              <w:t xml:space="preserve">a) Do you apply the Human Rights related aspects of the </w:t>
            </w:r>
          </w:p>
          <w:p w14:paraId="054DA236" w14:textId="77777777" w:rsidR="007961DA" w:rsidRPr="006875D2" w:rsidRDefault="007961DA" w:rsidP="007961DA">
            <w:pPr>
              <w:rPr>
                <w:lang w:val="en-US"/>
              </w:rPr>
            </w:pPr>
            <w:r w:rsidRPr="006875D2">
              <w:rPr>
                <w:lang w:val="en-US"/>
              </w:rPr>
              <w:t xml:space="preserve">Recommendation on Common </w:t>
            </w:r>
          </w:p>
          <w:p w14:paraId="0E549776" w14:textId="77777777" w:rsidR="007961DA" w:rsidRDefault="007961DA" w:rsidP="007961DA">
            <w:pPr>
              <w:rPr>
                <w:lang w:val="en-US"/>
              </w:rPr>
            </w:pPr>
            <w:r w:rsidRPr="006875D2">
              <w:rPr>
                <w:lang w:val="en-US"/>
              </w:rPr>
              <w:t>Approaches, on Officially Supported Export Credits and Environmental and Social Due Diligence?</w:t>
            </w:r>
          </w:p>
          <w:p w14:paraId="5E4332ED" w14:textId="77777777" w:rsidR="007961DA" w:rsidRPr="006875D2" w:rsidRDefault="007961DA" w:rsidP="007961DA">
            <w:pPr>
              <w:rPr>
                <w:lang w:val="en-US"/>
              </w:rPr>
            </w:pPr>
          </w:p>
          <w:p w14:paraId="53059C9E" w14:textId="77777777" w:rsidR="007961DA" w:rsidRPr="00012037" w:rsidRDefault="007961DA" w:rsidP="007961DA">
            <w:pPr>
              <w:rPr>
                <w:lang w:val="en-US"/>
              </w:rPr>
            </w:pPr>
            <w:r>
              <w:rPr>
                <w:lang w:val="en-US"/>
              </w:rPr>
              <w:t xml:space="preserve">b) </w:t>
            </w:r>
            <w:r w:rsidRPr="00012037">
              <w:rPr>
                <w:lang w:val="en-US"/>
              </w:rPr>
              <w:t>any other relevant information</w:t>
            </w:r>
            <w:r>
              <w:rPr>
                <w:lang w:val="en-US"/>
              </w:rPr>
              <w:t>?</w:t>
            </w:r>
          </w:p>
        </w:tc>
        <w:tc>
          <w:tcPr>
            <w:tcW w:w="4993" w:type="dxa"/>
          </w:tcPr>
          <w:p w14:paraId="1956302B" w14:textId="77777777" w:rsidR="00CB2020" w:rsidRDefault="00366FFC" w:rsidP="00303F33">
            <w:pPr>
              <w:rPr>
                <w:color w:val="0070C0"/>
                <w:lang w:val="en-US"/>
              </w:rPr>
            </w:pPr>
            <w:r>
              <w:rPr>
                <w:color w:val="0070C0"/>
                <w:lang w:val="en-US"/>
              </w:rPr>
              <w:t>a)</w:t>
            </w:r>
            <w:r w:rsidR="00CB2020">
              <w:rPr>
                <w:color w:val="0070C0"/>
                <w:lang w:val="en-US"/>
              </w:rPr>
              <w:t xml:space="preserve"> </w:t>
            </w:r>
            <w:r w:rsidR="004D5AD9">
              <w:rPr>
                <w:color w:val="0070C0"/>
                <w:lang w:val="en-US"/>
              </w:rPr>
              <w:t>Yes, EKF applies OECD Common Approaches</w:t>
            </w:r>
            <w:r w:rsidR="003D2FA5">
              <w:rPr>
                <w:color w:val="0070C0"/>
                <w:lang w:val="en-US"/>
              </w:rPr>
              <w:t>.</w:t>
            </w:r>
          </w:p>
          <w:p w14:paraId="1A82A223" w14:textId="77777777" w:rsidR="00A54EC8" w:rsidRDefault="00A54EC8" w:rsidP="00303F33">
            <w:pPr>
              <w:rPr>
                <w:color w:val="0070C0"/>
                <w:lang w:val="en-US"/>
              </w:rPr>
            </w:pPr>
          </w:p>
          <w:p w14:paraId="2092DB41" w14:textId="1A6AC835" w:rsidR="00E757FD" w:rsidRPr="00E757FD" w:rsidRDefault="00E757FD" w:rsidP="00E757FD">
            <w:pPr>
              <w:rPr>
                <w:color w:val="0070C0"/>
              </w:rPr>
            </w:pPr>
            <w:r w:rsidRPr="00E757FD">
              <w:rPr>
                <w:color w:val="0070C0"/>
              </w:rPr>
              <w:t>b)</w:t>
            </w:r>
            <w:r>
              <w:rPr>
                <w:color w:val="0070C0"/>
              </w:rPr>
              <w:t xml:space="preserve"> </w:t>
            </w:r>
            <w:r w:rsidRPr="00E757FD">
              <w:rPr>
                <w:color w:val="0070C0"/>
              </w:rPr>
              <w:t xml:space="preserve">EKF opposes any contravention of employee and human rights. EKF attaches importance to employee rights in the cases that we guarantee. We also seek to ensure that the projects </w:t>
            </w:r>
            <w:r w:rsidR="00E726F9">
              <w:rPr>
                <w:color w:val="0070C0"/>
              </w:rPr>
              <w:t>EKF</w:t>
            </w:r>
            <w:r w:rsidRPr="00E757FD">
              <w:rPr>
                <w:color w:val="0070C0"/>
              </w:rPr>
              <w:t xml:space="preserve"> guarantee do not have negative consequences for human rights. </w:t>
            </w:r>
          </w:p>
          <w:p w14:paraId="3CF20B7B" w14:textId="77777777" w:rsidR="007961DA" w:rsidRPr="00E757FD" w:rsidRDefault="007961DA" w:rsidP="00303F33"/>
        </w:tc>
      </w:tr>
      <w:tr w:rsidR="001B138A" w:rsidRPr="00012037" w14:paraId="3A77AC29" w14:textId="77777777" w:rsidTr="001B138A">
        <w:trPr>
          <w:trHeight w:val="1656"/>
        </w:trPr>
        <w:tc>
          <w:tcPr>
            <w:tcW w:w="4395" w:type="dxa"/>
          </w:tcPr>
          <w:p w14:paraId="57DF7950" w14:textId="77777777" w:rsidR="001B138A" w:rsidRPr="001B138A" w:rsidRDefault="001B138A" w:rsidP="00305981">
            <w:pPr>
              <w:rPr>
                <w:i/>
                <w:lang w:val="en-US"/>
              </w:rPr>
            </w:pPr>
            <w:r w:rsidRPr="001B138A">
              <w:rPr>
                <w:i/>
                <w:lang w:val="en-US"/>
              </w:rPr>
              <w:t>3) Anti-Bribery measures</w:t>
            </w:r>
            <w:r w:rsidR="007961DA">
              <w:rPr>
                <w:i/>
                <w:lang w:val="en-US"/>
              </w:rPr>
              <w:t>:</w:t>
            </w:r>
          </w:p>
          <w:p w14:paraId="333DD2DF" w14:textId="77777777" w:rsidR="001B138A" w:rsidRDefault="001B138A" w:rsidP="00305981">
            <w:pPr>
              <w:rPr>
                <w:lang w:val="en-US"/>
              </w:rPr>
            </w:pPr>
            <w:r w:rsidRPr="006875D2">
              <w:rPr>
                <w:lang w:val="en-US"/>
              </w:rPr>
              <w:t>a) Do you apply the OECD Recommendation on Bribery and Officially Supported Export Credits?</w:t>
            </w:r>
          </w:p>
          <w:p w14:paraId="65CF828F" w14:textId="77777777" w:rsidR="001B138A" w:rsidRPr="006875D2" w:rsidRDefault="001B138A" w:rsidP="00305981">
            <w:pPr>
              <w:rPr>
                <w:lang w:val="en-US"/>
              </w:rPr>
            </w:pPr>
          </w:p>
          <w:p w14:paraId="64D0A813" w14:textId="77777777" w:rsidR="001B138A" w:rsidRPr="006875D2" w:rsidRDefault="001B138A" w:rsidP="00DA3ADE">
            <w:pPr>
              <w:rPr>
                <w:lang w:val="en-US"/>
              </w:rPr>
            </w:pPr>
            <w:r w:rsidRPr="006875D2">
              <w:rPr>
                <w:lang w:val="en-US"/>
              </w:rPr>
              <w:t>b) Any other relevant information?</w:t>
            </w:r>
          </w:p>
        </w:tc>
        <w:tc>
          <w:tcPr>
            <w:tcW w:w="4993" w:type="dxa"/>
          </w:tcPr>
          <w:p w14:paraId="33CCD1F8" w14:textId="77777777" w:rsidR="00070B4E" w:rsidRDefault="00AC4A1D" w:rsidP="00305981">
            <w:pPr>
              <w:rPr>
                <w:color w:val="0070C0"/>
                <w:lang w:val="en-US"/>
              </w:rPr>
            </w:pPr>
            <w:r>
              <w:rPr>
                <w:color w:val="0070C0"/>
                <w:lang w:val="en-US"/>
              </w:rPr>
              <w:t xml:space="preserve">a) Yes, </w:t>
            </w:r>
            <w:r w:rsidR="00070B4E">
              <w:rPr>
                <w:color w:val="0070C0"/>
                <w:lang w:val="en-US"/>
              </w:rPr>
              <w:t xml:space="preserve">EKF applies </w:t>
            </w:r>
            <w:r>
              <w:rPr>
                <w:color w:val="0070C0"/>
                <w:lang w:val="en-US"/>
              </w:rPr>
              <w:t>OECD Recommendation on Bribery.</w:t>
            </w:r>
          </w:p>
          <w:p w14:paraId="539FF49A" w14:textId="77777777" w:rsidR="001B138A" w:rsidRPr="00CB2020" w:rsidRDefault="00AC4A1D" w:rsidP="00305981">
            <w:pPr>
              <w:rPr>
                <w:color w:val="0070C0"/>
              </w:rPr>
            </w:pPr>
            <w:r>
              <w:rPr>
                <w:color w:val="0070C0"/>
              </w:rPr>
              <w:t xml:space="preserve">b) </w:t>
            </w:r>
            <w:r w:rsidR="00070B4E" w:rsidRPr="00070B4E">
              <w:rPr>
                <w:color w:val="0070C0"/>
              </w:rPr>
              <w:t>For any guarantee EKF requires a signed non-bribery declaration. EKF’s guarantee lapses if the guarantee holder offers a bribe. EKF encourages all exporters and banks to develop, use and document control systems to combat bribery.</w:t>
            </w:r>
          </w:p>
        </w:tc>
      </w:tr>
      <w:tr w:rsidR="001B138A" w:rsidRPr="00012037" w14:paraId="5A3C0B43" w14:textId="77777777" w:rsidTr="001B138A">
        <w:trPr>
          <w:trHeight w:val="1946"/>
        </w:trPr>
        <w:tc>
          <w:tcPr>
            <w:tcW w:w="4395" w:type="dxa"/>
          </w:tcPr>
          <w:p w14:paraId="1C14702C" w14:textId="77777777" w:rsidR="001B138A" w:rsidRPr="001B138A" w:rsidRDefault="001B138A" w:rsidP="00305981">
            <w:pPr>
              <w:rPr>
                <w:i/>
                <w:lang w:val="en-US"/>
              </w:rPr>
            </w:pPr>
            <w:r w:rsidRPr="001B138A">
              <w:rPr>
                <w:i/>
                <w:lang w:val="en-US"/>
              </w:rPr>
              <w:t>4) Sustainable Lending Practices</w:t>
            </w:r>
            <w:r w:rsidR="007961DA">
              <w:rPr>
                <w:i/>
                <w:lang w:val="en-US"/>
              </w:rPr>
              <w:t>:</w:t>
            </w:r>
          </w:p>
          <w:p w14:paraId="57200234" w14:textId="77777777" w:rsidR="001B138A" w:rsidRDefault="001B138A" w:rsidP="006875D2">
            <w:pPr>
              <w:rPr>
                <w:lang w:val="en-US"/>
              </w:rPr>
            </w:pPr>
            <w:r w:rsidRPr="006875D2">
              <w:rPr>
                <w:lang w:val="en-US"/>
              </w:rPr>
              <w:t>a) Do you apply the OECD Principles and Guidelines to Promote Sustainable Lending Practices in the Provision of Official Export Credits to Low Income Countries?</w:t>
            </w:r>
          </w:p>
          <w:p w14:paraId="020163E7" w14:textId="77777777" w:rsidR="001B138A" w:rsidRPr="006875D2" w:rsidRDefault="001B138A" w:rsidP="006875D2">
            <w:pPr>
              <w:rPr>
                <w:lang w:val="en-US"/>
              </w:rPr>
            </w:pPr>
          </w:p>
          <w:p w14:paraId="0A6254AF" w14:textId="77777777" w:rsidR="001B138A" w:rsidRPr="006875D2" w:rsidRDefault="001B138A" w:rsidP="00305981">
            <w:pPr>
              <w:rPr>
                <w:lang w:val="en-US"/>
              </w:rPr>
            </w:pPr>
            <w:r w:rsidRPr="006875D2">
              <w:rPr>
                <w:lang w:val="en-US"/>
              </w:rPr>
              <w:t>b) Any other relevant information?</w:t>
            </w:r>
          </w:p>
        </w:tc>
        <w:tc>
          <w:tcPr>
            <w:tcW w:w="4993" w:type="dxa"/>
          </w:tcPr>
          <w:p w14:paraId="79578727" w14:textId="77777777" w:rsidR="00AC4A1D" w:rsidRDefault="00AC4A1D" w:rsidP="00AC4A1D">
            <w:pPr>
              <w:rPr>
                <w:color w:val="0070C0"/>
              </w:rPr>
            </w:pPr>
            <w:r>
              <w:rPr>
                <w:color w:val="0070C0"/>
              </w:rPr>
              <w:t>a) Yes</w:t>
            </w:r>
            <w:r w:rsidR="004D5AD9">
              <w:rPr>
                <w:color w:val="0070C0"/>
              </w:rPr>
              <w:t>,</w:t>
            </w:r>
            <w:r>
              <w:rPr>
                <w:color w:val="0070C0"/>
              </w:rPr>
              <w:t xml:space="preserve"> EKF applies OECD Principles and Guidelines to Promote Sustainable Lending Practices.</w:t>
            </w:r>
          </w:p>
          <w:p w14:paraId="2DE8E23D" w14:textId="1D0F0D2F" w:rsidR="001B138A" w:rsidRPr="00012037" w:rsidRDefault="00AC4A1D" w:rsidP="00AC4A1D">
            <w:pPr>
              <w:rPr>
                <w:lang w:val="en-US"/>
              </w:rPr>
            </w:pPr>
            <w:r>
              <w:rPr>
                <w:color w:val="0070C0"/>
              </w:rPr>
              <w:t xml:space="preserve">b) </w:t>
            </w:r>
            <w:r w:rsidRPr="00AC4A1D">
              <w:rPr>
                <w:color w:val="0070C0"/>
              </w:rPr>
              <w:t>EKF supports economically sustainable development by giving consideration to poor and debt-laden countries. EKF only participates in export transactions for poor countries if the transaction and its underlying financing do</w:t>
            </w:r>
            <w:r w:rsidR="00706B1C">
              <w:rPr>
                <w:color w:val="0070C0"/>
              </w:rPr>
              <w:t>es</w:t>
            </w:r>
            <w:r w:rsidRPr="00AC4A1D">
              <w:rPr>
                <w:color w:val="0070C0"/>
              </w:rPr>
              <w:t xml:space="preserve"> not jeopardi</w:t>
            </w:r>
            <w:r>
              <w:rPr>
                <w:color w:val="0070C0"/>
              </w:rPr>
              <w:t>se the long-term economic devel</w:t>
            </w:r>
            <w:r w:rsidRPr="00AC4A1D">
              <w:rPr>
                <w:color w:val="0070C0"/>
              </w:rPr>
              <w:t xml:space="preserve">opment of the recipient country. </w:t>
            </w:r>
          </w:p>
        </w:tc>
      </w:tr>
      <w:tr w:rsidR="00DA3ADE" w:rsidRPr="00012037" w14:paraId="0C6542CC" w14:textId="77777777" w:rsidTr="006875D2">
        <w:trPr>
          <w:trHeight w:val="70"/>
        </w:trPr>
        <w:tc>
          <w:tcPr>
            <w:tcW w:w="4395" w:type="dxa"/>
          </w:tcPr>
          <w:p w14:paraId="4C88DFA8" w14:textId="77777777" w:rsidR="00DA3ADE" w:rsidRPr="001F1A47" w:rsidRDefault="00184634" w:rsidP="00305981">
            <w:pPr>
              <w:rPr>
                <w:lang w:val="en-US"/>
              </w:rPr>
            </w:pPr>
            <w:r w:rsidRPr="001F1A47">
              <w:rPr>
                <w:u w:val="single"/>
                <w:lang w:val="en-US"/>
              </w:rPr>
              <w:t>5</w:t>
            </w:r>
            <w:r w:rsidRPr="001F1A47">
              <w:rPr>
                <w:lang w:val="en-US"/>
              </w:rPr>
              <w:t>) Other policies</w:t>
            </w:r>
          </w:p>
        </w:tc>
        <w:tc>
          <w:tcPr>
            <w:tcW w:w="4993" w:type="dxa"/>
          </w:tcPr>
          <w:p w14:paraId="39F91376" w14:textId="77777777" w:rsidR="00E757FD" w:rsidRDefault="00E757FD" w:rsidP="00305981">
            <w:pPr>
              <w:rPr>
                <w:color w:val="0070C0"/>
                <w:lang w:val="en-US"/>
              </w:rPr>
            </w:pPr>
            <w:r>
              <w:rPr>
                <w:color w:val="0070C0"/>
                <w:lang w:val="en-US"/>
              </w:rPr>
              <w:t>1)</w:t>
            </w:r>
            <w:r w:rsidR="004D5AD9">
              <w:rPr>
                <w:color w:val="0070C0"/>
                <w:lang w:val="en-US"/>
              </w:rPr>
              <w:t xml:space="preserve"> </w:t>
            </w:r>
            <w:r w:rsidR="00BA70CA">
              <w:rPr>
                <w:color w:val="0070C0"/>
                <w:lang w:val="en-US"/>
              </w:rPr>
              <w:t>CSR policy</w:t>
            </w:r>
            <w:r w:rsidR="004D5AD9">
              <w:rPr>
                <w:color w:val="0070C0"/>
                <w:lang w:val="en-US"/>
              </w:rPr>
              <w:t>.</w:t>
            </w:r>
            <w:r w:rsidR="00BA70CA">
              <w:rPr>
                <w:color w:val="0070C0"/>
                <w:lang w:val="en-US"/>
              </w:rPr>
              <w:t xml:space="preserve"> </w:t>
            </w:r>
          </w:p>
          <w:p w14:paraId="236C7122" w14:textId="278FFB73" w:rsidR="00E757FD" w:rsidRPr="00E757FD" w:rsidRDefault="00E757FD" w:rsidP="00E757FD">
            <w:pPr>
              <w:rPr>
                <w:color w:val="0070C0"/>
              </w:rPr>
            </w:pPr>
            <w:r w:rsidRPr="00E757FD">
              <w:rPr>
                <w:color w:val="0070C0"/>
              </w:rPr>
              <w:t xml:space="preserve">EKF’s key objective is to ensure competitive terms of financing in the global market for Danish business and industry. This is why </w:t>
            </w:r>
            <w:r w:rsidR="00E726F9">
              <w:rPr>
                <w:color w:val="0070C0"/>
              </w:rPr>
              <w:t>EK</w:t>
            </w:r>
            <w:r w:rsidR="00E726F9" w:rsidRPr="00070B4E">
              <w:rPr>
                <w:color w:val="0070C0"/>
              </w:rPr>
              <w:t>F’</w:t>
            </w:r>
            <w:r w:rsidR="00E726F9">
              <w:rPr>
                <w:color w:val="0070C0"/>
              </w:rPr>
              <w:t>s</w:t>
            </w:r>
            <w:r w:rsidRPr="00E757FD">
              <w:rPr>
                <w:color w:val="0070C0"/>
              </w:rPr>
              <w:t xml:space="preserve"> CSR initiatives are based on internationally recognised rules and principles. </w:t>
            </w:r>
            <w:r w:rsidR="00E726F9">
              <w:rPr>
                <w:color w:val="0070C0"/>
              </w:rPr>
              <w:t>EKF</w:t>
            </w:r>
            <w:r w:rsidRPr="00E757FD">
              <w:rPr>
                <w:color w:val="0070C0"/>
              </w:rPr>
              <w:t xml:space="preserve"> maintain</w:t>
            </w:r>
            <w:r w:rsidR="00706B1C">
              <w:rPr>
                <w:color w:val="0070C0"/>
              </w:rPr>
              <w:t>s</w:t>
            </w:r>
            <w:r w:rsidRPr="00E757FD">
              <w:rPr>
                <w:color w:val="0070C0"/>
              </w:rPr>
              <w:t xml:space="preserve"> that sustainability is a precondition for sound business, which is why </w:t>
            </w:r>
            <w:r w:rsidR="00E726F9">
              <w:rPr>
                <w:color w:val="0070C0"/>
              </w:rPr>
              <w:t>EKF</w:t>
            </w:r>
            <w:r w:rsidRPr="00E757FD">
              <w:rPr>
                <w:color w:val="0070C0"/>
              </w:rPr>
              <w:t xml:space="preserve"> perform</w:t>
            </w:r>
            <w:r w:rsidR="00706B1C">
              <w:rPr>
                <w:color w:val="0070C0"/>
              </w:rPr>
              <w:t>s</w:t>
            </w:r>
            <w:r w:rsidRPr="00E757FD">
              <w:rPr>
                <w:color w:val="0070C0"/>
              </w:rPr>
              <w:t xml:space="preserve"> risk assessments of both the financial factors in an export transaction and its potential human and environmental impacts.</w:t>
            </w:r>
          </w:p>
          <w:p w14:paraId="123CE1F9" w14:textId="77777777" w:rsidR="00E757FD" w:rsidRDefault="00E757FD" w:rsidP="00305981">
            <w:pPr>
              <w:rPr>
                <w:color w:val="0070C0"/>
                <w:lang w:val="en-US"/>
              </w:rPr>
            </w:pPr>
          </w:p>
          <w:p w14:paraId="44B5BEE9" w14:textId="77777777" w:rsidR="00A61D46" w:rsidRDefault="00E757FD" w:rsidP="00305981">
            <w:pPr>
              <w:rPr>
                <w:color w:val="0070C0"/>
                <w:lang w:val="en-US"/>
              </w:rPr>
            </w:pPr>
            <w:r>
              <w:rPr>
                <w:color w:val="0070C0"/>
                <w:lang w:val="en-US"/>
              </w:rPr>
              <w:lastRenderedPageBreak/>
              <w:t>2)</w:t>
            </w:r>
            <w:r w:rsidR="00BA4D06">
              <w:rPr>
                <w:color w:val="0070C0"/>
                <w:lang w:val="en-US"/>
              </w:rPr>
              <w:t xml:space="preserve"> </w:t>
            </w:r>
            <w:r w:rsidR="00A61D46">
              <w:rPr>
                <w:color w:val="0070C0"/>
                <w:lang w:val="en-US"/>
              </w:rPr>
              <w:t>Openness policy</w:t>
            </w:r>
            <w:r>
              <w:rPr>
                <w:color w:val="0070C0"/>
                <w:lang w:val="en-US"/>
              </w:rPr>
              <w:t xml:space="preserve">. </w:t>
            </w:r>
          </w:p>
          <w:p w14:paraId="0B69C5FE" w14:textId="77777777" w:rsidR="00E757FD" w:rsidRPr="00E757FD" w:rsidRDefault="00E757FD" w:rsidP="00E757FD">
            <w:pPr>
              <w:rPr>
                <w:i/>
                <w:color w:val="0070C0"/>
              </w:rPr>
            </w:pPr>
            <w:r w:rsidRPr="00E757FD">
              <w:rPr>
                <w:i/>
                <w:color w:val="0070C0"/>
              </w:rPr>
              <w:t>Openness and confidentiality</w:t>
            </w:r>
          </w:p>
          <w:p w14:paraId="73DD507A" w14:textId="59AE2E83" w:rsidR="00DA3ADE" w:rsidRPr="00464C57" w:rsidRDefault="00E757FD" w:rsidP="00E726F9">
            <w:pPr>
              <w:rPr>
                <w:color w:val="548DD4"/>
                <w:lang w:val="en-US"/>
              </w:rPr>
            </w:pPr>
            <w:r w:rsidRPr="00E757FD">
              <w:rPr>
                <w:color w:val="0070C0"/>
              </w:rPr>
              <w:t xml:space="preserve">EKF aims to give all stakeholders the opportunity to gain insight into EKF’s transactions and finances. </w:t>
            </w:r>
            <w:r w:rsidR="00E726F9">
              <w:rPr>
                <w:color w:val="0070C0"/>
              </w:rPr>
              <w:t>EKF</w:t>
            </w:r>
            <w:r w:rsidRPr="00E757FD">
              <w:rPr>
                <w:color w:val="0070C0"/>
              </w:rPr>
              <w:t xml:space="preserve"> do</w:t>
            </w:r>
            <w:r w:rsidR="00706B1C">
              <w:rPr>
                <w:color w:val="0070C0"/>
              </w:rPr>
              <w:t>es</w:t>
            </w:r>
            <w:r w:rsidRPr="00E757FD">
              <w:rPr>
                <w:color w:val="0070C0"/>
              </w:rPr>
              <w:t xml:space="preserve"> this by publishing a range of information about ourselves and the transactions in which </w:t>
            </w:r>
            <w:r w:rsidR="00E726F9">
              <w:rPr>
                <w:color w:val="0070C0"/>
              </w:rPr>
              <w:t>EKF</w:t>
            </w:r>
            <w:r w:rsidRPr="00E757FD">
              <w:rPr>
                <w:color w:val="0070C0"/>
              </w:rPr>
              <w:t xml:space="preserve"> participate.  However, it is crucial for EKF’s transactions that customers and partners can confidently and confidentially make all necessary information available for EKF’s case-handling.</w:t>
            </w:r>
            <w:r w:rsidRPr="00303F33">
              <w:t xml:space="preserve"> </w:t>
            </w:r>
          </w:p>
        </w:tc>
      </w:tr>
    </w:tbl>
    <w:p w14:paraId="23C043EF" w14:textId="77777777" w:rsidR="00B609B5" w:rsidRDefault="00B609B5" w:rsidP="00305981">
      <w:pPr>
        <w:rPr>
          <w:b/>
          <w:lang w:val="en-US"/>
        </w:rPr>
      </w:pPr>
    </w:p>
    <w:p w14:paraId="21FAE7AA" w14:textId="77777777" w:rsidR="003804CF" w:rsidRPr="00464C57" w:rsidRDefault="00B609B5" w:rsidP="00305981">
      <w:pPr>
        <w:rPr>
          <w:color w:val="4F81BD"/>
          <w:lang w:val="en-US"/>
        </w:rPr>
      </w:pPr>
      <w:r>
        <w:rPr>
          <w:b/>
          <w:lang w:val="en-US"/>
        </w:rPr>
        <w:br w:type="page"/>
      </w:r>
      <w:r w:rsidR="00184634" w:rsidRPr="00012037">
        <w:rPr>
          <w:b/>
          <w:lang w:val="en-US"/>
        </w:rPr>
        <w:lastRenderedPageBreak/>
        <w:t>IV.</w:t>
      </w:r>
      <w:r w:rsidR="00184634" w:rsidRPr="00012037">
        <w:rPr>
          <w:b/>
          <w:lang w:val="en-US"/>
        </w:rPr>
        <w:tab/>
        <w:t xml:space="preserve">Annual Activity Report </w:t>
      </w:r>
      <w:r w:rsidR="001F1A47">
        <w:rPr>
          <w:b/>
          <w:lang w:val="en-US"/>
        </w:rPr>
        <w:t>d</w:t>
      </w:r>
      <w:r w:rsidR="00184634" w:rsidRPr="00012037">
        <w:rPr>
          <w:b/>
          <w:lang w:val="en-US"/>
        </w:rPr>
        <w:t>ata:</w:t>
      </w:r>
      <w:r w:rsidR="009D7D7F" w:rsidRPr="00012037">
        <w:rPr>
          <w:b/>
          <w:lang w:val="en-US"/>
        </w:rPr>
        <w:t xml:space="preserve"> </w:t>
      </w:r>
    </w:p>
    <w:p w14:paraId="3196354F" w14:textId="77777777" w:rsidR="006875D2" w:rsidRPr="001B138A" w:rsidRDefault="001B138A" w:rsidP="00305981">
      <w:pPr>
        <w:rPr>
          <w:lang w:val="en-US"/>
        </w:rPr>
      </w:pPr>
      <w:r w:rsidRPr="001B138A">
        <w:rPr>
          <w:lang w:val="en-US"/>
        </w:rPr>
        <w:t>Explanatory note:</w:t>
      </w:r>
    </w:p>
    <w:p w14:paraId="6A87D54A" w14:textId="77777777" w:rsidR="00846E9D" w:rsidRPr="001B138A" w:rsidRDefault="001B138A" w:rsidP="00305981">
      <w:pPr>
        <w:rPr>
          <w:lang w:val="en-US"/>
        </w:rPr>
      </w:pPr>
      <w:r w:rsidRPr="001B138A">
        <w:rPr>
          <w:i/>
          <w:lang w:val="en-US"/>
        </w:rPr>
        <w:t>“</w:t>
      </w:r>
      <w:r w:rsidR="00D75E7D" w:rsidRPr="001B138A">
        <w:rPr>
          <w:i/>
          <w:lang w:val="en-US"/>
        </w:rPr>
        <w:t>MS shall report</w:t>
      </w:r>
      <w:r w:rsidR="00BE0B68" w:rsidRPr="001B138A">
        <w:rPr>
          <w:i/>
          <w:lang w:val="en-US"/>
        </w:rPr>
        <w:t xml:space="preserve">, in accordance with their national legislative framework, on </w:t>
      </w:r>
      <w:r w:rsidR="00D75E7D" w:rsidRPr="001B138A">
        <w:rPr>
          <w:i/>
          <w:lang w:val="en-US"/>
        </w:rPr>
        <w:t>assets and liabilities, claims pa</w:t>
      </w:r>
      <w:r w:rsidR="00BE0B68" w:rsidRPr="001B138A">
        <w:rPr>
          <w:i/>
          <w:lang w:val="en-US"/>
        </w:rPr>
        <w:t>id and recoveries, new commitments, exposures and premium charges</w:t>
      </w:r>
      <w:r w:rsidR="00D75E7D" w:rsidRPr="001B138A">
        <w:rPr>
          <w:i/>
          <w:lang w:val="en-US"/>
        </w:rPr>
        <w:t>.</w:t>
      </w:r>
      <w:r w:rsidR="00BE0B68" w:rsidRPr="001B138A">
        <w:rPr>
          <w:lang w:val="en-US"/>
        </w:rPr>
        <w:t>"</w:t>
      </w:r>
      <w:r w:rsidRPr="001B138A">
        <w:rPr>
          <w:lang w:val="en-US"/>
        </w:rPr>
        <w:t xml:space="preserve"> </w:t>
      </w:r>
      <w:r>
        <w:rPr>
          <w:lang w:val="en-US"/>
        </w:rPr>
        <w:t xml:space="preserve">From </w:t>
      </w:r>
      <w:r w:rsidRPr="001B138A">
        <w:rPr>
          <w:lang w:val="en-US"/>
        </w:rPr>
        <w:t>Regulation 1233/2011</w:t>
      </w:r>
      <w:r>
        <w:rPr>
          <w:lang w:val="en-US"/>
        </w:rPr>
        <w:t>,</w:t>
      </w:r>
      <w:r w:rsidRPr="001B138A">
        <w:rPr>
          <w:lang w:val="en-US"/>
        </w:rPr>
        <w:t xml:space="preserve"> </w:t>
      </w:r>
      <w:r>
        <w:rPr>
          <w:lang w:val="en-US"/>
        </w:rPr>
        <w:t>A</w:t>
      </w:r>
      <w:r w:rsidRPr="001B138A">
        <w:rPr>
          <w:lang w:val="en-US"/>
        </w:rPr>
        <w:t>nnex 1</w:t>
      </w:r>
      <w:r>
        <w:rPr>
          <w:lang w:val="en-US"/>
        </w:rPr>
        <w:t>.</w:t>
      </w:r>
    </w:p>
    <w:p w14:paraId="780E5D8F" w14:textId="77777777" w:rsidR="006875D2" w:rsidRPr="001B138A" w:rsidRDefault="006875D2" w:rsidP="00305981">
      <w:pPr>
        <w:rPr>
          <w:lang w:val="en-US"/>
        </w:rPr>
      </w:pPr>
    </w:p>
    <w:p w14:paraId="5A282372" w14:textId="77777777" w:rsidR="00846E9D" w:rsidRPr="001B138A" w:rsidRDefault="004C6594" w:rsidP="00305981">
      <w:pPr>
        <w:rPr>
          <w:b/>
          <w:lang w:val="en-US"/>
        </w:rPr>
      </w:pPr>
      <w:r w:rsidRPr="001B138A">
        <w:rPr>
          <w:lang w:val="en-US"/>
        </w:rPr>
        <w:t>Mem</w:t>
      </w:r>
      <w:r w:rsidR="00A06F07">
        <w:rPr>
          <w:lang w:val="en-US"/>
        </w:rPr>
        <w:t>ber States that have more than one</w:t>
      </w:r>
      <w:r w:rsidRPr="001B138A">
        <w:rPr>
          <w:lang w:val="en-US"/>
        </w:rPr>
        <w:t xml:space="preserve"> ECA should do one single integrated report (reporting obligation is on the Member State</w:t>
      </w:r>
      <w:r w:rsidR="00A06F07">
        <w:rPr>
          <w:lang w:val="en-US"/>
        </w:rPr>
        <w:t xml:space="preserve"> as such, not the ECA). Where a</w:t>
      </w:r>
      <w:r w:rsidRPr="001B138A">
        <w:rPr>
          <w:lang w:val="en-US"/>
        </w:rPr>
        <w:t xml:space="preserve"> MS offers at the same time different types of products (pure cover and direct lending), the reporting under chapter IV should however differentiate</w:t>
      </w:r>
      <w:r w:rsidR="006875D2" w:rsidRPr="001B138A">
        <w:rPr>
          <w:lang w:val="en-US"/>
        </w:rPr>
        <w:t>.</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4961"/>
      </w:tblGrid>
      <w:tr w:rsidR="001B138A" w:rsidRPr="00012037" w14:paraId="6EE1DC3F" w14:textId="77777777" w:rsidTr="001B138A">
        <w:tc>
          <w:tcPr>
            <w:tcW w:w="9286" w:type="dxa"/>
            <w:gridSpan w:val="2"/>
          </w:tcPr>
          <w:p w14:paraId="50E4A6DA" w14:textId="77777777" w:rsidR="001B138A" w:rsidRPr="00464C57" w:rsidRDefault="001B138A" w:rsidP="004D5AD9">
            <w:pPr>
              <w:numPr>
                <w:ilvl w:val="0"/>
                <w:numId w:val="6"/>
              </w:numPr>
              <w:rPr>
                <w:color w:val="4F81BD"/>
                <w:lang w:val="en-US"/>
              </w:rPr>
            </w:pPr>
            <w:r w:rsidRPr="001B138A">
              <w:rPr>
                <w:b/>
                <w:lang w:val="en-US"/>
              </w:rPr>
              <w:t>In case of official support is provided in the form of export credit guarantee or insurance (“pure cover”) in the sense of Art 5</w:t>
            </w:r>
            <w:r>
              <w:rPr>
                <w:b/>
                <w:lang w:val="en-US"/>
              </w:rPr>
              <w:t xml:space="preserve"> </w:t>
            </w:r>
            <w:r w:rsidRPr="001B138A">
              <w:rPr>
                <w:b/>
                <w:lang w:val="en-US"/>
              </w:rPr>
              <w:t>a 1) OECD Arrangement:</w:t>
            </w:r>
            <w:r w:rsidR="00B76683">
              <w:rPr>
                <w:rStyle w:val="Fodnotehenvisning"/>
                <w:b/>
                <w:lang w:val="en-US"/>
              </w:rPr>
              <w:footnoteReference w:id="2"/>
            </w:r>
            <w:r w:rsidR="00D54E15">
              <w:rPr>
                <w:rStyle w:val="Fodnotehenvisning"/>
                <w:lang w:val="en-US"/>
              </w:rPr>
              <w:t xml:space="preserve"> </w:t>
            </w:r>
          </w:p>
        </w:tc>
      </w:tr>
      <w:tr w:rsidR="003F1258" w:rsidRPr="00012037" w14:paraId="5F8DCB96" w14:textId="77777777" w:rsidTr="00014D5B">
        <w:tc>
          <w:tcPr>
            <w:tcW w:w="4325" w:type="dxa"/>
          </w:tcPr>
          <w:p w14:paraId="69CB6208" w14:textId="77777777" w:rsidR="003F1258" w:rsidRPr="00012037" w:rsidRDefault="00366265" w:rsidP="00D54E15">
            <w:pPr>
              <w:jc w:val="left"/>
              <w:rPr>
                <w:lang w:val="en-US"/>
              </w:rPr>
            </w:pPr>
            <w:r w:rsidRPr="00012037">
              <w:rPr>
                <w:lang w:val="en-US"/>
              </w:rPr>
              <w:t>Overview of assets</w:t>
            </w:r>
          </w:p>
        </w:tc>
        <w:tc>
          <w:tcPr>
            <w:tcW w:w="4961" w:type="dxa"/>
          </w:tcPr>
          <w:p w14:paraId="3A7CC491" w14:textId="77777777" w:rsidR="00253C60" w:rsidRPr="00A54EC8" w:rsidRDefault="0021353C" w:rsidP="004D5AD9">
            <w:pPr>
              <w:rPr>
                <w:color w:val="0070C0"/>
                <w:lang w:val="en-US"/>
              </w:rPr>
            </w:pPr>
            <w:r w:rsidRPr="00A54EC8">
              <w:rPr>
                <w:color w:val="0070C0"/>
                <w:lang w:val="en-US"/>
              </w:rPr>
              <w:t xml:space="preserve">DKK </w:t>
            </w:r>
            <w:r w:rsidR="006E5115" w:rsidRPr="00A54EC8">
              <w:rPr>
                <w:color w:val="0070C0"/>
                <w:lang w:val="en-US"/>
              </w:rPr>
              <w:t>782</w:t>
            </w:r>
            <w:r w:rsidR="004D5AD9">
              <w:rPr>
                <w:color w:val="0070C0"/>
                <w:lang w:val="en-US"/>
              </w:rPr>
              <w:t>4</w:t>
            </w:r>
            <w:r w:rsidR="006E5115" w:rsidRPr="00A54EC8">
              <w:rPr>
                <w:color w:val="0070C0"/>
                <w:lang w:val="en-US"/>
              </w:rPr>
              <w:t xml:space="preserve"> million</w:t>
            </w:r>
            <w:r w:rsidR="00E02608" w:rsidRPr="00A54EC8">
              <w:rPr>
                <w:color w:val="0070C0"/>
                <w:lang w:val="en-US"/>
              </w:rPr>
              <w:t xml:space="preserve"> (EUR 10</w:t>
            </w:r>
            <w:r w:rsidR="004D5AD9">
              <w:rPr>
                <w:color w:val="0070C0"/>
                <w:lang w:val="en-US"/>
              </w:rPr>
              <w:t>52</w:t>
            </w:r>
            <w:r w:rsidR="00BA26B3" w:rsidRPr="00A54EC8">
              <w:rPr>
                <w:color w:val="0070C0"/>
                <w:lang w:val="en-US"/>
              </w:rPr>
              <w:t xml:space="preserve"> million</w:t>
            </w:r>
            <w:r w:rsidR="00E02608" w:rsidRPr="00A54EC8">
              <w:rPr>
                <w:color w:val="0070C0"/>
                <w:lang w:val="en-US"/>
              </w:rPr>
              <w:t>)</w:t>
            </w:r>
          </w:p>
        </w:tc>
      </w:tr>
      <w:tr w:rsidR="003F1258" w:rsidRPr="00012037" w14:paraId="749E1E7D" w14:textId="77777777" w:rsidTr="00014D5B">
        <w:tc>
          <w:tcPr>
            <w:tcW w:w="4325" w:type="dxa"/>
          </w:tcPr>
          <w:p w14:paraId="5DC81C52" w14:textId="77777777" w:rsidR="003F1258" w:rsidRPr="00012037" w:rsidRDefault="00366265" w:rsidP="007D219F">
            <w:pPr>
              <w:jc w:val="left"/>
              <w:rPr>
                <w:lang w:val="en-US"/>
              </w:rPr>
            </w:pPr>
            <w:r w:rsidRPr="00012037">
              <w:rPr>
                <w:lang w:val="en-US"/>
              </w:rPr>
              <w:t>Overview of l</w:t>
            </w:r>
            <w:r w:rsidR="00184634" w:rsidRPr="00012037">
              <w:rPr>
                <w:lang w:val="en-US"/>
              </w:rPr>
              <w:t>iabilities</w:t>
            </w:r>
          </w:p>
        </w:tc>
        <w:tc>
          <w:tcPr>
            <w:tcW w:w="4961" w:type="dxa"/>
          </w:tcPr>
          <w:p w14:paraId="60F36608" w14:textId="77777777" w:rsidR="000765A4" w:rsidRPr="00A54EC8" w:rsidRDefault="004D5AD9" w:rsidP="004D5AD9">
            <w:pPr>
              <w:rPr>
                <w:color w:val="0070C0"/>
                <w:lang w:val="en-US"/>
              </w:rPr>
            </w:pPr>
            <w:r w:rsidRPr="00A54EC8">
              <w:rPr>
                <w:color w:val="0070C0"/>
                <w:lang w:val="en-US"/>
              </w:rPr>
              <w:t>DKK 782</w:t>
            </w:r>
            <w:r>
              <w:rPr>
                <w:color w:val="0070C0"/>
                <w:lang w:val="en-US"/>
              </w:rPr>
              <w:t>4</w:t>
            </w:r>
            <w:r w:rsidRPr="00A54EC8">
              <w:rPr>
                <w:color w:val="0070C0"/>
                <w:lang w:val="en-US"/>
              </w:rPr>
              <w:t xml:space="preserve"> million (EUR 10</w:t>
            </w:r>
            <w:r>
              <w:rPr>
                <w:color w:val="0070C0"/>
                <w:lang w:val="en-US"/>
              </w:rPr>
              <w:t>52</w:t>
            </w:r>
            <w:r w:rsidRPr="00A54EC8">
              <w:rPr>
                <w:color w:val="0070C0"/>
                <w:lang w:val="en-US"/>
              </w:rPr>
              <w:t xml:space="preserve"> million)</w:t>
            </w:r>
          </w:p>
        </w:tc>
      </w:tr>
      <w:tr w:rsidR="003F1258" w:rsidRPr="00B056B1" w14:paraId="5B59ED99" w14:textId="77777777" w:rsidTr="00014D5B">
        <w:tc>
          <w:tcPr>
            <w:tcW w:w="4325" w:type="dxa"/>
          </w:tcPr>
          <w:p w14:paraId="71049C97" w14:textId="77777777" w:rsidR="003F1258" w:rsidRPr="00012037" w:rsidRDefault="00EC3374" w:rsidP="00953DE0">
            <w:pPr>
              <w:rPr>
                <w:lang w:val="en-US"/>
              </w:rPr>
            </w:pPr>
            <w:r w:rsidRPr="00012037">
              <w:rPr>
                <w:lang w:val="en-US"/>
              </w:rPr>
              <w:t>Aggregate nominal risk exposure</w:t>
            </w:r>
          </w:p>
          <w:p w14:paraId="58F83E5F" w14:textId="77777777" w:rsidR="00EC3374" w:rsidRPr="00012037" w:rsidRDefault="002E08B2" w:rsidP="00EC3374">
            <w:pPr>
              <w:numPr>
                <w:ilvl w:val="0"/>
                <w:numId w:val="3"/>
              </w:numPr>
              <w:rPr>
                <w:lang w:val="en-US"/>
              </w:rPr>
            </w:pPr>
            <w:r>
              <w:rPr>
                <w:lang w:val="en-US"/>
              </w:rPr>
              <w:t>01-01-20</w:t>
            </w:r>
            <w:r>
              <w:rPr>
                <w:color w:val="0070C0"/>
                <w:lang w:val="en-US"/>
              </w:rPr>
              <w:t>11</w:t>
            </w:r>
          </w:p>
          <w:p w14:paraId="467DA38B" w14:textId="77777777" w:rsidR="00EC3374" w:rsidRPr="00012037" w:rsidRDefault="002E08B2" w:rsidP="00EC3374">
            <w:pPr>
              <w:numPr>
                <w:ilvl w:val="0"/>
                <w:numId w:val="3"/>
              </w:numPr>
              <w:rPr>
                <w:lang w:val="en-US"/>
              </w:rPr>
            </w:pPr>
            <w:r>
              <w:rPr>
                <w:lang w:val="en-US"/>
              </w:rPr>
              <w:t>31-12-20</w:t>
            </w:r>
            <w:r w:rsidRPr="002E08B2">
              <w:rPr>
                <w:color w:val="0070C0"/>
                <w:lang w:val="en-US"/>
              </w:rPr>
              <w:t>11</w:t>
            </w:r>
          </w:p>
        </w:tc>
        <w:tc>
          <w:tcPr>
            <w:tcW w:w="4961" w:type="dxa"/>
          </w:tcPr>
          <w:p w14:paraId="5CF7EDF3" w14:textId="77777777" w:rsidR="003F1258" w:rsidRPr="00A54EC8" w:rsidRDefault="003F1258">
            <w:pPr>
              <w:rPr>
                <w:color w:val="0070C0"/>
                <w:lang w:val="en-US"/>
              </w:rPr>
            </w:pPr>
          </w:p>
          <w:p w14:paraId="2E70770B" w14:textId="77777777" w:rsidR="00B00FF9" w:rsidRPr="004D5AD9" w:rsidRDefault="00B00FF9">
            <w:pPr>
              <w:rPr>
                <w:color w:val="0070C0"/>
                <w:lang w:val="da-DK"/>
              </w:rPr>
            </w:pPr>
            <w:r w:rsidRPr="004D5AD9">
              <w:rPr>
                <w:color w:val="0070C0"/>
                <w:lang w:val="da-DK"/>
              </w:rPr>
              <w:t xml:space="preserve">DKK </w:t>
            </w:r>
            <w:r w:rsidR="004D5AD9" w:rsidRPr="004D5AD9">
              <w:rPr>
                <w:color w:val="0070C0"/>
                <w:lang w:val="da-DK"/>
              </w:rPr>
              <w:t>48115</w:t>
            </w:r>
            <w:r w:rsidR="001D6EDE" w:rsidRPr="004D5AD9">
              <w:rPr>
                <w:color w:val="0070C0"/>
                <w:lang w:val="da-DK"/>
              </w:rPr>
              <w:t xml:space="preserve"> </w:t>
            </w:r>
            <w:r w:rsidR="004D5AD9" w:rsidRPr="004D5AD9">
              <w:rPr>
                <w:color w:val="0070C0"/>
                <w:lang w:val="da-DK"/>
              </w:rPr>
              <w:t>m</w:t>
            </w:r>
            <w:r w:rsidRPr="004D5AD9">
              <w:rPr>
                <w:color w:val="0070C0"/>
                <w:lang w:val="da-DK"/>
              </w:rPr>
              <w:t>illion</w:t>
            </w:r>
            <w:r w:rsidR="00E02608" w:rsidRPr="004D5AD9">
              <w:rPr>
                <w:color w:val="0070C0"/>
                <w:lang w:val="da-DK"/>
              </w:rPr>
              <w:t xml:space="preserve"> (EUR </w:t>
            </w:r>
            <w:r w:rsidR="001D6EDE" w:rsidRPr="004D5AD9">
              <w:rPr>
                <w:color w:val="0070C0"/>
                <w:lang w:val="da-DK"/>
              </w:rPr>
              <w:t>6</w:t>
            </w:r>
            <w:r w:rsidR="004D5AD9" w:rsidRPr="004D5AD9">
              <w:rPr>
                <w:color w:val="0070C0"/>
                <w:lang w:val="da-DK"/>
              </w:rPr>
              <w:t>455</w:t>
            </w:r>
            <w:r w:rsidR="00E02608" w:rsidRPr="004D5AD9">
              <w:rPr>
                <w:color w:val="0070C0"/>
                <w:lang w:val="da-DK"/>
              </w:rPr>
              <w:t xml:space="preserve"> </w:t>
            </w:r>
            <w:r w:rsidR="004D5AD9" w:rsidRPr="004D5AD9">
              <w:rPr>
                <w:color w:val="0070C0"/>
                <w:lang w:val="da-DK"/>
              </w:rPr>
              <w:t>m</w:t>
            </w:r>
            <w:r w:rsidR="00E02608" w:rsidRPr="004D5AD9">
              <w:rPr>
                <w:color w:val="0070C0"/>
                <w:lang w:val="da-DK"/>
              </w:rPr>
              <w:t>illion)</w:t>
            </w:r>
          </w:p>
          <w:p w14:paraId="2B93ACD3" w14:textId="77777777" w:rsidR="00B00FF9" w:rsidRPr="004D5AD9" w:rsidRDefault="00B00FF9" w:rsidP="004D5AD9">
            <w:pPr>
              <w:rPr>
                <w:color w:val="0070C0"/>
                <w:lang w:val="da-DK"/>
              </w:rPr>
            </w:pPr>
            <w:r w:rsidRPr="004D5AD9">
              <w:rPr>
                <w:color w:val="0070C0"/>
                <w:lang w:val="da-DK"/>
              </w:rPr>
              <w:t xml:space="preserve">DKK </w:t>
            </w:r>
            <w:r w:rsidR="004D5AD9" w:rsidRPr="004D5AD9">
              <w:rPr>
                <w:color w:val="0070C0"/>
                <w:lang w:val="da-DK"/>
              </w:rPr>
              <w:t>61491</w:t>
            </w:r>
            <w:r w:rsidR="001D6EDE" w:rsidRPr="004D5AD9">
              <w:rPr>
                <w:color w:val="0070C0"/>
                <w:lang w:val="da-DK"/>
              </w:rPr>
              <w:t xml:space="preserve"> </w:t>
            </w:r>
            <w:r w:rsidR="004D5AD9" w:rsidRPr="004D5AD9">
              <w:rPr>
                <w:color w:val="0070C0"/>
                <w:lang w:val="da-DK"/>
              </w:rPr>
              <w:t>m</w:t>
            </w:r>
            <w:r w:rsidRPr="004D5AD9">
              <w:rPr>
                <w:color w:val="0070C0"/>
                <w:lang w:val="da-DK"/>
              </w:rPr>
              <w:t>illion</w:t>
            </w:r>
            <w:r w:rsidR="00E02608" w:rsidRPr="004D5AD9">
              <w:rPr>
                <w:color w:val="0070C0"/>
                <w:lang w:val="da-DK"/>
              </w:rPr>
              <w:t xml:space="preserve"> (EUR </w:t>
            </w:r>
            <w:r w:rsidR="001D6EDE" w:rsidRPr="004D5AD9">
              <w:rPr>
                <w:color w:val="0070C0"/>
                <w:lang w:val="da-DK"/>
              </w:rPr>
              <w:t>8</w:t>
            </w:r>
            <w:r w:rsidR="004D5AD9" w:rsidRPr="004D5AD9">
              <w:rPr>
                <w:color w:val="0070C0"/>
                <w:lang w:val="da-DK"/>
              </w:rPr>
              <w:t>271</w:t>
            </w:r>
            <w:r w:rsidR="00E02608" w:rsidRPr="004D5AD9">
              <w:rPr>
                <w:color w:val="0070C0"/>
                <w:lang w:val="da-DK"/>
              </w:rPr>
              <w:t xml:space="preserve"> </w:t>
            </w:r>
            <w:r w:rsidR="004D5AD9" w:rsidRPr="004D5AD9">
              <w:rPr>
                <w:color w:val="0070C0"/>
                <w:lang w:val="da-DK"/>
              </w:rPr>
              <w:t>m</w:t>
            </w:r>
            <w:r w:rsidR="00E02608" w:rsidRPr="004D5AD9">
              <w:rPr>
                <w:color w:val="0070C0"/>
                <w:lang w:val="da-DK"/>
              </w:rPr>
              <w:t>illion)</w:t>
            </w:r>
          </w:p>
        </w:tc>
      </w:tr>
      <w:tr w:rsidR="003F1258" w:rsidRPr="00B056B1" w14:paraId="48534244" w14:textId="77777777" w:rsidTr="00014D5B">
        <w:tc>
          <w:tcPr>
            <w:tcW w:w="4325" w:type="dxa"/>
          </w:tcPr>
          <w:p w14:paraId="23FCE358" w14:textId="77777777" w:rsidR="00EC3374" w:rsidRPr="00012037" w:rsidRDefault="00EC3374" w:rsidP="00EC3374">
            <w:pPr>
              <w:rPr>
                <w:lang w:val="en-US"/>
              </w:rPr>
            </w:pPr>
            <w:r w:rsidRPr="00012037">
              <w:rPr>
                <w:lang w:val="en-US"/>
              </w:rPr>
              <w:t>a.) nominal risk exposure under insurance policies issued</w:t>
            </w:r>
          </w:p>
          <w:p w14:paraId="37AA7BDD" w14:textId="77777777" w:rsidR="002E08B2" w:rsidRPr="00012037" w:rsidRDefault="002E08B2" w:rsidP="002E08B2">
            <w:pPr>
              <w:numPr>
                <w:ilvl w:val="0"/>
                <w:numId w:val="3"/>
              </w:numPr>
              <w:rPr>
                <w:lang w:val="en-US"/>
              </w:rPr>
            </w:pPr>
            <w:r>
              <w:rPr>
                <w:lang w:val="en-US"/>
              </w:rPr>
              <w:t>01-01-20</w:t>
            </w:r>
            <w:r>
              <w:rPr>
                <w:color w:val="0070C0"/>
                <w:lang w:val="en-US"/>
              </w:rPr>
              <w:t>11</w:t>
            </w:r>
          </w:p>
          <w:p w14:paraId="225E9F69" w14:textId="77777777" w:rsidR="00EC3374" w:rsidRPr="00012037" w:rsidRDefault="002E08B2" w:rsidP="00072C22">
            <w:pPr>
              <w:numPr>
                <w:ilvl w:val="0"/>
                <w:numId w:val="3"/>
              </w:numPr>
              <w:rPr>
                <w:lang w:val="en-US"/>
              </w:rPr>
            </w:pPr>
            <w:r>
              <w:rPr>
                <w:lang w:val="en-US"/>
              </w:rPr>
              <w:t>31-12-20</w:t>
            </w:r>
            <w:r w:rsidRPr="002E08B2">
              <w:rPr>
                <w:color w:val="0070C0"/>
                <w:lang w:val="en-US"/>
              </w:rPr>
              <w:t>11</w:t>
            </w:r>
          </w:p>
        </w:tc>
        <w:tc>
          <w:tcPr>
            <w:tcW w:w="4961" w:type="dxa"/>
          </w:tcPr>
          <w:p w14:paraId="2316359F" w14:textId="77777777" w:rsidR="0021353C" w:rsidRPr="00A54EC8" w:rsidRDefault="0021353C">
            <w:pPr>
              <w:rPr>
                <w:color w:val="0070C0"/>
                <w:lang w:val="en-US"/>
              </w:rPr>
            </w:pPr>
          </w:p>
          <w:p w14:paraId="2613CA43" w14:textId="77777777" w:rsidR="0021353C" w:rsidRPr="00A54EC8" w:rsidRDefault="0021353C" w:rsidP="0021353C">
            <w:pPr>
              <w:rPr>
                <w:color w:val="0070C0"/>
                <w:lang w:val="en-US"/>
              </w:rPr>
            </w:pPr>
          </w:p>
          <w:p w14:paraId="60433A57" w14:textId="77777777" w:rsidR="003F1258" w:rsidRPr="004D5AD9" w:rsidRDefault="00B609B5" w:rsidP="0021353C">
            <w:pPr>
              <w:rPr>
                <w:color w:val="0070C0"/>
                <w:lang w:val="da-DK"/>
              </w:rPr>
            </w:pPr>
            <w:r w:rsidRPr="004D5AD9">
              <w:rPr>
                <w:color w:val="0070C0"/>
                <w:lang w:val="da-DK"/>
              </w:rPr>
              <w:t>DKK 3</w:t>
            </w:r>
            <w:r w:rsidR="004D5AD9" w:rsidRPr="004D5AD9">
              <w:rPr>
                <w:color w:val="0070C0"/>
                <w:lang w:val="da-DK"/>
              </w:rPr>
              <w:t>1049</w:t>
            </w:r>
            <w:r w:rsidRPr="004D5AD9">
              <w:rPr>
                <w:color w:val="0070C0"/>
                <w:lang w:val="da-DK"/>
              </w:rPr>
              <w:t xml:space="preserve"> </w:t>
            </w:r>
            <w:r w:rsidR="004D5AD9" w:rsidRPr="004D5AD9">
              <w:rPr>
                <w:color w:val="0070C0"/>
                <w:lang w:val="da-DK"/>
              </w:rPr>
              <w:t>m</w:t>
            </w:r>
            <w:r w:rsidRPr="004D5AD9">
              <w:rPr>
                <w:color w:val="0070C0"/>
                <w:lang w:val="da-DK"/>
              </w:rPr>
              <w:t>illion</w:t>
            </w:r>
            <w:r w:rsidR="00E02608" w:rsidRPr="004D5AD9">
              <w:rPr>
                <w:color w:val="0070C0"/>
                <w:lang w:val="da-DK"/>
              </w:rPr>
              <w:t xml:space="preserve"> (EUR 4</w:t>
            </w:r>
            <w:r w:rsidR="004D5AD9" w:rsidRPr="004D5AD9">
              <w:rPr>
                <w:color w:val="0070C0"/>
                <w:lang w:val="da-DK"/>
              </w:rPr>
              <w:t>165</w:t>
            </w:r>
            <w:r w:rsidR="00E02608" w:rsidRPr="004D5AD9">
              <w:rPr>
                <w:color w:val="0070C0"/>
                <w:lang w:val="da-DK"/>
              </w:rPr>
              <w:t xml:space="preserve"> </w:t>
            </w:r>
            <w:r w:rsidR="004D5AD9" w:rsidRPr="004D5AD9">
              <w:rPr>
                <w:color w:val="0070C0"/>
                <w:lang w:val="da-DK"/>
              </w:rPr>
              <w:t>m</w:t>
            </w:r>
            <w:r w:rsidR="00E02608" w:rsidRPr="004D5AD9">
              <w:rPr>
                <w:color w:val="0070C0"/>
                <w:lang w:val="da-DK"/>
              </w:rPr>
              <w:t>illion)</w:t>
            </w:r>
          </w:p>
          <w:p w14:paraId="0E21F8D2" w14:textId="77777777" w:rsidR="0021353C" w:rsidRPr="004D5AD9" w:rsidRDefault="0021353C" w:rsidP="004D5AD9">
            <w:pPr>
              <w:rPr>
                <w:color w:val="0070C0"/>
                <w:lang w:val="da-DK"/>
              </w:rPr>
            </w:pPr>
            <w:r w:rsidRPr="004D5AD9">
              <w:rPr>
                <w:color w:val="0070C0"/>
                <w:lang w:val="da-DK"/>
              </w:rPr>
              <w:t xml:space="preserve">DKK </w:t>
            </w:r>
            <w:r w:rsidR="004D5AD9" w:rsidRPr="004D5AD9">
              <w:rPr>
                <w:color w:val="0070C0"/>
                <w:lang w:val="da-DK"/>
              </w:rPr>
              <w:t>39339</w:t>
            </w:r>
            <w:r w:rsidR="006E5115" w:rsidRPr="004D5AD9">
              <w:rPr>
                <w:color w:val="0070C0"/>
                <w:lang w:val="da-DK"/>
              </w:rPr>
              <w:t xml:space="preserve"> </w:t>
            </w:r>
            <w:r w:rsidR="004D5AD9" w:rsidRPr="004D5AD9">
              <w:rPr>
                <w:color w:val="0070C0"/>
                <w:lang w:val="da-DK"/>
              </w:rPr>
              <w:t>m</w:t>
            </w:r>
            <w:r w:rsidR="006E5115" w:rsidRPr="004D5AD9">
              <w:rPr>
                <w:color w:val="0070C0"/>
                <w:lang w:val="da-DK"/>
              </w:rPr>
              <w:t>illion</w:t>
            </w:r>
            <w:r w:rsidR="00116279" w:rsidRPr="004D5AD9">
              <w:rPr>
                <w:color w:val="0070C0"/>
                <w:lang w:val="da-DK"/>
              </w:rPr>
              <w:t xml:space="preserve"> (EUR 5</w:t>
            </w:r>
            <w:r w:rsidR="004D5AD9" w:rsidRPr="004D5AD9">
              <w:rPr>
                <w:color w:val="0070C0"/>
                <w:lang w:val="da-DK"/>
              </w:rPr>
              <w:t>292</w:t>
            </w:r>
            <w:r w:rsidR="00E02608" w:rsidRPr="004D5AD9">
              <w:rPr>
                <w:color w:val="0070C0"/>
                <w:lang w:val="da-DK"/>
              </w:rPr>
              <w:t xml:space="preserve"> </w:t>
            </w:r>
            <w:r w:rsidR="004D5AD9" w:rsidRPr="004D5AD9">
              <w:rPr>
                <w:color w:val="0070C0"/>
                <w:lang w:val="da-DK"/>
              </w:rPr>
              <w:t>m</w:t>
            </w:r>
            <w:r w:rsidR="00E02608" w:rsidRPr="004D5AD9">
              <w:rPr>
                <w:color w:val="0070C0"/>
                <w:lang w:val="da-DK"/>
              </w:rPr>
              <w:t>illion)</w:t>
            </w:r>
          </w:p>
        </w:tc>
      </w:tr>
      <w:tr w:rsidR="003F1258" w:rsidRPr="00B056B1" w14:paraId="0F77CEBD" w14:textId="77777777" w:rsidTr="00014D5B">
        <w:trPr>
          <w:trHeight w:val="262"/>
        </w:trPr>
        <w:tc>
          <w:tcPr>
            <w:tcW w:w="4325" w:type="dxa"/>
          </w:tcPr>
          <w:p w14:paraId="3D220A76" w14:textId="77777777" w:rsidR="00EC3374" w:rsidRPr="00012037" w:rsidRDefault="00EC3374" w:rsidP="00EC3374">
            <w:pPr>
              <w:rPr>
                <w:lang w:val="en-US"/>
              </w:rPr>
            </w:pPr>
            <w:r w:rsidRPr="00012037">
              <w:rPr>
                <w:lang w:val="en-US"/>
              </w:rPr>
              <w:t>b.) nominal risk exposure under promises and notices of cover</w:t>
            </w:r>
          </w:p>
          <w:p w14:paraId="5DF82FF3" w14:textId="77777777" w:rsidR="002E08B2" w:rsidRPr="00012037" w:rsidRDefault="002E08B2" w:rsidP="002E08B2">
            <w:pPr>
              <w:numPr>
                <w:ilvl w:val="0"/>
                <w:numId w:val="3"/>
              </w:numPr>
              <w:rPr>
                <w:lang w:val="en-US"/>
              </w:rPr>
            </w:pPr>
            <w:r>
              <w:rPr>
                <w:lang w:val="en-US"/>
              </w:rPr>
              <w:t>01-01-20</w:t>
            </w:r>
            <w:r>
              <w:rPr>
                <w:color w:val="0070C0"/>
                <w:lang w:val="en-US"/>
              </w:rPr>
              <w:t>11</w:t>
            </w:r>
          </w:p>
          <w:p w14:paraId="15546A60" w14:textId="77777777" w:rsidR="00EC3374" w:rsidRPr="00012037" w:rsidRDefault="002E08B2" w:rsidP="00072C22">
            <w:pPr>
              <w:numPr>
                <w:ilvl w:val="0"/>
                <w:numId w:val="3"/>
              </w:numPr>
              <w:rPr>
                <w:lang w:val="en-US"/>
              </w:rPr>
            </w:pPr>
            <w:r>
              <w:rPr>
                <w:lang w:val="en-US"/>
              </w:rPr>
              <w:t>31-12-20</w:t>
            </w:r>
            <w:r w:rsidRPr="002E08B2">
              <w:rPr>
                <w:color w:val="0070C0"/>
                <w:lang w:val="en-US"/>
              </w:rPr>
              <w:t>11</w:t>
            </w:r>
          </w:p>
        </w:tc>
        <w:tc>
          <w:tcPr>
            <w:tcW w:w="4961" w:type="dxa"/>
          </w:tcPr>
          <w:p w14:paraId="6281AA55" w14:textId="77777777" w:rsidR="003F1258" w:rsidRPr="00A54EC8" w:rsidRDefault="003F1258">
            <w:pPr>
              <w:rPr>
                <w:color w:val="0070C0"/>
                <w:lang w:val="en-US"/>
              </w:rPr>
            </w:pPr>
          </w:p>
          <w:p w14:paraId="23706755" w14:textId="77777777" w:rsidR="0021353C" w:rsidRPr="00A54EC8" w:rsidRDefault="0021353C">
            <w:pPr>
              <w:rPr>
                <w:color w:val="0070C0"/>
                <w:lang w:val="en-US"/>
              </w:rPr>
            </w:pPr>
          </w:p>
          <w:p w14:paraId="2A38E34C" w14:textId="77777777" w:rsidR="0021353C" w:rsidRPr="004D5AD9" w:rsidRDefault="00A64857">
            <w:pPr>
              <w:rPr>
                <w:color w:val="0070C0"/>
                <w:lang w:val="da-DK"/>
              </w:rPr>
            </w:pPr>
            <w:r w:rsidRPr="004D5AD9">
              <w:rPr>
                <w:color w:val="0070C0"/>
                <w:lang w:val="da-DK"/>
              </w:rPr>
              <w:t>DKK</w:t>
            </w:r>
            <w:r w:rsidR="00116279" w:rsidRPr="004D5AD9">
              <w:rPr>
                <w:color w:val="0070C0"/>
                <w:lang w:val="da-DK"/>
              </w:rPr>
              <w:t xml:space="preserve"> </w:t>
            </w:r>
            <w:r w:rsidR="004D5AD9" w:rsidRPr="004D5AD9">
              <w:rPr>
                <w:color w:val="0070C0"/>
                <w:lang w:val="da-DK"/>
              </w:rPr>
              <w:t>17094</w:t>
            </w:r>
            <w:r w:rsidR="00B00FF9" w:rsidRPr="004D5AD9">
              <w:rPr>
                <w:color w:val="0070C0"/>
                <w:lang w:val="da-DK"/>
              </w:rPr>
              <w:t xml:space="preserve"> </w:t>
            </w:r>
            <w:r w:rsidR="004D5AD9" w:rsidRPr="004D5AD9">
              <w:rPr>
                <w:color w:val="0070C0"/>
                <w:lang w:val="da-DK"/>
              </w:rPr>
              <w:t>m</w:t>
            </w:r>
            <w:r w:rsidR="00B00FF9" w:rsidRPr="004D5AD9">
              <w:rPr>
                <w:color w:val="0070C0"/>
                <w:lang w:val="da-DK"/>
              </w:rPr>
              <w:t>illion</w:t>
            </w:r>
            <w:r w:rsidR="00116279" w:rsidRPr="004D5AD9">
              <w:rPr>
                <w:color w:val="0070C0"/>
                <w:lang w:val="da-DK"/>
              </w:rPr>
              <w:t xml:space="preserve"> (EUR 2</w:t>
            </w:r>
            <w:r w:rsidR="004D5AD9">
              <w:rPr>
                <w:color w:val="0070C0"/>
                <w:lang w:val="da-DK"/>
              </w:rPr>
              <w:t>289</w:t>
            </w:r>
            <w:r w:rsidR="00E02608" w:rsidRPr="004D5AD9">
              <w:rPr>
                <w:color w:val="0070C0"/>
                <w:lang w:val="da-DK"/>
              </w:rPr>
              <w:t xml:space="preserve"> </w:t>
            </w:r>
            <w:r w:rsidR="004D5AD9" w:rsidRPr="004D5AD9">
              <w:rPr>
                <w:color w:val="0070C0"/>
                <w:lang w:val="da-DK"/>
              </w:rPr>
              <w:t>m</w:t>
            </w:r>
            <w:r w:rsidR="00E02608" w:rsidRPr="004D5AD9">
              <w:rPr>
                <w:color w:val="0070C0"/>
                <w:lang w:val="da-DK"/>
              </w:rPr>
              <w:t>illion)</w:t>
            </w:r>
          </w:p>
          <w:p w14:paraId="6374B605" w14:textId="77777777" w:rsidR="0021353C" w:rsidRPr="004D5AD9" w:rsidRDefault="0021353C" w:rsidP="004D5AD9">
            <w:pPr>
              <w:rPr>
                <w:color w:val="0070C0"/>
                <w:lang w:val="da-DK"/>
              </w:rPr>
            </w:pPr>
            <w:r w:rsidRPr="004D5AD9">
              <w:rPr>
                <w:color w:val="0070C0"/>
                <w:lang w:val="da-DK"/>
              </w:rPr>
              <w:t xml:space="preserve">DKK </w:t>
            </w:r>
            <w:r w:rsidR="004D5AD9" w:rsidRPr="004D5AD9">
              <w:rPr>
                <w:color w:val="0070C0"/>
                <w:lang w:val="da-DK"/>
              </w:rPr>
              <w:t>22152</w:t>
            </w:r>
            <w:r w:rsidR="00B00FF9" w:rsidRPr="004D5AD9">
              <w:rPr>
                <w:color w:val="0070C0"/>
                <w:lang w:val="da-DK"/>
              </w:rPr>
              <w:t xml:space="preserve"> </w:t>
            </w:r>
            <w:r w:rsidR="004D5AD9" w:rsidRPr="004D5AD9">
              <w:rPr>
                <w:color w:val="0070C0"/>
                <w:lang w:val="da-DK"/>
              </w:rPr>
              <w:t>m</w:t>
            </w:r>
            <w:r w:rsidR="00B00FF9" w:rsidRPr="004D5AD9">
              <w:rPr>
                <w:color w:val="0070C0"/>
                <w:lang w:val="da-DK"/>
              </w:rPr>
              <w:t>illion</w:t>
            </w:r>
            <w:r w:rsidR="00E02608" w:rsidRPr="004D5AD9">
              <w:rPr>
                <w:color w:val="0070C0"/>
                <w:lang w:val="da-DK"/>
              </w:rPr>
              <w:t xml:space="preserve"> (EUR </w:t>
            </w:r>
            <w:r w:rsidR="004D5AD9">
              <w:rPr>
                <w:color w:val="0070C0"/>
                <w:lang w:val="da-DK"/>
              </w:rPr>
              <w:t>2980</w:t>
            </w:r>
            <w:r w:rsidR="00E02608" w:rsidRPr="004D5AD9">
              <w:rPr>
                <w:color w:val="0070C0"/>
                <w:lang w:val="da-DK"/>
              </w:rPr>
              <w:t xml:space="preserve"> </w:t>
            </w:r>
            <w:r w:rsidR="004D5AD9" w:rsidRPr="004D5AD9">
              <w:rPr>
                <w:color w:val="0070C0"/>
                <w:lang w:val="da-DK"/>
              </w:rPr>
              <w:t>m</w:t>
            </w:r>
            <w:r w:rsidR="00E02608" w:rsidRPr="004D5AD9">
              <w:rPr>
                <w:color w:val="0070C0"/>
                <w:lang w:val="da-DK"/>
              </w:rPr>
              <w:t>illion)</w:t>
            </w:r>
          </w:p>
        </w:tc>
      </w:tr>
      <w:tr w:rsidR="003F1258" w:rsidRPr="00012037" w14:paraId="62479056" w14:textId="77777777" w:rsidTr="00014D5B">
        <w:tc>
          <w:tcPr>
            <w:tcW w:w="4325" w:type="dxa"/>
          </w:tcPr>
          <w:p w14:paraId="0242D1E0" w14:textId="77777777" w:rsidR="003F1258" w:rsidRPr="00012037" w:rsidRDefault="00EC3374" w:rsidP="00072C22">
            <w:pPr>
              <w:rPr>
                <w:lang w:val="en-US"/>
              </w:rPr>
            </w:pPr>
            <w:r w:rsidRPr="00012037">
              <w:rPr>
                <w:lang w:val="en-US"/>
              </w:rPr>
              <w:t xml:space="preserve">Premium </w:t>
            </w:r>
            <w:r w:rsidR="00366265" w:rsidRPr="00012037">
              <w:rPr>
                <w:lang w:val="en-US"/>
              </w:rPr>
              <w:t>I</w:t>
            </w:r>
            <w:r w:rsidRPr="00012037">
              <w:rPr>
                <w:lang w:val="en-US"/>
              </w:rPr>
              <w:t>ncome</w:t>
            </w:r>
          </w:p>
        </w:tc>
        <w:tc>
          <w:tcPr>
            <w:tcW w:w="4961" w:type="dxa"/>
          </w:tcPr>
          <w:p w14:paraId="587A2E1A" w14:textId="77777777" w:rsidR="003F1258" w:rsidRPr="00A54EC8" w:rsidRDefault="00B76683" w:rsidP="004D5AD9">
            <w:pPr>
              <w:rPr>
                <w:color w:val="0070C0"/>
                <w:lang w:val="en-US"/>
              </w:rPr>
            </w:pPr>
            <w:r w:rsidRPr="00A54EC8">
              <w:rPr>
                <w:color w:val="0070C0"/>
                <w:lang w:val="en-US"/>
              </w:rPr>
              <w:t xml:space="preserve">DKK </w:t>
            </w:r>
            <w:r w:rsidR="001D6EDE">
              <w:rPr>
                <w:color w:val="0070C0"/>
                <w:lang w:val="en-US"/>
              </w:rPr>
              <w:t>1</w:t>
            </w:r>
            <w:r w:rsidR="004D5AD9">
              <w:rPr>
                <w:color w:val="0070C0"/>
                <w:lang w:val="en-US"/>
              </w:rPr>
              <w:t xml:space="preserve">290 </w:t>
            </w:r>
            <w:r w:rsidR="006E5115" w:rsidRPr="00A54EC8">
              <w:rPr>
                <w:color w:val="0070C0"/>
                <w:lang w:val="en-US"/>
              </w:rPr>
              <w:t>million</w:t>
            </w:r>
            <w:r w:rsidR="00E02608" w:rsidRPr="00A54EC8">
              <w:rPr>
                <w:color w:val="0070C0"/>
                <w:lang w:val="en-US"/>
              </w:rPr>
              <w:t xml:space="preserve"> (EUR </w:t>
            </w:r>
            <w:r w:rsidR="001D6EDE">
              <w:rPr>
                <w:color w:val="0070C0"/>
                <w:lang w:val="en-US"/>
              </w:rPr>
              <w:t>1</w:t>
            </w:r>
            <w:r w:rsidR="004D5AD9">
              <w:rPr>
                <w:color w:val="0070C0"/>
                <w:lang w:val="en-US"/>
              </w:rPr>
              <w:t>73</w:t>
            </w:r>
            <w:r w:rsidR="00E02608" w:rsidRPr="00A54EC8">
              <w:rPr>
                <w:color w:val="0070C0"/>
                <w:lang w:val="en-US"/>
              </w:rPr>
              <w:t xml:space="preserve"> million)</w:t>
            </w:r>
          </w:p>
        </w:tc>
      </w:tr>
      <w:tr w:rsidR="003F1258" w:rsidRPr="00012037" w14:paraId="116CA3BC" w14:textId="77777777" w:rsidTr="00014D5B">
        <w:tc>
          <w:tcPr>
            <w:tcW w:w="4325" w:type="dxa"/>
          </w:tcPr>
          <w:p w14:paraId="6E790B81" w14:textId="77777777" w:rsidR="003F1258" w:rsidRPr="00012037" w:rsidRDefault="00EC3374" w:rsidP="00072C22">
            <w:pPr>
              <w:rPr>
                <w:lang w:val="en-US"/>
              </w:rPr>
            </w:pPr>
            <w:r w:rsidRPr="00012037">
              <w:rPr>
                <w:lang w:val="en-US"/>
              </w:rPr>
              <w:t>Recoveries</w:t>
            </w:r>
          </w:p>
        </w:tc>
        <w:tc>
          <w:tcPr>
            <w:tcW w:w="4961" w:type="dxa"/>
          </w:tcPr>
          <w:p w14:paraId="34BB5305" w14:textId="77777777" w:rsidR="003F1258" w:rsidRPr="00A54EC8" w:rsidRDefault="00B609B5" w:rsidP="004D5AD9">
            <w:pPr>
              <w:rPr>
                <w:color w:val="0070C0"/>
                <w:lang w:val="en-US"/>
              </w:rPr>
            </w:pPr>
            <w:r w:rsidRPr="00A54EC8">
              <w:rPr>
                <w:color w:val="0070C0"/>
                <w:lang w:val="en-US"/>
              </w:rPr>
              <w:t xml:space="preserve">DKK </w:t>
            </w:r>
            <w:r w:rsidR="004D5AD9">
              <w:rPr>
                <w:color w:val="0070C0"/>
                <w:lang w:val="en-US"/>
              </w:rPr>
              <w:t>10</w:t>
            </w:r>
            <w:r w:rsidRPr="00A54EC8">
              <w:rPr>
                <w:color w:val="0070C0"/>
                <w:lang w:val="en-US"/>
              </w:rPr>
              <w:t xml:space="preserve"> million</w:t>
            </w:r>
            <w:r w:rsidR="00E02608" w:rsidRPr="00A54EC8">
              <w:rPr>
                <w:color w:val="0070C0"/>
                <w:lang w:val="en-US"/>
              </w:rPr>
              <w:t xml:space="preserve"> (EUR</w:t>
            </w:r>
            <w:r w:rsidR="004D5AD9">
              <w:rPr>
                <w:color w:val="0070C0"/>
                <w:lang w:val="en-US"/>
              </w:rPr>
              <w:t xml:space="preserve"> </w:t>
            </w:r>
            <w:r w:rsidR="00E02608" w:rsidRPr="00A54EC8">
              <w:rPr>
                <w:color w:val="0070C0"/>
                <w:lang w:val="en-US"/>
              </w:rPr>
              <w:t>1 million)</w:t>
            </w:r>
          </w:p>
        </w:tc>
      </w:tr>
      <w:tr w:rsidR="00EC3374" w:rsidRPr="00012037" w14:paraId="5537509D" w14:textId="77777777" w:rsidTr="00014D5B">
        <w:tc>
          <w:tcPr>
            <w:tcW w:w="4325" w:type="dxa"/>
          </w:tcPr>
          <w:p w14:paraId="0FD230A0" w14:textId="77777777" w:rsidR="00EC3374" w:rsidRPr="00012037" w:rsidRDefault="00EC3374" w:rsidP="00072C22">
            <w:pPr>
              <w:rPr>
                <w:lang w:val="en-US"/>
              </w:rPr>
            </w:pPr>
            <w:r w:rsidRPr="00012037">
              <w:rPr>
                <w:lang w:val="en-US"/>
              </w:rPr>
              <w:t>Claims paid</w:t>
            </w:r>
          </w:p>
        </w:tc>
        <w:tc>
          <w:tcPr>
            <w:tcW w:w="4961" w:type="dxa"/>
          </w:tcPr>
          <w:p w14:paraId="0DA02EFD" w14:textId="77777777" w:rsidR="00EC3374" w:rsidRPr="00A54EC8" w:rsidRDefault="00B76683" w:rsidP="004D5AD9">
            <w:pPr>
              <w:rPr>
                <w:color w:val="0070C0"/>
                <w:lang w:val="en-US"/>
              </w:rPr>
            </w:pPr>
            <w:r w:rsidRPr="00A54EC8">
              <w:rPr>
                <w:color w:val="0070C0"/>
                <w:lang w:val="en-US"/>
              </w:rPr>
              <w:t xml:space="preserve">DKK </w:t>
            </w:r>
            <w:r w:rsidR="004D5AD9">
              <w:rPr>
                <w:color w:val="0070C0"/>
                <w:lang w:val="en-US"/>
              </w:rPr>
              <w:t>25</w:t>
            </w:r>
            <w:r w:rsidR="00564DD5" w:rsidRPr="00A54EC8">
              <w:rPr>
                <w:color w:val="0070C0"/>
                <w:lang w:val="en-US"/>
              </w:rPr>
              <w:t xml:space="preserve"> </w:t>
            </w:r>
            <w:r w:rsidR="00AC4A1D" w:rsidRPr="00A54EC8">
              <w:rPr>
                <w:color w:val="0070C0"/>
                <w:lang w:val="en-US"/>
              </w:rPr>
              <w:t>million</w:t>
            </w:r>
            <w:r w:rsidR="00116279" w:rsidRPr="00A54EC8">
              <w:rPr>
                <w:color w:val="0070C0"/>
                <w:lang w:val="en-US"/>
              </w:rPr>
              <w:t xml:space="preserve"> </w:t>
            </w:r>
            <w:r w:rsidR="00E02608" w:rsidRPr="00A54EC8">
              <w:rPr>
                <w:color w:val="0070C0"/>
                <w:lang w:val="en-US"/>
              </w:rPr>
              <w:t xml:space="preserve">(EUR </w:t>
            </w:r>
            <w:r w:rsidR="004D5AD9">
              <w:rPr>
                <w:color w:val="0070C0"/>
                <w:lang w:val="en-US"/>
              </w:rPr>
              <w:t>3</w:t>
            </w:r>
            <w:r w:rsidR="00E02608" w:rsidRPr="00A54EC8">
              <w:rPr>
                <w:color w:val="0070C0"/>
                <w:lang w:val="en-US"/>
              </w:rPr>
              <w:t xml:space="preserve"> million)</w:t>
            </w:r>
          </w:p>
        </w:tc>
      </w:tr>
      <w:tr w:rsidR="001B138A" w:rsidRPr="006875D2" w14:paraId="4C84CEA6" w14:textId="77777777" w:rsidTr="001B138A">
        <w:tc>
          <w:tcPr>
            <w:tcW w:w="9286" w:type="dxa"/>
            <w:gridSpan w:val="2"/>
            <w:tcBorders>
              <w:top w:val="single" w:sz="4" w:space="0" w:color="auto"/>
              <w:left w:val="single" w:sz="4" w:space="0" w:color="auto"/>
              <w:bottom w:val="single" w:sz="4" w:space="0" w:color="auto"/>
              <w:right w:val="single" w:sz="4" w:space="0" w:color="auto"/>
            </w:tcBorders>
          </w:tcPr>
          <w:p w14:paraId="461C736C" w14:textId="77777777" w:rsidR="001B138A" w:rsidRPr="00C274BC" w:rsidRDefault="001B138A" w:rsidP="004D5AD9">
            <w:pPr>
              <w:numPr>
                <w:ilvl w:val="0"/>
                <w:numId w:val="6"/>
              </w:numPr>
              <w:jc w:val="center"/>
              <w:rPr>
                <w:color w:val="4F81BD"/>
                <w:lang w:val="en-US"/>
              </w:rPr>
            </w:pPr>
            <w:r w:rsidRPr="006875D2">
              <w:rPr>
                <w:b/>
                <w:lang w:val="en-US"/>
              </w:rPr>
              <w:t>In case official support is provided in the form of Official Financing Support in the sense of Article 5a2) OECD Arrangement:</w:t>
            </w:r>
          </w:p>
        </w:tc>
      </w:tr>
      <w:tr w:rsidR="00EC3374" w:rsidRPr="006875D2" w14:paraId="3C53301F" w14:textId="77777777" w:rsidTr="00014D5B">
        <w:tc>
          <w:tcPr>
            <w:tcW w:w="4325" w:type="dxa"/>
            <w:tcBorders>
              <w:top w:val="single" w:sz="4" w:space="0" w:color="auto"/>
              <w:left w:val="single" w:sz="4" w:space="0" w:color="auto"/>
              <w:bottom w:val="single" w:sz="4" w:space="0" w:color="auto"/>
              <w:right w:val="single" w:sz="4" w:space="0" w:color="auto"/>
            </w:tcBorders>
          </w:tcPr>
          <w:p w14:paraId="1DF89D09" w14:textId="77777777" w:rsidR="00EC3374" w:rsidRPr="006875D2" w:rsidRDefault="00366265" w:rsidP="00EC3374">
            <w:pPr>
              <w:rPr>
                <w:lang w:val="en-US"/>
              </w:rPr>
            </w:pPr>
            <w:r w:rsidRPr="006875D2">
              <w:rPr>
                <w:lang w:val="en-US"/>
              </w:rPr>
              <w:t>Overview of a</w:t>
            </w:r>
            <w:r w:rsidR="00EC3374" w:rsidRPr="006875D2">
              <w:rPr>
                <w:lang w:val="en-US"/>
              </w:rPr>
              <w:t>ssets</w:t>
            </w:r>
          </w:p>
        </w:tc>
        <w:tc>
          <w:tcPr>
            <w:tcW w:w="4961" w:type="dxa"/>
            <w:tcBorders>
              <w:top w:val="single" w:sz="4" w:space="0" w:color="auto"/>
              <w:left w:val="single" w:sz="4" w:space="0" w:color="auto"/>
              <w:bottom w:val="single" w:sz="4" w:space="0" w:color="auto"/>
              <w:right w:val="single" w:sz="4" w:space="0" w:color="auto"/>
            </w:tcBorders>
          </w:tcPr>
          <w:p w14:paraId="65AD16DE" w14:textId="77777777" w:rsidR="00C46816" w:rsidRPr="002E08B2" w:rsidRDefault="003D2FA5" w:rsidP="004D5AD9">
            <w:pPr>
              <w:rPr>
                <w:color w:val="0070C0"/>
                <w:lang w:val="en-US"/>
              </w:rPr>
            </w:pPr>
            <w:r>
              <w:rPr>
                <w:color w:val="0070C0"/>
                <w:lang w:val="en-US"/>
              </w:rPr>
              <w:t xml:space="preserve">DKK </w:t>
            </w:r>
            <w:r w:rsidR="004D5AD9">
              <w:rPr>
                <w:color w:val="0070C0"/>
                <w:lang w:val="en-US"/>
              </w:rPr>
              <w:t>2613</w:t>
            </w:r>
            <w:r w:rsidR="000F28CC">
              <w:rPr>
                <w:color w:val="0070C0"/>
                <w:lang w:val="en-US"/>
              </w:rPr>
              <w:t xml:space="preserve"> </w:t>
            </w:r>
            <w:r w:rsidR="00BA26B3">
              <w:rPr>
                <w:color w:val="0070C0"/>
                <w:lang w:val="en-US"/>
              </w:rPr>
              <w:t>m</w:t>
            </w:r>
            <w:r w:rsidR="000F28CC">
              <w:rPr>
                <w:color w:val="0070C0"/>
                <w:lang w:val="en-US"/>
              </w:rPr>
              <w:t>illion</w:t>
            </w:r>
            <w:r w:rsidR="00BA26B3">
              <w:rPr>
                <w:color w:val="0070C0"/>
                <w:lang w:val="en-US"/>
              </w:rPr>
              <w:t xml:space="preserve"> (EUR </w:t>
            </w:r>
            <w:r w:rsidR="004D5AD9">
              <w:rPr>
                <w:color w:val="0070C0"/>
                <w:lang w:val="en-US"/>
              </w:rPr>
              <w:t xml:space="preserve">351 </w:t>
            </w:r>
            <w:r>
              <w:rPr>
                <w:color w:val="0070C0"/>
                <w:lang w:val="en-US"/>
              </w:rPr>
              <w:t>million)</w:t>
            </w:r>
          </w:p>
        </w:tc>
      </w:tr>
      <w:tr w:rsidR="00EC3374" w:rsidRPr="006875D2" w14:paraId="292F872B" w14:textId="77777777" w:rsidTr="00014D5B">
        <w:tc>
          <w:tcPr>
            <w:tcW w:w="4325" w:type="dxa"/>
            <w:tcBorders>
              <w:top w:val="single" w:sz="4" w:space="0" w:color="auto"/>
              <w:left w:val="single" w:sz="4" w:space="0" w:color="auto"/>
              <w:bottom w:val="single" w:sz="4" w:space="0" w:color="auto"/>
              <w:right w:val="single" w:sz="4" w:space="0" w:color="auto"/>
            </w:tcBorders>
          </w:tcPr>
          <w:p w14:paraId="5E69D732" w14:textId="77777777" w:rsidR="00EC3374" w:rsidRPr="006875D2" w:rsidRDefault="0054422B" w:rsidP="00EC3374">
            <w:pPr>
              <w:rPr>
                <w:lang w:val="en-US"/>
              </w:rPr>
            </w:pPr>
            <w:r w:rsidRPr="006875D2">
              <w:rPr>
                <w:lang w:val="en-US"/>
              </w:rPr>
              <w:t>Overview of l</w:t>
            </w:r>
            <w:r w:rsidR="00EC3374" w:rsidRPr="006875D2">
              <w:rPr>
                <w:lang w:val="en-US"/>
              </w:rPr>
              <w:t>iabilities</w:t>
            </w:r>
            <w:r w:rsidRPr="006875D2">
              <w:rPr>
                <w:lang w:val="en-US"/>
              </w:rPr>
              <w:t>:</w:t>
            </w:r>
          </w:p>
        </w:tc>
        <w:tc>
          <w:tcPr>
            <w:tcW w:w="4961" w:type="dxa"/>
            <w:tcBorders>
              <w:top w:val="single" w:sz="4" w:space="0" w:color="auto"/>
              <w:left w:val="single" w:sz="4" w:space="0" w:color="auto"/>
              <w:bottom w:val="single" w:sz="4" w:space="0" w:color="auto"/>
              <w:right w:val="single" w:sz="4" w:space="0" w:color="auto"/>
            </w:tcBorders>
          </w:tcPr>
          <w:p w14:paraId="1D719360" w14:textId="77777777" w:rsidR="008B613E" w:rsidRPr="002E08B2" w:rsidRDefault="003D2FA5" w:rsidP="004D5AD9">
            <w:pPr>
              <w:rPr>
                <w:color w:val="0070C0"/>
                <w:lang w:val="en-US"/>
              </w:rPr>
            </w:pPr>
            <w:r>
              <w:rPr>
                <w:color w:val="0070C0"/>
                <w:lang w:val="en-US"/>
              </w:rPr>
              <w:t xml:space="preserve">DKK </w:t>
            </w:r>
            <w:r w:rsidR="004D5AD9">
              <w:rPr>
                <w:color w:val="0070C0"/>
                <w:lang w:val="en-US"/>
              </w:rPr>
              <w:t>2613</w:t>
            </w:r>
            <w:r w:rsidR="000F28CC">
              <w:rPr>
                <w:color w:val="0070C0"/>
                <w:lang w:val="en-US"/>
              </w:rPr>
              <w:t xml:space="preserve"> </w:t>
            </w:r>
            <w:r w:rsidR="00BA26B3">
              <w:rPr>
                <w:color w:val="0070C0"/>
                <w:lang w:val="en-US"/>
              </w:rPr>
              <w:t>m</w:t>
            </w:r>
            <w:r w:rsidR="000F28CC">
              <w:rPr>
                <w:color w:val="0070C0"/>
                <w:lang w:val="en-US"/>
              </w:rPr>
              <w:t>illion</w:t>
            </w:r>
            <w:r>
              <w:rPr>
                <w:color w:val="0070C0"/>
                <w:lang w:val="en-US"/>
              </w:rPr>
              <w:t xml:space="preserve"> (EUR </w:t>
            </w:r>
            <w:r w:rsidR="004D5AD9">
              <w:rPr>
                <w:color w:val="0070C0"/>
                <w:lang w:val="en-US"/>
              </w:rPr>
              <w:t>351</w:t>
            </w:r>
            <w:r w:rsidR="00BA26B3">
              <w:rPr>
                <w:color w:val="0070C0"/>
                <w:lang w:val="en-US"/>
              </w:rPr>
              <w:t xml:space="preserve"> million</w:t>
            </w:r>
            <w:r>
              <w:rPr>
                <w:color w:val="0070C0"/>
                <w:lang w:val="en-US"/>
              </w:rPr>
              <w:t>)</w:t>
            </w:r>
          </w:p>
        </w:tc>
      </w:tr>
      <w:tr w:rsidR="00EC3374" w:rsidRPr="006875D2" w14:paraId="627308DA" w14:textId="77777777" w:rsidTr="00014D5B">
        <w:tc>
          <w:tcPr>
            <w:tcW w:w="4325" w:type="dxa"/>
            <w:tcBorders>
              <w:top w:val="single" w:sz="4" w:space="0" w:color="auto"/>
              <w:left w:val="single" w:sz="4" w:space="0" w:color="auto"/>
              <w:bottom w:val="single" w:sz="4" w:space="0" w:color="auto"/>
              <w:right w:val="single" w:sz="4" w:space="0" w:color="auto"/>
            </w:tcBorders>
          </w:tcPr>
          <w:p w14:paraId="1F61466E" w14:textId="77777777" w:rsidR="00EC3374" w:rsidRPr="006875D2" w:rsidRDefault="00EC3374" w:rsidP="00EC3374">
            <w:pPr>
              <w:rPr>
                <w:lang w:val="en-US"/>
              </w:rPr>
            </w:pPr>
            <w:r w:rsidRPr="006875D2">
              <w:rPr>
                <w:lang w:val="en-US"/>
              </w:rPr>
              <w:t>a) nominal value of officially supported loan portfolio</w:t>
            </w:r>
          </w:p>
          <w:p w14:paraId="71D79A36" w14:textId="77777777" w:rsidR="00EC3374" w:rsidRPr="006875D2" w:rsidRDefault="000F28CC" w:rsidP="00EC3374">
            <w:pPr>
              <w:numPr>
                <w:ilvl w:val="0"/>
                <w:numId w:val="3"/>
              </w:numPr>
              <w:rPr>
                <w:lang w:val="en-US"/>
              </w:rPr>
            </w:pPr>
            <w:r>
              <w:rPr>
                <w:lang w:val="en-US"/>
              </w:rPr>
              <w:t>01-01-20</w:t>
            </w:r>
            <w:r w:rsidRPr="000F28CC">
              <w:rPr>
                <w:color w:val="0070C0"/>
                <w:lang w:val="en-US"/>
              </w:rPr>
              <w:t>11</w:t>
            </w:r>
          </w:p>
          <w:p w14:paraId="774408EB" w14:textId="77777777" w:rsidR="00EC3374" w:rsidRPr="006875D2" w:rsidRDefault="000F28CC" w:rsidP="00EC3374">
            <w:pPr>
              <w:numPr>
                <w:ilvl w:val="0"/>
                <w:numId w:val="3"/>
              </w:numPr>
              <w:rPr>
                <w:lang w:val="en-US"/>
              </w:rPr>
            </w:pPr>
            <w:r>
              <w:rPr>
                <w:lang w:val="en-US"/>
              </w:rPr>
              <w:t>31-12-20</w:t>
            </w:r>
            <w:r w:rsidRPr="000F28CC">
              <w:rPr>
                <w:color w:val="0070C0"/>
                <w:lang w:val="en-US"/>
              </w:rPr>
              <w:t>11</w:t>
            </w:r>
          </w:p>
        </w:tc>
        <w:tc>
          <w:tcPr>
            <w:tcW w:w="4961" w:type="dxa"/>
            <w:tcBorders>
              <w:top w:val="single" w:sz="4" w:space="0" w:color="auto"/>
              <w:left w:val="single" w:sz="4" w:space="0" w:color="auto"/>
              <w:bottom w:val="single" w:sz="4" w:space="0" w:color="auto"/>
              <w:right w:val="single" w:sz="4" w:space="0" w:color="auto"/>
            </w:tcBorders>
          </w:tcPr>
          <w:p w14:paraId="08171097" w14:textId="77777777" w:rsidR="00EC3374" w:rsidRDefault="00EC3374" w:rsidP="00EC3374">
            <w:pPr>
              <w:rPr>
                <w:color w:val="0070C0"/>
                <w:lang w:val="en-US"/>
              </w:rPr>
            </w:pPr>
          </w:p>
          <w:p w14:paraId="77E43603" w14:textId="77777777" w:rsidR="000F28CC" w:rsidRDefault="000F28CC" w:rsidP="00EC3374">
            <w:pPr>
              <w:rPr>
                <w:color w:val="0070C0"/>
                <w:lang w:val="en-US"/>
              </w:rPr>
            </w:pPr>
          </w:p>
          <w:p w14:paraId="08F90409" w14:textId="77777777" w:rsidR="000F28CC" w:rsidRDefault="000F28CC" w:rsidP="00EC3374">
            <w:pPr>
              <w:rPr>
                <w:color w:val="0070C0"/>
                <w:lang w:val="en-US"/>
              </w:rPr>
            </w:pPr>
            <w:r>
              <w:rPr>
                <w:color w:val="0070C0"/>
                <w:lang w:val="en-US"/>
              </w:rPr>
              <w:t xml:space="preserve">DKK 2615 </w:t>
            </w:r>
            <w:r w:rsidR="00BA26B3">
              <w:rPr>
                <w:color w:val="0070C0"/>
                <w:lang w:val="en-US"/>
              </w:rPr>
              <w:t>m</w:t>
            </w:r>
            <w:r>
              <w:rPr>
                <w:color w:val="0070C0"/>
                <w:lang w:val="en-US"/>
              </w:rPr>
              <w:t>illion</w:t>
            </w:r>
            <w:r w:rsidR="003D2FA5">
              <w:rPr>
                <w:color w:val="0070C0"/>
                <w:lang w:val="en-US"/>
              </w:rPr>
              <w:t xml:space="preserve"> (EUR </w:t>
            </w:r>
            <w:r w:rsidR="004D5AD9">
              <w:rPr>
                <w:color w:val="0070C0"/>
                <w:lang w:val="en-US"/>
              </w:rPr>
              <w:t>351</w:t>
            </w:r>
            <w:r w:rsidR="00BA26B3">
              <w:rPr>
                <w:color w:val="0070C0"/>
                <w:lang w:val="en-US"/>
              </w:rPr>
              <w:t xml:space="preserve"> million</w:t>
            </w:r>
            <w:r w:rsidR="003D2FA5">
              <w:rPr>
                <w:color w:val="0070C0"/>
                <w:lang w:val="en-US"/>
              </w:rPr>
              <w:t>)</w:t>
            </w:r>
          </w:p>
          <w:p w14:paraId="541C72F5" w14:textId="77777777" w:rsidR="000F28CC" w:rsidRPr="002E08B2" w:rsidRDefault="000F28CC" w:rsidP="004D5AD9">
            <w:pPr>
              <w:rPr>
                <w:color w:val="0070C0"/>
                <w:lang w:val="en-US"/>
              </w:rPr>
            </w:pPr>
            <w:r>
              <w:rPr>
                <w:color w:val="0070C0"/>
                <w:lang w:val="en-US"/>
              </w:rPr>
              <w:t xml:space="preserve">DKK 5171 </w:t>
            </w:r>
            <w:r w:rsidR="00BA26B3">
              <w:rPr>
                <w:color w:val="0070C0"/>
                <w:lang w:val="en-US"/>
              </w:rPr>
              <w:t>m</w:t>
            </w:r>
            <w:r>
              <w:rPr>
                <w:color w:val="0070C0"/>
                <w:lang w:val="en-US"/>
              </w:rPr>
              <w:t>illion</w:t>
            </w:r>
            <w:r w:rsidR="004A0EED">
              <w:rPr>
                <w:color w:val="0070C0"/>
                <w:lang w:val="en-US"/>
              </w:rPr>
              <w:t xml:space="preserve"> (EUR </w:t>
            </w:r>
            <w:r w:rsidR="004D5AD9">
              <w:rPr>
                <w:color w:val="0070C0"/>
                <w:lang w:val="en-US"/>
              </w:rPr>
              <w:t>696</w:t>
            </w:r>
            <w:r w:rsidR="00BA26B3">
              <w:rPr>
                <w:color w:val="0070C0"/>
                <w:lang w:val="en-US"/>
              </w:rPr>
              <w:t xml:space="preserve"> million</w:t>
            </w:r>
            <w:r w:rsidR="003D2FA5">
              <w:rPr>
                <w:color w:val="0070C0"/>
                <w:lang w:val="en-US"/>
              </w:rPr>
              <w:t>)</w:t>
            </w:r>
          </w:p>
        </w:tc>
      </w:tr>
      <w:tr w:rsidR="00EC3374" w:rsidRPr="006875D2" w14:paraId="2B8A8E5A" w14:textId="77777777" w:rsidTr="00014D5B">
        <w:tc>
          <w:tcPr>
            <w:tcW w:w="4325" w:type="dxa"/>
            <w:tcBorders>
              <w:top w:val="single" w:sz="4" w:space="0" w:color="auto"/>
              <w:left w:val="single" w:sz="4" w:space="0" w:color="auto"/>
              <w:bottom w:val="single" w:sz="4" w:space="0" w:color="auto"/>
              <w:right w:val="single" w:sz="4" w:space="0" w:color="auto"/>
            </w:tcBorders>
          </w:tcPr>
          <w:p w14:paraId="722789F4" w14:textId="77777777" w:rsidR="00EC3374" w:rsidRPr="006875D2" w:rsidRDefault="00EC3374" w:rsidP="00EC3374">
            <w:pPr>
              <w:rPr>
                <w:lang w:val="en-US"/>
              </w:rPr>
            </w:pPr>
            <w:r w:rsidRPr="006875D2">
              <w:rPr>
                <w:lang w:val="en-US"/>
              </w:rPr>
              <w:t xml:space="preserve">b) </w:t>
            </w:r>
            <w:r w:rsidR="00197E8D" w:rsidRPr="006875D2">
              <w:rPr>
                <w:lang w:val="en-US"/>
              </w:rPr>
              <w:t xml:space="preserve">total value of off balance </w:t>
            </w:r>
            <w:r w:rsidR="00E41D3A" w:rsidRPr="006875D2">
              <w:rPr>
                <w:lang w:val="en-US"/>
              </w:rPr>
              <w:t>commitments</w:t>
            </w:r>
          </w:p>
          <w:p w14:paraId="71E45205" w14:textId="77777777" w:rsidR="00EC3374" w:rsidRPr="006875D2" w:rsidRDefault="000F28CC" w:rsidP="00EC3374">
            <w:pPr>
              <w:numPr>
                <w:ilvl w:val="0"/>
                <w:numId w:val="3"/>
              </w:numPr>
              <w:rPr>
                <w:lang w:val="en-US"/>
              </w:rPr>
            </w:pPr>
            <w:r>
              <w:rPr>
                <w:lang w:val="en-US"/>
              </w:rPr>
              <w:t>01-01-20</w:t>
            </w:r>
            <w:r w:rsidRPr="000F28CC">
              <w:rPr>
                <w:color w:val="0070C0"/>
                <w:lang w:val="en-US"/>
              </w:rPr>
              <w:t>11</w:t>
            </w:r>
          </w:p>
          <w:p w14:paraId="5F2B77BC" w14:textId="77777777" w:rsidR="00EC3374" w:rsidRPr="006875D2" w:rsidRDefault="000F28CC" w:rsidP="00EC3374">
            <w:pPr>
              <w:numPr>
                <w:ilvl w:val="0"/>
                <w:numId w:val="3"/>
              </w:numPr>
              <w:rPr>
                <w:lang w:val="en-US"/>
              </w:rPr>
            </w:pPr>
            <w:r>
              <w:rPr>
                <w:lang w:val="en-US"/>
              </w:rPr>
              <w:t>31-12-20</w:t>
            </w:r>
            <w:r w:rsidRPr="000F28CC">
              <w:rPr>
                <w:color w:val="0070C0"/>
                <w:lang w:val="en-US"/>
              </w:rPr>
              <w:t>11</w:t>
            </w:r>
          </w:p>
        </w:tc>
        <w:tc>
          <w:tcPr>
            <w:tcW w:w="4961" w:type="dxa"/>
            <w:tcBorders>
              <w:top w:val="single" w:sz="4" w:space="0" w:color="auto"/>
              <w:left w:val="single" w:sz="4" w:space="0" w:color="auto"/>
              <w:bottom w:val="single" w:sz="4" w:space="0" w:color="auto"/>
              <w:right w:val="single" w:sz="4" w:space="0" w:color="auto"/>
            </w:tcBorders>
          </w:tcPr>
          <w:p w14:paraId="219D531F" w14:textId="77777777" w:rsidR="00EC3374" w:rsidRPr="002E08B2" w:rsidRDefault="00BA26B3" w:rsidP="00EC3374">
            <w:pPr>
              <w:rPr>
                <w:color w:val="0070C0"/>
                <w:lang w:val="en-US"/>
              </w:rPr>
            </w:pPr>
            <w:r>
              <w:rPr>
                <w:color w:val="0070C0"/>
                <w:lang w:val="en-US"/>
              </w:rPr>
              <w:t>n.a.</w:t>
            </w:r>
          </w:p>
        </w:tc>
      </w:tr>
      <w:tr w:rsidR="00EC3374" w:rsidRPr="006875D2" w14:paraId="0B9579D6" w14:textId="77777777" w:rsidTr="00014D5B">
        <w:tc>
          <w:tcPr>
            <w:tcW w:w="4325" w:type="dxa"/>
            <w:tcBorders>
              <w:top w:val="single" w:sz="4" w:space="0" w:color="auto"/>
              <w:left w:val="single" w:sz="4" w:space="0" w:color="auto"/>
              <w:bottom w:val="single" w:sz="4" w:space="0" w:color="auto"/>
              <w:right w:val="single" w:sz="4" w:space="0" w:color="auto"/>
            </w:tcBorders>
          </w:tcPr>
          <w:p w14:paraId="7D83CE1C" w14:textId="77777777" w:rsidR="00EC3374" w:rsidRPr="006875D2" w:rsidRDefault="00197E8D" w:rsidP="00EC3374">
            <w:pPr>
              <w:rPr>
                <w:lang w:val="en-US"/>
              </w:rPr>
            </w:pPr>
            <w:r w:rsidRPr="006875D2">
              <w:rPr>
                <w:lang w:val="en-US"/>
              </w:rPr>
              <w:t>Interest received</w:t>
            </w:r>
          </w:p>
        </w:tc>
        <w:tc>
          <w:tcPr>
            <w:tcW w:w="4961" w:type="dxa"/>
            <w:tcBorders>
              <w:top w:val="single" w:sz="4" w:space="0" w:color="auto"/>
              <w:left w:val="single" w:sz="4" w:space="0" w:color="auto"/>
              <w:bottom w:val="single" w:sz="4" w:space="0" w:color="auto"/>
              <w:right w:val="single" w:sz="4" w:space="0" w:color="auto"/>
            </w:tcBorders>
          </w:tcPr>
          <w:p w14:paraId="448709F3" w14:textId="77777777" w:rsidR="00EC3374" w:rsidRPr="002E08B2" w:rsidRDefault="000F28CC" w:rsidP="004D5AD9">
            <w:pPr>
              <w:rPr>
                <w:color w:val="0070C0"/>
                <w:lang w:val="en-US"/>
              </w:rPr>
            </w:pPr>
            <w:r>
              <w:rPr>
                <w:color w:val="0070C0"/>
                <w:lang w:val="en-US"/>
              </w:rPr>
              <w:t xml:space="preserve">DKK </w:t>
            </w:r>
            <w:r w:rsidR="004D5AD9">
              <w:rPr>
                <w:color w:val="0070C0"/>
                <w:lang w:val="en-US"/>
              </w:rPr>
              <w:t xml:space="preserve">30 </w:t>
            </w:r>
            <w:r w:rsidR="00F54DAE">
              <w:rPr>
                <w:color w:val="0070C0"/>
                <w:lang w:val="en-US"/>
              </w:rPr>
              <w:t>million</w:t>
            </w:r>
            <w:r w:rsidR="003D2FA5">
              <w:rPr>
                <w:color w:val="0070C0"/>
                <w:lang w:val="en-US"/>
              </w:rPr>
              <w:t xml:space="preserve"> (EUR </w:t>
            </w:r>
            <w:r w:rsidR="004D5AD9">
              <w:rPr>
                <w:color w:val="0070C0"/>
                <w:lang w:val="en-US"/>
              </w:rPr>
              <w:t>4</w:t>
            </w:r>
            <w:r w:rsidR="00F54DAE">
              <w:rPr>
                <w:color w:val="0070C0"/>
                <w:lang w:val="en-US"/>
              </w:rPr>
              <w:t xml:space="preserve"> million</w:t>
            </w:r>
            <w:r w:rsidR="003D2FA5">
              <w:rPr>
                <w:color w:val="0070C0"/>
                <w:lang w:val="en-US"/>
              </w:rPr>
              <w:t>)</w:t>
            </w:r>
          </w:p>
        </w:tc>
      </w:tr>
      <w:tr w:rsidR="00EC3374" w:rsidRPr="006875D2" w14:paraId="2E226FD3" w14:textId="77777777" w:rsidTr="00014D5B">
        <w:tc>
          <w:tcPr>
            <w:tcW w:w="4325" w:type="dxa"/>
            <w:tcBorders>
              <w:top w:val="single" w:sz="4" w:space="0" w:color="auto"/>
              <w:left w:val="single" w:sz="4" w:space="0" w:color="auto"/>
              <w:bottom w:val="single" w:sz="4" w:space="0" w:color="auto"/>
              <w:right w:val="single" w:sz="4" w:space="0" w:color="auto"/>
            </w:tcBorders>
          </w:tcPr>
          <w:p w14:paraId="006FAFF5" w14:textId="77777777" w:rsidR="00EC3374" w:rsidRPr="006875D2" w:rsidRDefault="00197E8D" w:rsidP="00EC3374">
            <w:pPr>
              <w:rPr>
                <w:lang w:val="en-US"/>
              </w:rPr>
            </w:pPr>
            <w:r w:rsidRPr="006875D2">
              <w:rPr>
                <w:lang w:val="en-US"/>
              </w:rPr>
              <w:t>Annual profit/loss</w:t>
            </w:r>
          </w:p>
        </w:tc>
        <w:tc>
          <w:tcPr>
            <w:tcW w:w="4961" w:type="dxa"/>
            <w:tcBorders>
              <w:top w:val="single" w:sz="4" w:space="0" w:color="auto"/>
              <w:left w:val="single" w:sz="4" w:space="0" w:color="auto"/>
              <w:bottom w:val="single" w:sz="4" w:space="0" w:color="auto"/>
              <w:right w:val="single" w:sz="4" w:space="0" w:color="auto"/>
            </w:tcBorders>
          </w:tcPr>
          <w:p w14:paraId="57BDF9BB" w14:textId="77777777" w:rsidR="00EC3374" w:rsidRPr="002E08B2" w:rsidRDefault="000F28CC" w:rsidP="004D5AD9">
            <w:pPr>
              <w:rPr>
                <w:color w:val="0070C0"/>
                <w:lang w:val="en-US"/>
              </w:rPr>
            </w:pPr>
            <w:r>
              <w:rPr>
                <w:color w:val="0070C0"/>
                <w:lang w:val="en-US"/>
              </w:rPr>
              <w:t xml:space="preserve">DKK </w:t>
            </w:r>
            <w:r w:rsidR="004D5AD9">
              <w:rPr>
                <w:color w:val="0070C0"/>
                <w:lang w:val="en-US"/>
              </w:rPr>
              <w:t>25</w:t>
            </w:r>
            <w:r>
              <w:rPr>
                <w:color w:val="0070C0"/>
                <w:lang w:val="en-US"/>
              </w:rPr>
              <w:t xml:space="preserve"> million</w:t>
            </w:r>
            <w:r w:rsidR="004D5AD9">
              <w:rPr>
                <w:color w:val="0070C0"/>
                <w:lang w:val="en-US"/>
              </w:rPr>
              <w:t xml:space="preserve"> (EUR 3 million)</w:t>
            </w:r>
          </w:p>
        </w:tc>
      </w:tr>
    </w:tbl>
    <w:p w14:paraId="7A28BE60" w14:textId="77777777" w:rsidR="003F1258" w:rsidRPr="00012037" w:rsidRDefault="003F1258" w:rsidP="003F394B">
      <w:pPr>
        <w:outlineLvl w:val="0"/>
        <w:rPr>
          <w:b/>
          <w:lang w:val="en-US"/>
        </w:rPr>
      </w:pPr>
    </w:p>
    <w:p w14:paraId="081C6915" w14:textId="77777777" w:rsidR="00197E8D" w:rsidRPr="00012037" w:rsidRDefault="005E2974" w:rsidP="003F394B">
      <w:pPr>
        <w:outlineLvl w:val="0"/>
        <w:rPr>
          <w:b/>
          <w:lang w:val="en-US"/>
        </w:rPr>
      </w:pPr>
      <w:r w:rsidRPr="00012037">
        <w:rPr>
          <w:b/>
          <w:lang w:val="en-US"/>
        </w:rPr>
        <w:t>V.</w:t>
      </w:r>
      <w:r w:rsidRPr="00012037">
        <w:rPr>
          <w:b/>
          <w:lang w:val="en-US"/>
        </w:rPr>
        <w:tab/>
      </w:r>
      <w:r w:rsidR="00072C22" w:rsidRPr="00012037">
        <w:rPr>
          <w:b/>
          <w:lang w:val="en-US"/>
        </w:rPr>
        <w:t>Contingent liabilities</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4961"/>
      </w:tblGrid>
      <w:tr w:rsidR="003F1258" w:rsidRPr="00012037" w14:paraId="05130868" w14:textId="77777777" w:rsidTr="00014D5B">
        <w:tc>
          <w:tcPr>
            <w:tcW w:w="4325" w:type="dxa"/>
          </w:tcPr>
          <w:p w14:paraId="44F7F603" w14:textId="77777777" w:rsidR="003F1258" w:rsidRPr="00012037" w:rsidRDefault="00DB5076" w:rsidP="006E5115">
            <w:pPr>
              <w:rPr>
                <w:lang w:val="en-US"/>
              </w:rPr>
            </w:pPr>
            <w:r>
              <w:rPr>
                <w:lang w:val="en-US"/>
              </w:rPr>
              <w:t xml:space="preserve">Where contingent liabilities might arise  from </w:t>
            </w:r>
            <w:r w:rsidR="003F1258" w:rsidRPr="00012037">
              <w:rPr>
                <w:lang w:val="en-US"/>
              </w:rPr>
              <w:t>officially supported export credit activities</w:t>
            </w:r>
            <w:r>
              <w:rPr>
                <w:lang w:val="en-US"/>
              </w:rPr>
              <w:t>, those activities shall be reported:</w:t>
            </w:r>
            <w:r w:rsidR="003F1258" w:rsidRPr="00012037">
              <w:rPr>
                <w:lang w:val="en-US"/>
              </w:rPr>
              <w:t xml:space="preserve"> </w:t>
            </w:r>
          </w:p>
        </w:tc>
        <w:tc>
          <w:tcPr>
            <w:tcW w:w="4961" w:type="dxa"/>
          </w:tcPr>
          <w:tbl>
            <w:tblPr>
              <w:tblW w:w="0" w:type="auto"/>
              <w:tblBorders>
                <w:top w:val="nil"/>
                <w:left w:val="nil"/>
                <w:bottom w:val="nil"/>
                <w:right w:val="nil"/>
              </w:tblBorders>
              <w:tblLook w:val="0000" w:firstRow="0" w:lastRow="0" w:firstColumn="0" w:lastColumn="0" w:noHBand="0" w:noVBand="0"/>
            </w:tblPr>
            <w:tblGrid>
              <w:gridCol w:w="4745"/>
            </w:tblGrid>
            <w:tr w:rsidR="00A61D46" w:rsidRPr="00A61D46" w14:paraId="2A9552E2" w14:textId="77777777">
              <w:trPr>
                <w:trHeight w:val="265"/>
              </w:trPr>
              <w:tc>
                <w:tcPr>
                  <w:tcW w:w="0" w:type="auto"/>
                </w:tcPr>
                <w:p w14:paraId="77A5B172" w14:textId="77777777" w:rsidR="00A61D46" w:rsidRPr="00A61D46" w:rsidRDefault="00A61D46" w:rsidP="00A61D46">
                  <w:pPr>
                    <w:rPr>
                      <w:color w:val="0070C0"/>
                    </w:rPr>
                  </w:pPr>
                  <w:r w:rsidRPr="00A61D46">
                    <w:rPr>
                      <w:color w:val="0070C0"/>
                    </w:rPr>
                    <w:t xml:space="preserve">With effect from 1 July 2006 up to and including 30 June 2011, EKF has entered into a swap agreement with the Dutch export credit agency Atradius, whereby EKF undertakes a guarantee liability of EUR 50 million on Indonesia, and relinquishes guarantee liabilities of EUR 25 million on Vietnam and </w:t>
                  </w:r>
                  <w:r w:rsidRPr="00A61D46">
                    <w:rPr>
                      <w:color w:val="0070C0"/>
                    </w:rPr>
                    <w:lastRenderedPageBreak/>
                    <w:t xml:space="preserve">EUR 13.5 million on Jamaica, respectively. </w:t>
                  </w:r>
                </w:p>
              </w:tc>
            </w:tr>
            <w:tr w:rsidR="00A61D46" w:rsidRPr="00A61D46" w14:paraId="430FA3C3" w14:textId="77777777">
              <w:trPr>
                <w:trHeight w:val="85"/>
              </w:trPr>
              <w:tc>
                <w:tcPr>
                  <w:tcW w:w="0" w:type="auto"/>
                </w:tcPr>
                <w:p w14:paraId="3D99744E" w14:textId="77777777" w:rsidR="00A61D46" w:rsidRPr="00A61D46" w:rsidRDefault="00A61D46" w:rsidP="00A61D46">
                  <w:pPr>
                    <w:rPr>
                      <w:color w:val="0070C0"/>
                    </w:rPr>
                  </w:pPr>
                  <w:r w:rsidRPr="00A61D46">
                    <w:rPr>
                      <w:color w:val="0070C0"/>
                    </w:rPr>
                    <w:lastRenderedPageBreak/>
                    <w:t xml:space="preserve">EKF </w:t>
                  </w:r>
                </w:p>
              </w:tc>
            </w:tr>
          </w:tbl>
          <w:p w14:paraId="4A0A37FF" w14:textId="77777777" w:rsidR="004C6594" w:rsidRPr="00A61D46" w:rsidRDefault="004C6594" w:rsidP="00A61D46">
            <w:pPr>
              <w:rPr>
                <w:color w:val="0070C0"/>
              </w:rPr>
            </w:pPr>
          </w:p>
        </w:tc>
      </w:tr>
    </w:tbl>
    <w:p w14:paraId="46363E4B" w14:textId="77777777" w:rsidR="003F1258" w:rsidRPr="00012037" w:rsidRDefault="003F1258" w:rsidP="003F394B">
      <w:pPr>
        <w:outlineLvl w:val="0"/>
        <w:rPr>
          <w:b/>
          <w:lang w:val="en-US"/>
        </w:rPr>
      </w:pPr>
    </w:p>
    <w:p w14:paraId="2A00AC26" w14:textId="77777777" w:rsidR="00C1560F" w:rsidRDefault="005E2974" w:rsidP="003824DD">
      <w:pPr>
        <w:numPr>
          <w:ilvl w:val="0"/>
          <w:numId w:val="5"/>
        </w:numPr>
        <w:tabs>
          <w:tab w:val="clear" w:pos="1080"/>
          <w:tab w:val="num" w:pos="720"/>
        </w:tabs>
        <w:ind w:hanging="1080"/>
        <w:outlineLvl w:val="0"/>
        <w:rPr>
          <w:b/>
          <w:lang w:val="en-US"/>
        </w:rPr>
      </w:pPr>
      <w:r w:rsidRPr="00012037">
        <w:rPr>
          <w:b/>
          <w:lang w:val="en-US"/>
        </w:rPr>
        <w:t xml:space="preserve">Evaluation and incorporation of </w:t>
      </w:r>
      <w:r w:rsidR="00E41D3A" w:rsidRPr="00DB5076">
        <w:rPr>
          <w:b/>
          <w:lang w:val="en-US"/>
        </w:rPr>
        <w:t>environmental</w:t>
      </w:r>
      <w:r w:rsidR="00E41D3A" w:rsidRPr="00012037">
        <w:rPr>
          <w:b/>
          <w:lang w:val="en-US"/>
        </w:rPr>
        <w:t xml:space="preserve"> </w:t>
      </w:r>
      <w:r w:rsidRPr="00012037">
        <w:rPr>
          <w:b/>
          <w:lang w:val="en-US"/>
        </w:rPr>
        <w:t>risks</w:t>
      </w:r>
    </w:p>
    <w:p w14:paraId="76D8ECAB" w14:textId="77777777" w:rsidR="003824DD" w:rsidRPr="00C274BC" w:rsidRDefault="003824DD" w:rsidP="003824DD">
      <w:pPr>
        <w:outlineLvl w:val="0"/>
        <w:rPr>
          <w:color w:val="548DD4"/>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4961"/>
      </w:tblGrid>
      <w:tr w:rsidR="003F1258" w:rsidRPr="00012037" w14:paraId="1C1740A5" w14:textId="77777777" w:rsidTr="00014D5B">
        <w:tc>
          <w:tcPr>
            <w:tcW w:w="4325" w:type="dxa"/>
          </w:tcPr>
          <w:p w14:paraId="7AFC452B" w14:textId="77777777" w:rsidR="003F1258" w:rsidRPr="00012037" w:rsidRDefault="00E82189" w:rsidP="002556DC">
            <w:pPr>
              <w:rPr>
                <w:lang w:val="en-US"/>
              </w:rPr>
            </w:pPr>
            <w:r w:rsidRPr="00012037">
              <w:t>Environmental risks</w:t>
            </w:r>
            <w:r w:rsidR="001B138A">
              <w:t>:</w:t>
            </w:r>
          </w:p>
        </w:tc>
        <w:tc>
          <w:tcPr>
            <w:tcW w:w="4961" w:type="dxa"/>
          </w:tcPr>
          <w:p w14:paraId="3AF675F0" w14:textId="77777777" w:rsidR="003F1258" w:rsidRPr="008F3AE0" w:rsidRDefault="008F3AE0" w:rsidP="008F3AE0">
            <w:pPr>
              <w:rPr>
                <w:color w:val="4F81BD"/>
              </w:rPr>
            </w:pPr>
            <w:r w:rsidRPr="008F3AE0">
              <w:rPr>
                <w:color w:val="0070C0"/>
              </w:rPr>
              <w:t xml:space="preserve">In 2011, 147 applications were screened for impacts on people and the environment. 98 of the 147 applications became guarantees of which 29 projects were considered to have potential significant impacts (category A or B projects) and therefore underwent a full social and environmental review by independent consulting companies. </w:t>
            </w:r>
          </w:p>
        </w:tc>
      </w:tr>
      <w:tr w:rsidR="00ED7BDA" w:rsidRPr="00012037" w14:paraId="0D539EB3" w14:textId="77777777" w:rsidTr="00014D5B">
        <w:tc>
          <w:tcPr>
            <w:tcW w:w="4325" w:type="dxa"/>
          </w:tcPr>
          <w:p w14:paraId="4317C638" w14:textId="77777777" w:rsidR="00ED7BDA" w:rsidRPr="00012037" w:rsidRDefault="00ED7BDA" w:rsidP="00E82189">
            <w:r w:rsidRPr="00012037">
              <w:t>a) Number/exposure of transactions Cat</w:t>
            </w:r>
            <w:r w:rsidR="00BF12FD" w:rsidRPr="00012037">
              <w:t>egory</w:t>
            </w:r>
            <w:r w:rsidRPr="00012037">
              <w:t xml:space="preserve"> A</w:t>
            </w:r>
          </w:p>
        </w:tc>
        <w:tc>
          <w:tcPr>
            <w:tcW w:w="4961" w:type="dxa"/>
          </w:tcPr>
          <w:p w14:paraId="021C28BD" w14:textId="77777777" w:rsidR="00ED7BDA" w:rsidRPr="002E08B2" w:rsidRDefault="00366FFC" w:rsidP="00305981">
            <w:pPr>
              <w:rPr>
                <w:color w:val="0070C0"/>
                <w:lang w:val="en-US"/>
              </w:rPr>
            </w:pPr>
            <w:r>
              <w:rPr>
                <w:color w:val="0070C0"/>
                <w:lang w:val="en-US"/>
              </w:rPr>
              <w:t>8</w:t>
            </w:r>
          </w:p>
        </w:tc>
      </w:tr>
      <w:tr w:rsidR="00ED7BDA" w:rsidRPr="00012037" w14:paraId="271C7611" w14:textId="77777777" w:rsidTr="00014D5B">
        <w:tc>
          <w:tcPr>
            <w:tcW w:w="4325" w:type="dxa"/>
          </w:tcPr>
          <w:p w14:paraId="5BFBE9CE" w14:textId="77777777" w:rsidR="00BF12FD" w:rsidRPr="00012037" w:rsidRDefault="00ED7BDA" w:rsidP="00E82189">
            <w:r w:rsidRPr="00012037">
              <w:t xml:space="preserve">b) Number/exposure of transactions </w:t>
            </w:r>
          </w:p>
          <w:p w14:paraId="6A457E2F" w14:textId="77777777" w:rsidR="00ED7BDA" w:rsidRPr="00012037" w:rsidRDefault="00ED7BDA" w:rsidP="00E82189">
            <w:r w:rsidRPr="00012037">
              <w:t>Cat</w:t>
            </w:r>
            <w:r w:rsidR="00BF12FD" w:rsidRPr="00012037">
              <w:t>egory</w:t>
            </w:r>
            <w:r w:rsidRPr="00012037">
              <w:t xml:space="preserve"> B</w:t>
            </w:r>
          </w:p>
        </w:tc>
        <w:tc>
          <w:tcPr>
            <w:tcW w:w="4961" w:type="dxa"/>
          </w:tcPr>
          <w:p w14:paraId="0706B362" w14:textId="77777777" w:rsidR="00ED7BDA" w:rsidRPr="002E08B2" w:rsidRDefault="00366FFC" w:rsidP="00305981">
            <w:pPr>
              <w:rPr>
                <w:color w:val="0070C0"/>
                <w:lang w:val="en-US"/>
              </w:rPr>
            </w:pPr>
            <w:r>
              <w:rPr>
                <w:color w:val="0070C0"/>
                <w:lang w:val="en-US"/>
              </w:rPr>
              <w:t>21</w:t>
            </w:r>
          </w:p>
        </w:tc>
      </w:tr>
      <w:tr w:rsidR="00BF12FD" w:rsidRPr="00012037" w14:paraId="3AC90E6F" w14:textId="77777777" w:rsidTr="002E08B2">
        <w:trPr>
          <w:trHeight w:val="1437"/>
        </w:trPr>
        <w:tc>
          <w:tcPr>
            <w:tcW w:w="4325" w:type="dxa"/>
          </w:tcPr>
          <w:p w14:paraId="09EA3E40" w14:textId="77777777" w:rsidR="00103CA0" w:rsidRPr="00012037" w:rsidRDefault="00BF12FD" w:rsidP="001B138A">
            <w:pPr>
              <w:rPr>
                <w:strike/>
              </w:rPr>
            </w:pPr>
            <w:r w:rsidRPr="00012037">
              <w:t xml:space="preserve">How are environmental risks, which </w:t>
            </w:r>
            <w:r w:rsidR="00DB5076">
              <w:t>can</w:t>
            </w:r>
            <w:r w:rsidR="006875D2">
              <w:t xml:space="preserve"> </w:t>
            </w:r>
            <w:r w:rsidRPr="00012037">
              <w:t>carry other relevant risks, taken into account in the officially supported export credit activities?</w:t>
            </w:r>
          </w:p>
        </w:tc>
        <w:tc>
          <w:tcPr>
            <w:tcW w:w="4961" w:type="dxa"/>
          </w:tcPr>
          <w:p w14:paraId="7A62C914" w14:textId="0A3B393A" w:rsidR="00BF12FD" w:rsidRPr="0069258C" w:rsidRDefault="0069258C" w:rsidP="00070B4E">
            <w:pPr>
              <w:rPr>
                <w:color w:val="0070C0"/>
              </w:rPr>
            </w:pPr>
            <w:r w:rsidRPr="0069258C">
              <w:rPr>
                <w:color w:val="0070C0"/>
              </w:rPr>
              <w:t>EKF assesses the foreign buyer's creditworthiness, and the country's political situation and creditworthiness. EKF satisfies itself that the transaction will be completed in a socially and environmentally responsible manner. If the risk is acceptable, EKF issues a conditional offer to cover the risk</w:t>
            </w:r>
            <w:r w:rsidR="00706B1C">
              <w:rPr>
                <w:color w:val="0070C0"/>
              </w:rPr>
              <w:t>.</w:t>
            </w:r>
          </w:p>
        </w:tc>
      </w:tr>
    </w:tbl>
    <w:p w14:paraId="4E3B9011" w14:textId="77777777" w:rsidR="00366FFC" w:rsidRDefault="00366FFC" w:rsidP="00953DE0">
      <w:pPr>
        <w:rPr>
          <w:rFonts w:ascii="Calibri" w:hAnsi="Calibri" w:cs="Arial"/>
        </w:rPr>
      </w:pPr>
    </w:p>
    <w:p w14:paraId="5E12AA8D" w14:textId="77777777" w:rsidR="00366FFC" w:rsidRPr="00366FFC" w:rsidRDefault="00366FFC" w:rsidP="00366FFC">
      <w:pPr>
        <w:rPr>
          <w:b/>
          <w:sz w:val="28"/>
          <w:szCs w:val="28"/>
        </w:rPr>
      </w:pPr>
    </w:p>
    <w:sectPr w:rsidR="00366FFC" w:rsidRPr="00366FFC" w:rsidSect="00305981">
      <w:footerReference w:type="default" r:id="rId12"/>
      <w:pgSz w:w="11906" w:h="16838"/>
      <w:pgMar w:top="709" w:right="1274"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649E5" w14:textId="77777777" w:rsidR="004D5AD9" w:rsidRDefault="004D5AD9" w:rsidP="006875D2">
      <w:r>
        <w:separator/>
      </w:r>
    </w:p>
  </w:endnote>
  <w:endnote w:type="continuationSeparator" w:id="0">
    <w:p w14:paraId="24924EB4" w14:textId="77777777" w:rsidR="004D5AD9" w:rsidRDefault="004D5AD9" w:rsidP="0068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EKF">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A2CC" w14:textId="77777777" w:rsidR="004D5AD9" w:rsidRDefault="004D5AD9">
    <w:pPr>
      <w:pStyle w:val="Sidefod"/>
      <w:jc w:val="right"/>
    </w:pPr>
    <w:r>
      <w:fldChar w:fldCharType="begin"/>
    </w:r>
    <w:r>
      <w:instrText>PAGE   \* MERGEFORMAT</w:instrText>
    </w:r>
    <w:r>
      <w:fldChar w:fldCharType="separate"/>
    </w:r>
    <w:r w:rsidR="00B056B1" w:rsidRPr="00B056B1">
      <w:rPr>
        <w:noProof/>
        <w:lang w:val="da-DK"/>
      </w:rPr>
      <w:t>1</w:t>
    </w:r>
    <w:r>
      <w:fldChar w:fldCharType="end"/>
    </w:r>
  </w:p>
  <w:p w14:paraId="30DA4CB1" w14:textId="77777777" w:rsidR="004D5AD9" w:rsidRDefault="004D5AD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5BCEA" w14:textId="77777777" w:rsidR="004D5AD9" w:rsidRDefault="004D5AD9" w:rsidP="006875D2">
      <w:r>
        <w:separator/>
      </w:r>
    </w:p>
  </w:footnote>
  <w:footnote w:type="continuationSeparator" w:id="0">
    <w:p w14:paraId="076DFAA9" w14:textId="77777777" w:rsidR="004D5AD9" w:rsidRDefault="004D5AD9" w:rsidP="006875D2">
      <w:r>
        <w:continuationSeparator/>
      </w:r>
    </w:p>
  </w:footnote>
  <w:footnote w:id="1">
    <w:p w14:paraId="0533A399" w14:textId="77777777" w:rsidR="004D5AD9" w:rsidRPr="006875D2" w:rsidRDefault="004D5AD9" w:rsidP="001B138A">
      <w:pPr>
        <w:pStyle w:val="Fodnotetekst"/>
        <w:rPr>
          <w:lang w:val="en-US"/>
        </w:rPr>
      </w:pPr>
      <w:r>
        <w:rPr>
          <w:rStyle w:val="Fodnotehenvisning"/>
        </w:rPr>
        <w:footnoteRef/>
      </w:r>
      <w:r>
        <w:t xml:space="preserve"> </w:t>
      </w:r>
      <w:r w:rsidRPr="006875D2">
        <w:rPr>
          <w:lang w:val="en-US"/>
        </w:rPr>
        <w:t>EP side suggested to use such a phrase (to ensure that it is not forgotten that the Regulation's official reference is to "EU objectives and obligations)</w:t>
      </w:r>
    </w:p>
  </w:footnote>
  <w:footnote w:id="2">
    <w:p w14:paraId="2917E64C" w14:textId="77777777" w:rsidR="004D5AD9" w:rsidRPr="00B76683" w:rsidRDefault="004D5AD9">
      <w:pPr>
        <w:pStyle w:val="Fodnotetekst"/>
        <w:rPr>
          <w:lang w:val="en-US"/>
        </w:rPr>
      </w:pPr>
      <w:r>
        <w:rPr>
          <w:rStyle w:val="Fodnotehenvisning"/>
        </w:rPr>
        <w:footnoteRef/>
      </w:r>
      <w:r>
        <w:t xml:space="preserve"> </w:t>
      </w:r>
      <w:r w:rsidRPr="00B76683">
        <w:rPr>
          <w:lang w:val="en-US"/>
        </w:rPr>
        <w:t>Member States not using EUR should report the figures in their national currency and in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0238"/>
    <w:multiLevelType w:val="hybridMultilevel"/>
    <w:tmpl w:val="F28A4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7DE49A7"/>
    <w:multiLevelType w:val="hybridMultilevel"/>
    <w:tmpl w:val="A64E7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5242098"/>
    <w:multiLevelType w:val="hybridMultilevel"/>
    <w:tmpl w:val="2174D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6C5473"/>
    <w:multiLevelType w:val="hybridMultilevel"/>
    <w:tmpl w:val="EE220F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EF64372"/>
    <w:multiLevelType w:val="hybridMultilevel"/>
    <w:tmpl w:val="E62E10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AA42149"/>
    <w:multiLevelType w:val="hybridMultilevel"/>
    <w:tmpl w:val="4F5CD2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5D7D6070"/>
    <w:multiLevelType w:val="hybridMultilevel"/>
    <w:tmpl w:val="8C7E63A4"/>
    <w:lvl w:ilvl="0" w:tplc="0EE0EF80">
      <w:start w:val="1"/>
      <w:numFmt w:val="upp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67864B0E"/>
    <w:multiLevelType w:val="hybridMultilevel"/>
    <w:tmpl w:val="2ACE7944"/>
    <w:lvl w:ilvl="0" w:tplc="617EB318">
      <w:start w:val="1"/>
      <w:numFmt w:val="upperLetter"/>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9022EDE"/>
    <w:multiLevelType w:val="hybridMultilevel"/>
    <w:tmpl w:val="27DC8B80"/>
    <w:lvl w:ilvl="0" w:tplc="04060001">
      <w:start w:val="1"/>
      <w:numFmt w:val="bullet"/>
      <w:lvlText w:val=""/>
      <w:lvlJc w:val="left"/>
      <w:pPr>
        <w:ind w:left="360" w:hanging="360"/>
      </w:pPr>
      <w:rPr>
        <w:rFonts w:ascii="Symbol" w:hAnsi="Symbol" w:hint="default"/>
      </w:rPr>
    </w:lvl>
    <w:lvl w:ilvl="1" w:tplc="3988A4A8">
      <w:numFmt w:val="bullet"/>
      <w:lvlText w:val="•"/>
      <w:lvlJc w:val="left"/>
      <w:pPr>
        <w:ind w:left="1080" w:hanging="360"/>
      </w:pPr>
      <w:rPr>
        <w:rFonts w:ascii="Times New Roman" w:eastAsia="Times New Roman" w:hAnsi="Times New Roman"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6C8F70FA"/>
    <w:multiLevelType w:val="hybridMultilevel"/>
    <w:tmpl w:val="A88A4E46"/>
    <w:lvl w:ilvl="0" w:tplc="4AB0B624">
      <w:start w:val="6"/>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A543D21"/>
    <w:multiLevelType w:val="hybridMultilevel"/>
    <w:tmpl w:val="90E06F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6"/>
  </w:num>
  <w:num w:numId="5">
    <w:abstractNumId w:val="9"/>
  </w:num>
  <w:num w:numId="6">
    <w:abstractNumId w:val="7"/>
  </w:num>
  <w:num w:numId="7">
    <w:abstractNumId w:val="2"/>
  </w:num>
  <w:num w:numId="8">
    <w:abstractNumId w:val="3"/>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22"/>
    <w:rsid w:val="00012037"/>
    <w:rsid w:val="00014D5B"/>
    <w:rsid w:val="00070B4E"/>
    <w:rsid w:val="00072C22"/>
    <w:rsid w:val="000765A4"/>
    <w:rsid w:val="000928BD"/>
    <w:rsid w:val="000B2E65"/>
    <w:rsid w:val="000B4201"/>
    <w:rsid w:val="000C14B4"/>
    <w:rsid w:val="000D3C4A"/>
    <w:rsid w:val="000F28CC"/>
    <w:rsid w:val="00103CA0"/>
    <w:rsid w:val="00116279"/>
    <w:rsid w:val="0013558D"/>
    <w:rsid w:val="001406BA"/>
    <w:rsid w:val="001814D7"/>
    <w:rsid w:val="00184634"/>
    <w:rsid w:val="00184B66"/>
    <w:rsid w:val="001941A3"/>
    <w:rsid w:val="00197E8D"/>
    <w:rsid w:val="001B138A"/>
    <w:rsid w:val="001D6EDE"/>
    <w:rsid w:val="001F1A47"/>
    <w:rsid w:val="0021353C"/>
    <w:rsid w:val="00220CB0"/>
    <w:rsid w:val="002424A4"/>
    <w:rsid w:val="00253C60"/>
    <w:rsid w:val="00253D33"/>
    <w:rsid w:val="0025559C"/>
    <w:rsid w:val="002556DC"/>
    <w:rsid w:val="00296869"/>
    <w:rsid w:val="002A1B1D"/>
    <w:rsid w:val="002A6A90"/>
    <w:rsid w:val="002C7850"/>
    <w:rsid w:val="002E08B2"/>
    <w:rsid w:val="002F257C"/>
    <w:rsid w:val="003029AE"/>
    <w:rsid w:val="00303F33"/>
    <w:rsid w:val="00305981"/>
    <w:rsid w:val="00306C6C"/>
    <w:rsid w:val="003354D1"/>
    <w:rsid w:val="00366265"/>
    <w:rsid w:val="00366FFC"/>
    <w:rsid w:val="003804CF"/>
    <w:rsid w:val="003824DD"/>
    <w:rsid w:val="003B5EB6"/>
    <w:rsid w:val="003D2FA5"/>
    <w:rsid w:val="003F1258"/>
    <w:rsid w:val="003F394B"/>
    <w:rsid w:val="0043016C"/>
    <w:rsid w:val="00444CE3"/>
    <w:rsid w:val="00464C57"/>
    <w:rsid w:val="00466B82"/>
    <w:rsid w:val="00477B6F"/>
    <w:rsid w:val="00494994"/>
    <w:rsid w:val="004A0EED"/>
    <w:rsid w:val="004C6594"/>
    <w:rsid w:val="004C6FA0"/>
    <w:rsid w:val="004D5AD9"/>
    <w:rsid w:val="004F411F"/>
    <w:rsid w:val="0054422B"/>
    <w:rsid w:val="00564DD5"/>
    <w:rsid w:val="005941A4"/>
    <w:rsid w:val="005B63EE"/>
    <w:rsid w:val="005E2974"/>
    <w:rsid w:val="005E6B8B"/>
    <w:rsid w:val="00635214"/>
    <w:rsid w:val="00643D16"/>
    <w:rsid w:val="006831DD"/>
    <w:rsid w:val="006843CD"/>
    <w:rsid w:val="006875D2"/>
    <w:rsid w:val="0069258C"/>
    <w:rsid w:val="006B1862"/>
    <w:rsid w:val="006E5115"/>
    <w:rsid w:val="00706B1C"/>
    <w:rsid w:val="007118FB"/>
    <w:rsid w:val="00790A29"/>
    <w:rsid w:val="007961DA"/>
    <w:rsid w:val="007D219F"/>
    <w:rsid w:val="007D399E"/>
    <w:rsid w:val="00811320"/>
    <w:rsid w:val="00830A97"/>
    <w:rsid w:val="00831BBD"/>
    <w:rsid w:val="00846E9D"/>
    <w:rsid w:val="00881F4A"/>
    <w:rsid w:val="008908EA"/>
    <w:rsid w:val="008971E1"/>
    <w:rsid w:val="008A244E"/>
    <w:rsid w:val="008A4EC6"/>
    <w:rsid w:val="008A5C86"/>
    <w:rsid w:val="008B613E"/>
    <w:rsid w:val="008E3FD4"/>
    <w:rsid w:val="008F230D"/>
    <w:rsid w:val="008F3AE0"/>
    <w:rsid w:val="00953DE0"/>
    <w:rsid w:val="00980422"/>
    <w:rsid w:val="009A0E1B"/>
    <w:rsid w:val="009D7D7F"/>
    <w:rsid w:val="009F5F8B"/>
    <w:rsid w:val="00A01696"/>
    <w:rsid w:val="00A06F07"/>
    <w:rsid w:val="00A21905"/>
    <w:rsid w:val="00A43B3E"/>
    <w:rsid w:val="00A53979"/>
    <w:rsid w:val="00A54EC8"/>
    <w:rsid w:val="00A61D46"/>
    <w:rsid w:val="00A64857"/>
    <w:rsid w:val="00A904DC"/>
    <w:rsid w:val="00AB5F63"/>
    <w:rsid w:val="00AC4A1D"/>
    <w:rsid w:val="00AE1BA7"/>
    <w:rsid w:val="00AF5294"/>
    <w:rsid w:val="00B00FF9"/>
    <w:rsid w:val="00B056B1"/>
    <w:rsid w:val="00B609B5"/>
    <w:rsid w:val="00B76683"/>
    <w:rsid w:val="00BA26B3"/>
    <w:rsid w:val="00BA4D06"/>
    <w:rsid w:val="00BA70CA"/>
    <w:rsid w:val="00BC1DAD"/>
    <w:rsid w:val="00BD3EB3"/>
    <w:rsid w:val="00BE0B68"/>
    <w:rsid w:val="00BE2FF4"/>
    <w:rsid w:val="00BE69FB"/>
    <w:rsid w:val="00BF12FD"/>
    <w:rsid w:val="00C04845"/>
    <w:rsid w:val="00C06BEF"/>
    <w:rsid w:val="00C1560F"/>
    <w:rsid w:val="00C274BC"/>
    <w:rsid w:val="00C30B00"/>
    <w:rsid w:val="00C46816"/>
    <w:rsid w:val="00C57826"/>
    <w:rsid w:val="00C6390A"/>
    <w:rsid w:val="00C6757D"/>
    <w:rsid w:val="00C914A5"/>
    <w:rsid w:val="00CA4186"/>
    <w:rsid w:val="00CA4283"/>
    <w:rsid w:val="00CB2020"/>
    <w:rsid w:val="00CB2FC4"/>
    <w:rsid w:val="00CB578D"/>
    <w:rsid w:val="00CC7EB5"/>
    <w:rsid w:val="00CD344E"/>
    <w:rsid w:val="00D22529"/>
    <w:rsid w:val="00D2447F"/>
    <w:rsid w:val="00D24662"/>
    <w:rsid w:val="00D3143B"/>
    <w:rsid w:val="00D43D4F"/>
    <w:rsid w:val="00D54E15"/>
    <w:rsid w:val="00D75E7D"/>
    <w:rsid w:val="00D76085"/>
    <w:rsid w:val="00D917CF"/>
    <w:rsid w:val="00D92C9C"/>
    <w:rsid w:val="00D96420"/>
    <w:rsid w:val="00DA3ADE"/>
    <w:rsid w:val="00DB5076"/>
    <w:rsid w:val="00DC505B"/>
    <w:rsid w:val="00DD0075"/>
    <w:rsid w:val="00DF4CCB"/>
    <w:rsid w:val="00E02608"/>
    <w:rsid w:val="00E41D3A"/>
    <w:rsid w:val="00E726F9"/>
    <w:rsid w:val="00E72AF9"/>
    <w:rsid w:val="00E757FD"/>
    <w:rsid w:val="00E814DF"/>
    <w:rsid w:val="00E81830"/>
    <w:rsid w:val="00E81A92"/>
    <w:rsid w:val="00E82189"/>
    <w:rsid w:val="00E821C3"/>
    <w:rsid w:val="00E83BFE"/>
    <w:rsid w:val="00E85E33"/>
    <w:rsid w:val="00E877C9"/>
    <w:rsid w:val="00EC0C2F"/>
    <w:rsid w:val="00EC3374"/>
    <w:rsid w:val="00ED7BDA"/>
    <w:rsid w:val="00F43E2F"/>
    <w:rsid w:val="00F54DAE"/>
    <w:rsid w:val="00F80ACC"/>
    <w:rsid w:val="00F943E5"/>
    <w:rsid w:val="00FA1D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70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qFormat/>
    <w:rsid w:val="00072C22"/>
    <w:pPr>
      <w:spacing w:after="200" w:line="276" w:lineRule="auto"/>
      <w:ind w:left="720"/>
      <w:jc w:val="left"/>
    </w:pPr>
    <w:rPr>
      <w:rFonts w:ascii="Calibri" w:eastAsia="Malgun Gothic" w:hAnsi="Calibri"/>
      <w:sz w:val="22"/>
      <w:szCs w:val="22"/>
      <w:lang w:val="nl-NL" w:eastAsia="ko-KR"/>
    </w:rPr>
  </w:style>
  <w:style w:type="paragraph" w:styleId="NormalWeb">
    <w:name w:val="Normal (Web)"/>
    <w:basedOn w:val="Normal"/>
    <w:rsid w:val="008F230D"/>
    <w:pPr>
      <w:spacing w:before="100" w:beforeAutospacing="1" w:after="100" w:afterAutospacing="1"/>
      <w:jc w:val="left"/>
    </w:pPr>
    <w:rPr>
      <w:color w:val="000000"/>
    </w:rPr>
  </w:style>
  <w:style w:type="paragraph" w:styleId="Dokumentoversigt">
    <w:name w:val="Document Map"/>
    <w:basedOn w:val="Normal"/>
    <w:semiHidden/>
    <w:rsid w:val="003F394B"/>
    <w:pPr>
      <w:shd w:val="clear" w:color="auto" w:fill="000080"/>
    </w:pPr>
    <w:rPr>
      <w:rFonts w:ascii="Tahoma" w:hAnsi="Tahoma" w:cs="Tahoma"/>
      <w:sz w:val="20"/>
      <w:szCs w:val="20"/>
    </w:rPr>
  </w:style>
  <w:style w:type="character" w:styleId="Hyperlink">
    <w:name w:val="Hyperlink"/>
    <w:uiPriority w:val="99"/>
    <w:unhideWhenUsed/>
    <w:rsid w:val="007D219F"/>
    <w:rPr>
      <w:color w:val="0000FF"/>
      <w:u w:val="single"/>
    </w:rPr>
  </w:style>
  <w:style w:type="table" w:styleId="Tabel-Gitter">
    <w:name w:val="Table Grid"/>
    <w:basedOn w:val="Tabel-Normal"/>
    <w:uiPriority w:val="59"/>
    <w:rsid w:val="00253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semiHidden/>
    <w:rsid w:val="00CB2FC4"/>
    <w:rPr>
      <w:rFonts w:ascii="Tahoma" w:hAnsi="Tahoma" w:cs="Tahoma"/>
      <w:sz w:val="16"/>
      <w:szCs w:val="16"/>
    </w:rPr>
  </w:style>
  <w:style w:type="paragraph" w:styleId="Fodnotetekst">
    <w:name w:val="footnote text"/>
    <w:basedOn w:val="Normal"/>
    <w:link w:val="FodnotetekstTegn"/>
    <w:uiPriority w:val="99"/>
    <w:semiHidden/>
    <w:unhideWhenUsed/>
    <w:rsid w:val="006875D2"/>
    <w:rPr>
      <w:sz w:val="20"/>
      <w:szCs w:val="20"/>
    </w:rPr>
  </w:style>
  <w:style w:type="character" w:customStyle="1" w:styleId="FodnotetekstTegn">
    <w:name w:val="Fodnotetekst Tegn"/>
    <w:link w:val="Fodnotetekst"/>
    <w:uiPriority w:val="99"/>
    <w:semiHidden/>
    <w:rsid w:val="006875D2"/>
    <w:rPr>
      <w:lang w:val="en-GB" w:eastAsia="en-GB"/>
    </w:rPr>
  </w:style>
  <w:style w:type="character" w:styleId="Fodnotehenvisning">
    <w:name w:val="footnote reference"/>
    <w:uiPriority w:val="99"/>
    <w:semiHidden/>
    <w:unhideWhenUsed/>
    <w:rsid w:val="006875D2"/>
    <w:rPr>
      <w:vertAlign w:val="superscript"/>
    </w:rPr>
  </w:style>
  <w:style w:type="paragraph" w:styleId="Sidehoved">
    <w:name w:val="header"/>
    <w:basedOn w:val="Normal"/>
    <w:link w:val="SidehovedTegn"/>
    <w:uiPriority w:val="99"/>
    <w:unhideWhenUsed/>
    <w:rsid w:val="001B138A"/>
    <w:pPr>
      <w:tabs>
        <w:tab w:val="center" w:pos="4819"/>
        <w:tab w:val="right" w:pos="9638"/>
      </w:tabs>
    </w:pPr>
  </w:style>
  <w:style w:type="character" w:customStyle="1" w:styleId="SidehovedTegn">
    <w:name w:val="Sidehoved Tegn"/>
    <w:link w:val="Sidehoved"/>
    <w:uiPriority w:val="99"/>
    <w:rsid w:val="001B138A"/>
    <w:rPr>
      <w:sz w:val="24"/>
      <w:szCs w:val="24"/>
      <w:lang w:val="en-GB" w:eastAsia="en-GB"/>
    </w:rPr>
  </w:style>
  <w:style w:type="paragraph" w:styleId="Sidefod">
    <w:name w:val="footer"/>
    <w:basedOn w:val="Normal"/>
    <w:link w:val="SidefodTegn"/>
    <w:uiPriority w:val="99"/>
    <w:unhideWhenUsed/>
    <w:rsid w:val="001B138A"/>
    <w:pPr>
      <w:tabs>
        <w:tab w:val="center" w:pos="4819"/>
        <w:tab w:val="right" w:pos="9638"/>
      </w:tabs>
    </w:pPr>
  </w:style>
  <w:style w:type="character" w:customStyle="1" w:styleId="SidefodTegn">
    <w:name w:val="Sidefod Tegn"/>
    <w:link w:val="Sidefod"/>
    <w:uiPriority w:val="99"/>
    <w:rsid w:val="001B138A"/>
    <w:rPr>
      <w:sz w:val="24"/>
      <w:szCs w:val="24"/>
      <w:lang w:val="en-GB" w:eastAsia="en-GB"/>
    </w:rPr>
  </w:style>
  <w:style w:type="paragraph" w:customStyle="1" w:styleId="Pa11">
    <w:name w:val="Pa11"/>
    <w:basedOn w:val="Normal"/>
    <w:next w:val="Normal"/>
    <w:uiPriority w:val="99"/>
    <w:rsid w:val="00A61D46"/>
    <w:pPr>
      <w:autoSpaceDE w:val="0"/>
      <w:autoSpaceDN w:val="0"/>
      <w:adjustRightInd w:val="0"/>
      <w:spacing w:line="151" w:lineRule="atLeast"/>
      <w:jc w:val="left"/>
    </w:pPr>
    <w:rPr>
      <w:rFonts w:ascii="EKF" w:hAnsi="EKF"/>
      <w:lang w:val="da-DK" w:eastAsia="da-DK"/>
    </w:rPr>
  </w:style>
  <w:style w:type="paragraph" w:customStyle="1" w:styleId="s4-wptoptable1">
    <w:name w:val="s4-wptoptable1"/>
    <w:basedOn w:val="Normal"/>
    <w:rsid w:val="00AC4A1D"/>
    <w:pPr>
      <w:spacing w:before="100" w:beforeAutospacing="1" w:after="100" w:afterAutospacing="1"/>
      <w:jc w:val="left"/>
    </w:pPr>
    <w:rPr>
      <w:lang w:val="da-DK" w:eastAsia="da-DK"/>
    </w:rPr>
  </w:style>
  <w:style w:type="paragraph" w:styleId="Listeafsnit">
    <w:name w:val="List Paragraph"/>
    <w:basedOn w:val="Normal"/>
    <w:uiPriority w:val="34"/>
    <w:qFormat/>
    <w:rsid w:val="00366FFC"/>
    <w:pPr>
      <w:ind w:left="720"/>
      <w:contextualSpacing/>
    </w:pPr>
  </w:style>
  <w:style w:type="character" w:styleId="Strk">
    <w:name w:val="Strong"/>
    <w:uiPriority w:val="22"/>
    <w:qFormat/>
    <w:rsid w:val="00303F33"/>
    <w:rPr>
      <w:b/>
      <w:bCs/>
    </w:rPr>
  </w:style>
  <w:style w:type="character" w:styleId="Kommentarhenvisning">
    <w:name w:val="annotation reference"/>
    <w:uiPriority w:val="99"/>
    <w:semiHidden/>
    <w:unhideWhenUsed/>
    <w:rsid w:val="00303F33"/>
    <w:rPr>
      <w:sz w:val="16"/>
      <w:szCs w:val="16"/>
    </w:rPr>
  </w:style>
  <w:style w:type="paragraph" w:styleId="Kommentartekst">
    <w:name w:val="annotation text"/>
    <w:basedOn w:val="Normal"/>
    <w:link w:val="KommentartekstTegn"/>
    <w:uiPriority w:val="99"/>
    <w:semiHidden/>
    <w:unhideWhenUsed/>
    <w:rsid w:val="00303F33"/>
    <w:rPr>
      <w:sz w:val="20"/>
      <w:szCs w:val="20"/>
    </w:rPr>
  </w:style>
  <w:style w:type="character" w:customStyle="1" w:styleId="KommentartekstTegn">
    <w:name w:val="Kommentartekst Tegn"/>
    <w:link w:val="Kommentartekst"/>
    <w:uiPriority w:val="99"/>
    <w:semiHidden/>
    <w:rsid w:val="00303F33"/>
    <w:rPr>
      <w:lang w:val="en-GB" w:eastAsia="en-GB"/>
    </w:rPr>
  </w:style>
  <w:style w:type="paragraph" w:styleId="Kommentaremne">
    <w:name w:val="annotation subject"/>
    <w:basedOn w:val="Kommentartekst"/>
    <w:next w:val="Kommentartekst"/>
    <w:link w:val="KommentaremneTegn"/>
    <w:uiPriority w:val="99"/>
    <w:semiHidden/>
    <w:unhideWhenUsed/>
    <w:rsid w:val="00303F33"/>
    <w:rPr>
      <w:b/>
      <w:bCs/>
    </w:rPr>
  </w:style>
  <w:style w:type="character" w:customStyle="1" w:styleId="KommentaremneTegn">
    <w:name w:val="Kommentaremne Tegn"/>
    <w:link w:val="Kommentaremne"/>
    <w:uiPriority w:val="99"/>
    <w:semiHidden/>
    <w:rsid w:val="00303F33"/>
    <w:rPr>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qFormat/>
    <w:rsid w:val="00072C22"/>
    <w:pPr>
      <w:spacing w:after="200" w:line="276" w:lineRule="auto"/>
      <w:ind w:left="720"/>
      <w:jc w:val="left"/>
    </w:pPr>
    <w:rPr>
      <w:rFonts w:ascii="Calibri" w:eastAsia="Malgun Gothic" w:hAnsi="Calibri"/>
      <w:sz w:val="22"/>
      <w:szCs w:val="22"/>
      <w:lang w:val="nl-NL" w:eastAsia="ko-KR"/>
    </w:rPr>
  </w:style>
  <w:style w:type="paragraph" w:styleId="NormalWeb">
    <w:name w:val="Normal (Web)"/>
    <w:basedOn w:val="Normal"/>
    <w:rsid w:val="008F230D"/>
    <w:pPr>
      <w:spacing w:before="100" w:beforeAutospacing="1" w:after="100" w:afterAutospacing="1"/>
      <w:jc w:val="left"/>
    </w:pPr>
    <w:rPr>
      <w:color w:val="000000"/>
    </w:rPr>
  </w:style>
  <w:style w:type="paragraph" w:styleId="Dokumentoversigt">
    <w:name w:val="Document Map"/>
    <w:basedOn w:val="Normal"/>
    <w:semiHidden/>
    <w:rsid w:val="003F394B"/>
    <w:pPr>
      <w:shd w:val="clear" w:color="auto" w:fill="000080"/>
    </w:pPr>
    <w:rPr>
      <w:rFonts w:ascii="Tahoma" w:hAnsi="Tahoma" w:cs="Tahoma"/>
      <w:sz w:val="20"/>
      <w:szCs w:val="20"/>
    </w:rPr>
  </w:style>
  <w:style w:type="character" w:styleId="Hyperlink">
    <w:name w:val="Hyperlink"/>
    <w:uiPriority w:val="99"/>
    <w:unhideWhenUsed/>
    <w:rsid w:val="007D219F"/>
    <w:rPr>
      <w:color w:val="0000FF"/>
      <w:u w:val="single"/>
    </w:rPr>
  </w:style>
  <w:style w:type="table" w:styleId="Tabel-Gitter">
    <w:name w:val="Table Grid"/>
    <w:basedOn w:val="Tabel-Normal"/>
    <w:uiPriority w:val="59"/>
    <w:rsid w:val="00253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semiHidden/>
    <w:rsid w:val="00CB2FC4"/>
    <w:rPr>
      <w:rFonts w:ascii="Tahoma" w:hAnsi="Tahoma" w:cs="Tahoma"/>
      <w:sz w:val="16"/>
      <w:szCs w:val="16"/>
    </w:rPr>
  </w:style>
  <w:style w:type="paragraph" w:styleId="Fodnotetekst">
    <w:name w:val="footnote text"/>
    <w:basedOn w:val="Normal"/>
    <w:link w:val="FodnotetekstTegn"/>
    <w:uiPriority w:val="99"/>
    <w:semiHidden/>
    <w:unhideWhenUsed/>
    <w:rsid w:val="006875D2"/>
    <w:rPr>
      <w:sz w:val="20"/>
      <w:szCs w:val="20"/>
    </w:rPr>
  </w:style>
  <w:style w:type="character" w:customStyle="1" w:styleId="FodnotetekstTegn">
    <w:name w:val="Fodnotetekst Tegn"/>
    <w:link w:val="Fodnotetekst"/>
    <w:uiPriority w:val="99"/>
    <w:semiHidden/>
    <w:rsid w:val="006875D2"/>
    <w:rPr>
      <w:lang w:val="en-GB" w:eastAsia="en-GB"/>
    </w:rPr>
  </w:style>
  <w:style w:type="character" w:styleId="Fodnotehenvisning">
    <w:name w:val="footnote reference"/>
    <w:uiPriority w:val="99"/>
    <w:semiHidden/>
    <w:unhideWhenUsed/>
    <w:rsid w:val="006875D2"/>
    <w:rPr>
      <w:vertAlign w:val="superscript"/>
    </w:rPr>
  </w:style>
  <w:style w:type="paragraph" w:styleId="Sidehoved">
    <w:name w:val="header"/>
    <w:basedOn w:val="Normal"/>
    <w:link w:val="SidehovedTegn"/>
    <w:uiPriority w:val="99"/>
    <w:unhideWhenUsed/>
    <w:rsid w:val="001B138A"/>
    <w:pPr>
      <w:tabs>
        <w:tab w:val="center" w:pos="4819"/>
        <w:tab w:val="right" w:pos="9638"/>
      </w:tabs>
    </w:pPr>
  </w:style>
  <w:style w:type="character" w:customStyle="1" w:styleId="SidehovedTegn">
    <w:name w:val="Sidehoved Tegn"/>
    <w:link w:val="Sidehoved"/>
    <w:uiPriority w:val="99"/>
    <w:rsid w:val="001B138A"/>
    <w:rPr>
      <w:sz w:val="24"/>
      <w:szCs w:val="24"/>
      <w:lang w:val="en-GB" w:eastAsia="en-GB"/>
    </w:rPr>
  </w:style>
  <w:style w:type="paragraph" w:styleId="Sidefod">
    <w:name w:val="footer"/>
    <w:basedOn w:val="Normal"/>
    <w:link w:val="SidefodTegn"/>
    <w:uiPriority w:val="99"/>
    <w:unhideWhenUsed/>
    <w:rsid w:val="001B138A"/>
    <w:pPr>
      <w:tabs>
        <w:tab w:val="center" w:pos="4819"/>
        <w:tab w:val="right" w:pos="9638"/>
      </w:tabs>
    </w:pPr>
  </w:style>
  <w:style w:type="character" w:customStyle="1" w:styleId="SidefodTegn">
    <w:name w:val="Sidefod Tegn"/>
    <w:link w:val="Sidefod"/>
    <w:uiPriority w:val="99"/>
    <w:rsid w:val="001B138A"/>
    <w:rPr>
      <w:sz w:val="24"/>
      <w:szCs w:val="24"/>
      <w:lang w:val="en-GB" w:eastAsia="en-GB"/>
    </w:rPr>
  </w:style>
  <w:style w:type="paragraph" w:customStyle="1" w:styleId="Pa11">
    <w:name w:val="Pa11"/>
    <w:basedOn w:val="Normal"/>
    <w:next w:val="Normal"/>
    <w:uiPriority w:val="99"/>
    <w:rsid w:val="00A61D46"/>
    <w:pPr>
      <w:autoSpaceDE w:val="0"/>
      <w:autoSpaceDN w:val="0"/>
      <w:adjustRightInd w:val="0"/>
      <w:spacing w:line="151" w:lineRule="atLeast"/>
      <w:jc w:val="left"/>
    </w:pPr>
    <w:rPr>
      <w:rFonts w:ascii="EKF" w:hAnsi="EKF"/>
      <w:lang w:val="da-DK" w:eastAsia="da-DK"/>
    </w:rPr>
  </w:style>
  <w:style w:type="paragraph" w:customStyle="1" w:styleId="s4-wptoptable1">
    <w:name w:val="s4-wptoptable1"/>
    <w:basedOn w:val="Normal"/>
    <w:rsid w:val="00AC4A1D"/>
    <w:pPr>
      <w:spacing w:before="100" w:beforeAutospacing="1" w:after="100" w:afterAutospacing="1"/>
      <w:jc w:val="left"/>
    </w:pPr>
    <w:rPr>
      <w:lang w:val="da-DK" w:eastAsia="da-DK"/>
    </w:rPr>
  </w:style>
  <w:style w:type="paragraph" w:styleId="Listeafsnit">
    <w:name w:val="List Paragraph"/>
    <w:basedOn w:val="Normal"/>
    <w:uiPriority w:val="34"/>
    <w:qFormat/>
    <w:rsid w:val="00366FFC"/>
    <w:pPr>
      <w:ind w:left="720"/>
      <w:contextualSpacing/>
    </w:pPr>
  </w:style>
  <w:style w:type="character" w:styleId="Strk">
    <w:name w:val="Strong"/>
    <w:uiPriority w:val="22"/>
    <w:qFormat/>
    <w:rsid w:val="00303F33"/>
    <w:rPr>
      <w:b/>
      <w:bCs/>
    </w:rPr>
  </w:style>
  <w:style w:type="character" w:styleId="Kommentarhenvisning">
    <w:name w:val="annotation reference"/>
    <w:uiPriority w:val="99"/>
    <w:semiHidden/>
    <w:unhideWhenUsed/>
    <w:rsid w:val="00303F33"/>
    <w:rPr>
      <w:sz w:val="16"/>
      <w:szCs w:val="16"/>
    </w:rPr>
  </w:style>
  <w:style w:type="paragraph" w:styleId="Kommentartekst">
    <w:name w:val="annotation text"/>
    <w:basedOn w:val="Normal"/>
    <w:link w:val="KommentartekstTegn"/>
    <w:uiPriority w:val="99"/>
    <w:semiHidden/>
    <w:unhideWhenUsed/>
    <w:rsid w:val="00303F33"/>
    <w:rPr>
      <w:sz w:val="20"/>
      <w:szCs w:val="20"/>
    </w:rPr>
  </w:style>
  <w:style w:type="character" w:customStyle="1" w:styleId="KommentartekstTegn">
    <w:name w:val="Kommentartekst Tegn"/>
    <w:link w:val="Kommentartekst"/>
    <w:uiPriority w:val="99"/>
    <w:semiHidden/>
    <w:rsid w:val="00303F33"/>
    <w:rPr>
      <w:lang w:val="en-GB" w:eastAsia="en-GB"/>
    </w:rPr>
  </w:style>
  <w:style w:type="paragraph" w:styleId="Kommentaremne">
    <w:name w:val="annotation subject"/>
    <w:basedOn w:val="Kommentartekst"/>
    <w:next w:val="Kommentartekst"/>
    <w:link w:val="KommentaremneTegn"/>
    <w:uiPriority w:val="99"/>
    <w:semiHidden/>
    <w:unhideWhenUsed/>
    <w:rsid w:val="00303F33"/>
    <w:rPr>
      <w:b/>
      <w:bCs/>
    </w:rPr>
  </w:style>
  <w:style w:type="character" w:customStyle="1" w:styleId="KommentaremneTegn">
    <w:name w:val="Kommentaremne Tegn"/>
    <w:link w:val="Kommentaremne"/>
    <w:uiPriority w:val="99"/>
    <w:semiHidden/>
    <w:rsid w:val="00303F33"/>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9839">
      <w:bodyDiv w:val="1"/>
      <w:marLeft w:val="0"/>
      <w:marRight w:val="0"/>
      <w:marTop w:val="0"/>
      <w:marBottom w:val="0"/>
      <w:divBdr>
        <w:top w:val="none" w:sz="0" w:space="0" w:color="auto"/>
        <w:left w:val="none" w:sz="0" w:space="0" w:color="auto"/>
        <w:bottom w:val="none" w:sz="0" w:space="0" w:color="auto"/>
        <w:right w:val="none" w:sz="0" w:space="0" w:color="auto"/>
      </w:divBdr>
      <w:divsChild>
        <w:div w:id="432169991">
          <w:marLeft w:val="0"/>
          <w:marRight w:val="0"/>
          <w:marTop w:val="0"/>
          <w:marBottom w:val="0"/>
          <w:divBdr>
            <w:top w:val="none" w:sz="0" w:space="0" w:color="auto"/>
            <w:left w:val="none" w:sz="0" w:space="0" w:color="auto"/>
            <w:bottom w:val="none" w:sz="0" w:space="0" w:color="auto"/>
            <w:right w:val="none" w:sz="0" w:space="0" w:color="auto"/>
          </w:divBdr>
          <w:divsChild>
            <w:div w:id="599874700">
              <w:marLeft w:val="0"/>
              <w:marRight w:val="0"/>
              <w:marTop w:val="0"/>
              <w:marBottom w:val="0"/>
              <w:divBdr>
                <w:top w:val="none" w:sz="0" w:space="0" w:color="auto"/>
                <w:left w:val="none" w:sz="0" w:space="0" w:color="auto"/>
                <w:bottom w:val="none" w:sz="0" w:space="0" w:color="auto"/>
                <w:right w:val="none" w:sz="0" w:space="0" w:color="auto"/>
              </w:divBdr>
              <w:divsChild>
                <w:div w:id="1842816851">
                  <w:marLeft w:val="0"/>
                  <w:marRight w:val="0"/>
                  <w:marTop w:val="0"/>
                  <w:marBottom w:val="0"/>
                  <w:divBdr>
                    <w:top w:val="none" w:sz="0" w:space="0" w:color="auto"/>
                    <w:left w:val="none" w:sz="0" w:space="0" w:color="auto"/>
                    <w:bottom w:val="none" w:sz="0" w:space="0" w:color="auto"/>
                    <w:right w:val="none" w:sz="0" w:space="0" w:color="auto"/>
                  </w:divBdr>
                  <w:divsChild>
                    <w:div w:id="200556514">
                      <w:marLeft w:val="0"/>
                      <w:marRight w:val="0"/>
                      <w:marTop w:val="0"/>
                      <w:marBottom w:val="0"/>
                      <w:divBdr>
                        <w:top w:val="none" w:sz="0" w:space="0" w:color="auto"/>
                        <w:left w:val="none" w:sz="0" w:space="0" w:color="auto"/>
                        <w:bottom w:val="none" w:sz="0" w:space="0" w:color="auto"/>
                        <w:right w:val="none" w:sz="0" w:space="0" w:color="auto"/>
                      </w:divBdr>
                      <w:divsChild>
                        <w:div w:id="1509950795">
                          <w:marLeft w:val="0"/>
                          <w:marRight w:val="0"/>
                          <w:marTop w:val="0"/>
                          <w:marBottom w:val="0"/>
                          <w:divBdr>
                            <w:top w:val="none" w:sz="0" w:space="0" w:color="auto"/>
                            <w:left w:val="none" w:sz="0" w:space="0" w:color="auto"/>
                            <w:bottom w:val="none" w:sz="0" w:space="0" w:color="auto"/>
                            <w:right w:val="none" w:sz="0" w:space="0" w:color="auto"/>
                          </w:divBdr>
                          <w:divsChild>
                            <w:div w:id="1340884993">
                              <w:marLeft w:val="0"/>
                              <w:marRight w:val="0"/>
                              <w:marTop w:val="0"/>
                              <w:marBottom w:val="0"/>
                              <w:divBdr>
                                <w:top w:val="none" w:sz="0" w:space="0" w:color="auto"/>
                                <w:left w:val="none" w:sz="0" w:space="0" w:color="auto"/>
                                <w:bottom w:val="none" w:sz="0" w:space="0" w:color="auto"/>
                                <w:right w:val="none" w:sz="0" w:space="0" w:color="auto"/>
                              </w:divBdr>
                              <w:divsChild>
                                <w:div w:id="202254811">
                                  <w:marLeft w:val="3600"/>
                                  <w:marRight w:val="0"/>
                                  <w:marTop w:val="300"/>
                                  <w:marBottom w:val="0"/>
                                  <w:divBdr>
                                    <w:top w:val="none" w:sz="0" w:space="0" w:color="auto"/>
                                    <w:left w:val="none" w:sz="0" w:space="0" w:color="auto"/>
                                    <w:bottom w:val="none" w:sz="0" w:space="0" w:color="auto"/>
                                    <w:right w:val="none" w:sz="0" w:space="0" w:color="auto"/>
                                  </w:divBdr>
                                  <w:divsChild>
                                    <w:div w:id="585960012">
                                      <w:marLeft w:val="0"/>
                                      <w:marRight w:val="0"/>
                                      <w:marTop w:val="0"/>
                                      <w:marBottom w:val="0"/>
                                      <w:divBdr>
                                        <w:top w:val="none" w:sz="0" w:space="0" w:color="auto"/>
                                        <w:left w:val="none" w:sz="0" w:space="0" w:color="auto"/>
                                        <w:bottom w:val="none" w:sz="0" w:space="0" w:color="auto"/>
                                        <w:right w:val="none" w:sz="0" w:space="0" w:color="auto"/>
                                      </w:divBdr>
                                      <w:divsChild>
                                        <w:div w:id="375357146">
                                          <w:marLeft w:val="0"/>
                                          <w:marRight w:val="0"/>
                                          <w:marTop w:val="300"/>
                                          <w:marBottom w:val="0"/>
                                          <w:divBdr>
                                            <w:top w:val="none" w:sz="0" w:space="0" w:color="auto"/>
                                            <w:left w:val="none" w:sz="0" w:space="0" w:color="auto"/>
                                            <w:bottom w:val="none" w:sz="0" w:space="0" w:color="auto"/>
                                            <w:right w:val="none" w:sz="0" w:space="0" w:color="auto"/>
                                          </w:divBdr>
                                          <w:divsChild>
                                            <w:div w:id="1880236275">
                                              <w:marLeft w:val="0"/>
                                              <w:marRight w:val="0"/>
                                              <w:marTop w:val="0"/>
                                              <w:marBottom w:val="0"/>
                                              <w:divBdr>
                                                <w:top w:val="none" w:sz="0" w:space="0" w:color="auto"/>
                                                <w:left w:val="none" w:sz="0" w:space="0" w:color="auto"/>
                                                <w:bottom w:val="none" w:sz="0" w:space="0" w:color="auto"/>
                                                <w:right w:val="none" w:sz="0" w:space="0" w:color="auto"/>
                                              </w:divBdr>
                                              <w:divsChild>
                                                <w:div w:id="1418555606">
                                                  <w:marLeft w:val="0"/>
                                                  <w:marRight w:val="0"/>
                                                  <w:marTop w:val="0"/>
                                                  <w:marBottom w:val="0"/>
                                                  <w:divBdr>
                                                    <w:top w:val="none" w:sz="0" w:space="0" w:color="auto"/>
                                                    <w:left w:val="none" w:sz="0" w:space="0" w:color="auto"/>
                                                    <w:bottom w:val="none" w:sz="0" w:space="0" w:color="auto"/>
                                                    <w:right w:val="none" w:sz="0" w:space="0" w:color="auto"/>
                                                  </w:divBdr>
                                                  <w:divsChild>
                                                    <w:div w:id="610750370">
                                                      <w:marLeft w:val="0"/>
                                                      <w:marRight w:val="0"/>
                                                      <w:marTop w:val="0"/>
                                                      <w:marBottom w:val="0"/>
                                                      <w:divBdr>
                                                        <w:top w:val="none" w:sz="0" w:space="0" w:color="auto"/>
                                                        <w:left w:val="none" w:sz="0" w:space="0" w:color="auto"/>
                                                        <w:bottom w:val="none" w:sz="0" w:space="0" w:color="auto"/>
                                                        <w:right w:val="none" w:sz="0" w:space="0" w:color="auto"/>
                                                      </w:divBdr>
                                                      <w:divsChild>
                                                        <w:div w:id="754282748">
                                                          <w:marLeft w:val="0"/>
                                                          <w:marRight w:val="0"/>
                                                          <w:marTop w:val="0"/>
                                                          <w:marBottom w:val="0"/>
                                                          <w:divBdr>
                                                            <w:top w:val="none" w:sz="0" w:space="0" w:color="auto"/>
                                                            <w:left w:val="none" w:sz="0" w:space="0" w:color="auto"/>
                                                            <w:bottom w:val="none" w:sz="0" w:space="0" w:color="auto"/>
                                                            <w:right w:val="none" w:sz="0" w:space="0" w:color="auto"/>
                                                          </w:divBdr>
                                                          <w:divsChild>
                                                            <w:div w:id="23294149">
                                                              <w:marLeft w:val="0"/>
                                                              <w:marRight w:val="0"/>
                                                              <w:marTop w:val="0"/>
                                                              <w:marBottom w:val="0"/>
                                                              <w:divBdr>
                                                                <w:top w:val="none" w:sz="0" w:space="0" w:color="auto"/>
                                                                <w:left w:val="none" w:sz="0" w:space="0" w:color="auto"/>
                                                                <w:bottom w:val="none" w:sz="0" w:space="0" w:color="auto"/>
                                                                <w:right w:val="none" w:sz="0" w:space="0" w:color="auto"/>
                                                              </w:divBdr>
                                                            </w:div>
                                                            <w:div w:id="247035163">
                                                              <w:marLeft w:val="0"/>
                                                              <w:marRight w:val="0"/>
                                                              <w:marTop w:val="0"/>
                                                              <w:marBottom w:val="0"/>
                                                              <w:divBdr>
                                                                <w:top w:val="none" w:sz="0" w:space="0" w:color="auto"/>
                                                                <w:left w:val="none" w:sz="0" w:space="0" w:color="auto"/>
                                                                <w:bottom w:val="none" w:sz="0" w:space="0" w:color="auto"/>
                                                                <w:right w:val="none" w:sz="0" w:space="0" w:color="auto"/>
                                                              </w:divBdr>
                                                            </w:div>
                                                            <w:div w:id="366150381">
                                                              <w:marLeft w:val="0"/>
                                                              <w:marRight w:val="0"/>
                                                              <w:marTop w:val="0"/>
                                                              <w:marBottom w:val="0"/>
                                                              <w:divBdr>
                                                                <w:top w:val="none" w:sz="0" w:space="0" w:color="auto"/>
                                                                <w:left w:val="none" w:sz="0" w:space="0" w:color="auto"/>
                                                                <w:bottom w:val="none" w:sz="0" w:space="0" w:color="auto"/>
                                                                <w:right w:val="none" w:sz="0" w:space="0" w:color="auto"/>
                                                              </w:divBdr>
                                                            </w:div>
                                                            <w:div w:id="483547870">
                                                              <w:marLeft w:val="0"/>
                                                              <w:marRight w:val="0"/>
                                                              <w:marTop w:val="0"/>
                                                              <w:marBottom w:val="0"/>
                                                              <w:divBdr>
                                                                <w:top w:val="none" w:sz="0" w:space="0" w:color="auto"/>
                                                                <w:left w:val="none" w:sz="0" w:space="0" w:color="auto"/>
                                                                <w:bottom w:val="none" w:sz="0" w:space="0" w:color="auto"/>
                                                                <w:right w:val="none" w:sz="0" w:space="0" w:color="auto"/>
                                                              </w:divBdr>
                                                            </w:div>
                                                            <w:div w:id="714351836">
                                                              <w:marLeft w:val="0"/>
                                                              <w:marRight w:val="0"/>
                                                              <w:marTop w:val="0"/>
                                                              <w:marBottom w:val="0"/>
                                                              <w:divBdr>
                                                                <w:top w:val="none" w:sz="0" w:space="0" w:color="auto"/>
                                                                <w:left w:val="none" w:sz="0" w:space="0" w:color="auto"/>
                                                                <w:bottom w:val="none" w:sz="0" w:space="0" w:color="auto"/>
                                                                <w:right w:val="none" w:sz="0" w:space="0" w:color="auto"/>
                                                              </w:divBdr>
                                                            </w:div>
                                                            <w:div w:id="722291135">
                                                              <w:marLeft w:val="0"/>
                                                              <w:marRight w:val="0"/>
                                                              <w:marTop w:val="0"/>
                                                              <w:marBottom w:val="0"/>
                                                              <w:divBdr>
                                                                <w:top w:val="none" w:sz="0" w:space="0" w:color="auto"/>
                                                                <w:left w:val="none" w:sz="0" w:space="0" w:color="auto"/>
                                                                <w:bottom w:val="none" w:sz="0" w:space="0" w:color="auto"/>
                                                                <w:right w:val="none" w:sz="0" w:space="0" w:color="auto"/>
                                                              </w:divBdr>
                                                            </w:div>
                                                            <w:div w:id="852912363">
                                                              <w:marLeft w:val="0"/>
                                                              <w:marRight w:val="0"/>
                                                              <w:marTop w:val="0"/>
                                                              <w:marBottom w:val="0"/>
                                                              <w:divBdr>
                                                                <w:top w:val="none" w:sz="0" w:space="0" w:color="auto"/>
                                                                <w:left w:val="none" w:sz="0" w:space="0" w:color="auto"/>
                                                                <w:bottom w:val="none" w:sz="0" w:space="0" w:color="auto"/>
                                                                <w:right w:val="none" w:sz="0" w:space="0" w:color="auto"/>
                                                              </w:divBdr>
                                                            </w:div>
                                                            <w:div w:id="1184512948">
                                                              <w:marLeft w:val="0"/>
                                                              <w:marRight w:val="0"/>
                                                              <w:marTop w:val="0"/>
                                                              <w:marBottom w:val="0"/>
                                                              <w:divBdr>
                                                                <w:top w:val="none" w:sz="0" w:space="0" w:color="auto"/>
                                                                <w:left w:val="none" w:sz="0" w:space="0" w:color="auto"/>
                                                                <w:bottom w:val="none" w:sz="0" w:space="0" w:color="auto"/>
                                                                <w:right w:val="none" w:sz="0" w:space="0" w:color="auto"/>
                                                              </w:divBdr>
                                                            </w:div>
                                                            <w:div w:id="1445878876">
                                                              <w:marLeft w:val="0"/>
                                                              <w:marRight w:val="0"/>
                                                              <w:marTop w:val="0"/>
                                                              <w:marBottom w:val="0"/>
                                                              <w:divBdr>
                                                                <w:top w:val="none" w:sz="0" w:space="0" w:color="auto"/>
                                                                <w:left w:val="none" w:sz="0" w:space="0" w:color="auto"/>
                                                                <w:bottom w:val="none" w:sz="0" w:space="0" w:color="auto"/>
                                                                <w:right w:val="none" w:sz="0" w:space="0" w:color="auto"/>
                                                              </w:divBdr>
                                                            </w:div>
                                                            <w:div w:id="18658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403966">
      <w:bodyDiv w:val="1"/>
      <w:marLeft w:val="0"/>
      <w:marRight w:val="0"/>
      <w:marTop w:val="0"/>
      <w:marBottom w:val="0"/>
      <w:divBdr>
        <w:top w:val="none" w:sz="0" w:space="0" w:color="auto"/>
        <w:left w:val="none" w:sz="0" w:space="0" w:color="auto"/>
        <w:bottom w:val="none" w:sz="0" w:space="0" w:color="auto"/>
        <w:right w:val="none" w:sz="0" w:space="0" w:color="auto"/>
      </w:divBdr>
      <w:divsChild>
        <w:div w:id="976032867">
          <w:marLeft w:val="0"/>
          <w:marRight w:val="0"/>
          <w:marTop w:val="0"/>
          <w:marBottom w:val="0"/>
          <w:divBdr>
            <w:top w:val="none" w:sz="0" w:space="0" w:color="auto"/>
            <w:left w:val="none" w:sz="0" w:space="0" w:color="auto"/>
            <w:bottom w:val="none" w:sz="0" w:space="0" w:color="auto"/>
            <w:right w:val="none" w:sz="0" w:space="0" w:color="auto"/>
          </w:divBdr>
          <w:divsChild>
            <w:div w:id="485779021">
              <w:marLeft w:val="0"/>
              <w:marRight w:val="0"/>
              <w:marTop w:val="0"/>
              <w:marBottom w:val="0"/>
              <w:divBdr>
                <w:top w:val="none" w:sz="0" w:space="0" w:color="auto"/>
                <w:left w:val="none" w:sz="0" w:space="0" w:color="auto"/>
                <w:bottom w:val="none" w:sz="0" w:space="0" w:color="auto"/>
                <w:right w:val="none" w:sz="0" w:space="0" w:color="auto"/>
              </w:divBdr>
              <w:divsChild>
                <w:div w:id="1117070055">
                  <w:marLeft w:val="0"/>
                  <w:marRight w:val="0"/>
                  <w:marTop w:val="0"/>
                  <w:marBottom w:val="0"/>
                  <w:divBdr>
                    <w:top w:val="none" w:sz="0" w:space="0" w:color="auto"/>
                    <w:left w:val="none" w:sz="0" w:space="0" w:color="auto"/>
                    <w:bottom w:val="none" w:sz="0" w:space="0" w:color="auto"/>
                    <w:right w:val="none" w:sz="0" w:space="0" w:color="auto"/>
                  </w:divBdr>
                  <w:divsChild>
                    <w:div w:id="1581792479">
                      <w:marLeft w:val="0"/>
                      <w:marRight w:val="0"/>
                      <w:marTop w:val="0"/>
                      <w:marBottom w:val="0"/>
                      <w:divBdr>
                        <w:top w:val="none" w:sz="0" w:space="0" w:color="auto"/>
                        <w:left w:val="none" w:sz="0" w:space="0" w:color="auto"/>
                        <w:bottom w:val="none" w:sz="0" w:space="0" w:color="auto"/>
                        <w:right w:val="none" w:sz="0" w:space="0" w:color="auto"/>
                      </w:divBdr>
                      <w:divsChild>
                        <w:div w:id="593246041">
                          <w:marLeft w:val="0"/>
                          <w:marRight w:val="0"/>
                          <w:marTop w:val="0"/>
                          <w:marBottom w:val="0"/>
                          <w:divBdr>
                            <w:top w:val="none" w:sz="0" w:space="0" w:color="auto"/>
                            <w:left w:val="none" w:sz="0" w:space="0" w:color="auto"/>
                            <w:bottom w:val="none" w:sz="0" w:space="0" w:color="auto"/>
                            <w:right w:val="none" w:sz="0" w:space="0" w:color="auto"/>
                          </w:divBdr>
                          <w:divsChild>
                            <w:div w:id="826432803">
                              <w:marLeft w:val="0"/>
                              <w:marRight w:val="0"/>
                              <w:marTop w:val="0"/>
                              <w:marBottom w:val="0"/>
                              <w:divBdr>
                                <w:top w:val="none" w:sz="0" w:space="0" w:color="auto"/>
                                <w:left w:val="none" w:sz="0" w:space="0" w:color="auto"/>
                                <w:bottom w:val="none" w:sz="0" w:space="0" w:color="auto"/>
                                <w:right w:val="none" w:sz="0" w:space="0" w:color="auto"/>
                              </w:divBdr>
                              <w:divsChild>
                                <w:div w:id="952176686">
                                  <w:marLeft w:val="3600"/>
                                  <w:marRight w:val="0"/>
                                  <w:marTop w:val="300"/>
                                  <w:marBottom w:val="0"/>
                                  <w:divBdr>
                                    <w:top w:val="none" w:sz="0" w:space="0" w:color="auto"/>
                                    <w:left w:val="none" w:sz="0" w:space="0" w:color="auto"/>
                                    <w:bottom w:val="none" w:sz="0" w:space="0" w:color="auto"/>
                                    <w:right w:val="none" w:sz="0" w:space="0" w:color="auto"/>
                                  </w:divBdr>
                                  <w:divsChild>
                                    <w:div w:id="270935628">
                                      <w:marLeft w:val="0"/>
                                      <w:marRight w:val="0"/>
                                      <w:marTop w:val="0"/>
                                      <w:marBottom w:val="0"/>
                                      <w:divBdr>
                                        <w:top w:val="none" w:sz="0" w:space="0" w:color="auto"/>
                                        <w:left w:val="none" w:sz="0" w:space="0" w:color="auto"/>
                                        <w:bottom w:val="none" w:sz="0" w:space="0" w:color="auto"/>
                                        <w:right w:val="none" w:sz="0" w:space="0" w:color="auto"/>
                                      </w:divBdr>
                                      <w:divsChild>
                                        <w:div w:id="665868034">
                                          <w:marLeft w:val="0"/>
                                          <w:marRight w:val="0"/>
                                          <w:marTop w:val="300"/>
                                          <w:marBottom w:val="0"/>
                                          <w:divBdr>
                                            <w:top w:val="none" w:sz="0" w:space="0" w:color="auto"/>
                                            <w:left w:val="none" w:sz="0" w:space="0" w:color="auto"/>
                                            <w:bottom w:val="none" w:sz="0" w:space="0" w:color="auto"/>
                                            <w:right w:val="none" w:sz="0" w:space="0" w:color="auto"/>
                                          </w:divBdr>
                                          <w:divsChild>
                                            <w:div w:id="322971632">
                                              <w:marLeft w:val="0"/>
                                              <w:marRight w:val="0"/>
                                              <w:marTop w:val="0"/>
                                              <w:marBottom w:val="0"/>
                                              <w:divBdr>
                                                <w:top w:val="none" w:sz="0" w:space="0" w:color="auto"/>
                                                <w:left w:val="none" w:sz="0" w:space="0" w:color="auto"/>
                                                <w:bottom w:val="none" w:sz="0" w:space="0" w:color="auto"/>
                                                <w:right w:val="none" w:sz="0" w:space="0" w:color="auto"/>
                                              </w:divBdr>
                                              <w:divsChild>
                                                <w:div w:id="787312922">
                                                  <w:marLeft w:val="0"/>
                                                  <w:marRight w:val="0"/>
                                                  <w:marTop w:val="0"/>
                                                  <w:marBottom w:val="0"/>
                                                  <w:divBdr>
                                                    <w:top w:val="none" w:sz="0" w:space="0" w:color="auto"/>
                                                    <w:left w:val="none" w:sz="0" w:space="0" w:color="auto"/>
                                                    <w:bottom w:val="none" w:sz="0" w:space="0" w:color="auto"/>
                                                    <w:right w:val="none" w:sz="0" w:space="0" w:color="auto"/>
                                                  </w:divBdr>
                                                  <w:divsChild>
                                                    <w:div w:id="2040819301">
                                                      <w:marLeft w:val="0"/>
                                                      <w:marRight w:val="0"/>
                                                      <w:marTop w:val="0"/>
                                                      <w:marBottom w:val="0"/>
                                                      <w:divBdr>
                                                        <w:top w:val="none" w:sz="0" w:space="0" w:color="auto"/>
                                                        <w:left w:val="none" w:sz="0" w:space="0" w:color="auto"/>
                                                        <w:bottom w:val="none" w:sz="0" w:space="0" w:color="auto"/>
                                                        <w:right w:val="none" w:sz="0" w:space="0" w:color="auto"/>
                                                      </w:divBdr>
                                                      <w:divsChild>
                                                        <w:div w:id="1133253229">
                                                          <w:marLeft w:val="0"/>
                                                          <w:marRight w:val="0"/>
                                                          <w:marTop w:val="0"/>
                                                          <w:marBottom w:val="0"/>
                                                          <w:divBdr>
                                                            <w:top w:val="none" w:sz="0" w:space="0" w:color="auto"/>
                                                            <w:left w:val="none" w:sz="0" w:space="0" w:color="auto"/>
                                                            <w:bottom w:val="none" w:sz="0" w:space="0" w:color="auto"/>
                                                            <w:right w:val="none" w:sz="0" w:space="0" w:color="auto"/>
                                                          </w:divBdr>
                                                          <w:divsChild>
                                                            <w:div w:id="116291303">
                                                              <w:marLeft w:val="0"/>
                                                              <w:marRight w:val="0"/>
                                                              <w:marTop w:val="0"/>
                                                              <w:marBottom w:val="0"/>
                                                              <w:divBdr>
                                                                <w:top w:val="none" w:sz="0" w:space="0" w:color="auto"/>
                                                                <w:left w:val="none" w:sz="0" w:space="0" w:color="auto"/>
                                                                <w:bottom w:val="none" w:sz="0" w:space="0" w:color="auto"/>
                                                                <w:right w:val="none" w:sz="0" w:space="0" w:color="auto"/>
                                                              </w:divBdr>
                                                            </w:div>
                                                            <w:div w:id="3484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902131">
      <w:bodyDiv w:val="1"/>
      <w:marLeft w:val="0"/>
      <w:marRight w:val="0"/>
      <w:marTop w:val="0"/>
      <w:marBottom w:val="0"/>
      <w:divBdr>
        <w:top w:val="none" w:sz="0" w:space="0" w:color="auto"/>
        <w:left w:val="none" w:sz="0" w:space="0" w:color="auto"/>
        <w:bottom w:val="none" w:sz="0" w:space="0" w:color="auto"/>
        <w:right w:val="none" w:sz="0" w:space="0" w:color="auto"/>
      </w:divBdr>
    </w:div>
    <w:div w:id="1889104877">
      <w:bodyDiv w:val="1"/>
      <w:marLeft w:val="0"/>
      <w:marRight w:val="0"/>
      <w:marTop w:val="0"/>
      <w:marBottom w:val="0"/>
      <w:divBdr>
        <w:top w:val="none" w:sz="0" w:space="0" w:color="auto"/>
        <w:left w:val="none" w:sz="0" w:space="0" w:color="auto"/>
        <w:bottom w:val="none" w:sz="0" w:space="0" w:color="auto"/>
        <w:right w:val="none" w:sz="0" w:space="0" w:color="auto"/>
      </w:divBdr>
      <w:divsChild>
        <w:div w:id="1413890426">
          <w:marLeft w:val="0"/>
          <w:marRight w:val="0"/>
          <w:marTop w:val="0"/>
          <w:marBottom w:val="0"/>
          <w:divBdr>
            <w:top w:val="none" w:sz="0" w:space="0" w:color="auto"/>
            <w:left w:val="none" w:sz="0" w:space="0" w:color="auto"/>
            <w:bottom w:val="none" w:sz="0" w:space="0" w:color="auto"/>
            <w:right w:val="none" w:sz="0" w:space="0" w:color="auto"/>
          </w:divBdr>
          <w:divsChild>
            <w:div w:id="677078832">
              <w:marLeft w:val="0"/>
              <w:marRight w:val="0"/>
              <w:marTop w:val="0"/>
              <w:marBottom w:val="0"/>
              <w:divBdr>
                <w:top w:val="none" w:sz="0" w:space="0" w:color="auto"/>
                <w:left w:val="none" w:sz="0" w:space="0" w:color="auto"/>
                <w:bottom w:val="none" w:sz="0" w:space="0" w:color="auto"/>
                <w:right w:val="none" w:sz="0" w:space="0" w:color="auto"/>
              </w:divBdr>
              <w:divsChild>
                <w:div w:id="154685086">
                  <w:marLeft w:val="0"/>
                  <w:marRight w:val="0"/>
                  <w:marTop w:val="0"/>
                  <w:marBottom w:val="0"/>
                  <w:divBdr>
                    <w:top w:val="none" w:sz="0" w:space="0" w:color="auto"/>
                    <w:left w:val="none" w:sz="0" w:space="0" w:color="auto"/>
                    <w:bottom w:val="none" w:sz="0" w:space="0" w:color="auto"/>
                    <w:right w:val="none" w:sz="0" w:space="0" w:color="auto"/>
                  </w:divBdr>
                  <w:divsChild>
                    <w:div w:id="692806990">
                      <w:marLeft w:val="0"/>
                      <w:marRight w:val="0"/>
                      <w:marTop w:val="0"/>
                      <w:marBottom w:val="0"/>
                      <w:divBdr>
                        <w:top w:val="none" w:sz="0" w:space="0" w:color="auto"/>
                        <w:left w:val="none" w:sz="0" w:space="0" w:color="auto"/>
                        <w:bottom w:val="none" w:sz="0" w:space="0" w:color="auto"/>
                        <w:right w:val="none" w:sz="0" w:space="0" w:color="auto"/>
                      </w:divBdr>
                      <w:divsChild>
                        <w:div w:id="1046029552">
                          <w:marLeft w:val="0"/>
                          <w:marRight w:val="0"/>
                          <w:marTop w:val="0"/>
                          <w:marBottom w:val="0"/>
                          <w:divBdr>
                            <w:top w:val="none" w:sz="0" w:space="0" w:color="auto"/>
                            <w:left w:val="none" w:sz="0" w:space="0" w:color="auto"/>
                            <w:bottom w:val="none" w:sz="0" w:space="0" w:color="auto"/>
                            <w:right w:val="none" w:sz="0" w:space="0" w:color="auto"/>
                          </w:divBdr>
                          <w:divsChild>
                            <w:div w:id="1640766074">
                              <w:marLeft w:val="0"/>
                              <w:marRight w:val="0"/>
                              <w:marTop w:val="0"/>
                              <w:marBottom w:val="0"/>
                              <w:divBdr>
                                <w:top w:val="none" w:sz="0" w:space="0" w:color="auto"/>
                                <w:left w:val="none" w:sz="0" w:space="0" w:color="auto"/>
                                <w:bottom w:val="none" w:sz="0" w:space="0" w:color="auto"/>
                                <w:right w:val="none" w:sz="0" w:space="0" w:color="auto"/>
                              </w:divBdr>
                              <w:divsChild>
                                <w:div w:id="1128549290">
                                  <w:marLeft w:val="3600"/>
                                  <w:marRight w:val="0"/>
                                  <w:marTop w:val="300"/>
                                  <w:marBottom w:val="0"/>
                                  <w:divBdr>
                                    <w:top w:val="none" w:sz="0" w:space="0" w:color="auto"/>
                                    <w:left w:val="none" w:sz="0" w:space="0" w:color="auto"/>
                                    <w:bottom w:val="none" w:sz="0" w:space="0" w:color="auto"/>
                                    <w:right w:val="none" w:sz="0" w:space="0" w:color="auto"/>
                                  </w:divBdr>
                                  <w:divsChild>
                                    <w:div w:id="212429449">
                                      <w:marLeft w:val="0"/>
                                      <w:marRight w:val="0"/>
                                      <w:marTop w:val="0"/>
                                      <w:marBottom w:val="0"/>
                                      <w:divBdr>
                                        <w:top w:val="none" w:sz="0" w:space="0" w:color="auto"/>
                                        <w:left w:val="none" w:sz="0" w:space="0" w:color="auto"/>
                                        <w:bottom w:val="none" w:sz="0" w:space="0" w:color="auto"/>
                                        <w:right w:val="none" w:sz="0" w:space="0" w:color="auto"/>
                                      </w:divBdr>
                                      <w:divsChild>
                                        <w:div w:id="1646007965">
                                          <w:marLeft w:val="0"/>
                                          <w:marRight w:val="0"/>
                                          <w:marTop w:val="300"/>
                                          <w:marBottom w:val="0"/>
                                          <w:divBdr>
                                            <w:top w:val="none" w:sz="0" w:space="0" w:color="auto"/>
                                            <w:left w:val="none" w:sz="0" w:space="0" w:color="auto"/>
                                            <w:bottom w:val="none" w:sz="0" w:space="0" w:color="auto"/>
                                            <w:right w:val="none" w:sz="0" w:space="0" w:color="auto"/>
                                          </w:divBdr>
                                          <w:divsChild>
                                            <w:div w:id="240915924">
                                              <w:marLeft w:val="0"/>
                                              <w:marRight w:val="0"/>
                                              <w:marTop w:val="0"/>
                                              <w:marBottom w:val="0"/>
                                              <w:divBdr>
                                                <w:top w:val="none" w:sz="0" w:space="0" w:color="auto"/>
                                                <w:left w:val="none" w:sz="0" w:space="0" w:color="auto"/>
                                                <w:bottom w:val="none" w:sz="0" w:space="0" w:color="auto"/>
                                                <w:right w:val="none" w:sz="0" w:space="0" w:color="auto"/>
                                              </w:divBdr>
                                              <w:divsChild>
                                                <w:div w:id="1067069537">
                                                  <w:marLeft w:val="0"/>
                                                  <w:marRight w:val="0"/>
                                                  <w:marTop w:val="0"/>
                                                  <w:marBottom w:val="0"/>
                                                  <w:divBdr>
                                                    <w:top w:val="none" w:sz="0" w:space="0" w:color="auto"/>
                                                    <w:left w:val="none" w:sz="0" w:space="0" w:color="auto"/>
                                                    <w:bottom w:val="none" w:sz="0" w:space="0" w:color="auto"/>
                                                    <w:right w:val="none" w:sz="0" w:space="0" w:color="auto"/>
                                                  </w:divBdr>
                                                  <w:divsChild>
                                                    <w:div w:id="70007342">
                                                      <w:marLeft w:val="0"/>
                                                      <w:marRight w:val="0"/>
                                                      <w:marTop w:val="0"/>
                                                      <w:marBottom w:val="0"/>
                                                      <w:divBdr>
                                                        <w:top w:val="none" w:sz="0" w:space="0" w:color="auto"/>
                                                        <w:left w:val="none" w:sz="0" w:space="0" w:color="auto"/>
                                                        <w:bottom w:val="none" w:sz="0" w:space="0" w:color="auto"/>
                                                        <w:right w:val="none" w:sz="0" w:space="0" w:color="auto"/>
                                                      </w:divBdr>
                                                      <w:divsChild>
                                                        <w:div w:id="1160848280">
                                                          <w:marLeft w:val="0"/>
                                                          <w:marRight w:val="0"/>
                                                          <w:marTop w:val="0"/>
                                                          <w:marBottom w:val="0"/>
                                                          <w:divBdr>
                                                            <w:top w:val="none" w:sz="0" w:space="0" w:color="auto"/>
                                                            <w:left w:val="none" w:sz="0" w:space="0" w:color="auto"/>
                                                            <w:bottom w:val="none" w:sz="0" w:space="0" w:color="auto"/>
                                                            <w:right w:val="none" w:sz="0" w:space="0" w:color="auto"/>
                                                          </w:divBdr>
                                                          <w:divsChild>
                                                            <w:div w:id="1471553298">
                                                              <w:marLeft w:val="0"/>
                                                              <w:marRight w:val="0"/>
                                                              <w:marTop w:val="0"/>
                                                              <w:marBottom w:val="0"/>
                                                              <w:divBdr>
                                                                <w:top w:val="none" w:sz="0" w:space="0" w:color="auto"/>
                                                                <w:left w:val="none" w:sz="0" w:space="0" w:color="auto"/>
                                                                <w:bottom w:val="none" w:sz="0" w:space="0" w:color="auto"/>
                                                                <w:right w:val="none" w:sz="0" w:space="0" w:color="auto"/>
                                                              </w:divBdr>
                                                            </w:div>
                                                            <w:div w:id="20202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16640D908FD84D8D8401C290AAAFA3" ma:contentTypeVersion="8" ma:contentTypeDescription="Opret et nyt dokument." ma:contentTypeScope="" ma:versionID="79414352577eb9ae2a02d77bf92364f6">
  <xsd:schema xmlns:xsd="http://www.w3.org/2001/XMLSchema" xmlns:xs="http://www.w3.org/2001/XMLSchema" xmlns:p="http://schemas.microsoft.com/office/2006/metadata/properties" targetNamespace="http://schemas.microsoft.com/office/2006/metadata/properties" ma:root="true" ma:fieldsID="55d5d3da3f414cff75a73e895ad05c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2340-3AF3-48F0-B136-7C846C17F888}">
  <ds:schemaRefs>
    <ds:schemaRef ds:uri="http://schemas.microsoft.com/sharepoint/v3/contenttype/forms"/>
  </ds:schemaRefs>
</ds:datastoreItem>
</file>

<file path=customXml/itemProps2.xml><?xml version="1.0" encoding="utf-8"?>
<ds:datastoreItem xmlns:ds="http://schemas.openxmlformats.org/officeDocument/2006/customXml" ds:itemID="{D24B3750-01B3-4CCF-BD0B-3EF07E8EB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6D831C-8396-4A58-8B3B-989153CD9543}">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6DF89D6-9344-4B28-AA7F-50FCEADC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1159</Words>
  <Characters>7071</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Dradt Grid ECA reporting</vt:lpstr>
      <vt:lpstr>Dradt Grid ECA reporting</vt:lpstr>
      <vt:lpstr>Dradt Grid ECA reporting</vt:lpstr>
    </vt:vector>
  </TitlesOfParts>
  <Company>European Parliament</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Dradt Grid ECA reporting</dc:title>
  <dc:creator>mkoehler</dc:creator>
  <cp:lastModifiedBy>Dan Cleff</cp:lastModifiedBy>
  <cp:revision>5</cp:revision>
  <cp:lastPrinted>2012-05-01T10:06:00Z</cp:lastPrinted>
  <dcterms:created xsi:type="dcterms:W3CDTF">2012-07-16T09:25:00Z</dcterms:created>
  <dcterms:modified xsi:type="dcterms:W3CDTF">2012-07-18T11:14:00Z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0x0101003116640D908FD84D8D8401C290AAAFA3</vt:lpwstr>
  </property>
</Properties>
</file>