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5F2C" w14:textId="77777777" w:rsidR="00B666EE" w:rsidRPr="00256168" w:rsidRDefault="001741B3" w:rsidP="00887689">
      <w:pPr>
        <w:rPr>
          <w:rFonts w:asciiTheme="majorHAnsi" w:hAnsiTheme="majorHAnsi" w:cs="Tahoma"/>
        </w:rPr>
      </w:pPr>
      <w:r w:rsidRPr="00256168">
        <w:rPr>
          <w:rFonts w:asciiTheme="majorHAnsi" w:hAnsiTheme="maj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A6C59" wp14:editId="21AB7876">
                <wp:simplePos x="0" y="0"/>
                <wp:positionH relativeFrom="column">
                  <wp:posOffset>-679450</wp:posOffset>
                </wp:positionH>
                <wp:positionV relativeFrom="paragraph">
                  <wp:posOffset>157480</wp:posOffset>
                </wp:positionV>
                <wp:extent cx="5180965" cy="523875"/>
                <wp:effectExtent l="0" t="0" r="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096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6734" w14:textId="77777777" w:rsidR="00927D75" w:rsidRPr="000A4C4A" w:rsidRDefault="00927D75" w:rsidP="000A4C4A">
                            <w:pPr>
                              <w:rPr>
                                <w:rFonts w:ascii="Tahoma" w:hAnsi="Tahoma"/>
                                <w:b/>
                                <w:color w:val="2692A5"/>
                                <w:sz w:val="36"/>
                                <w:lang w:val="en-GB"/>
                              </w:rPr>
                            </w:pPr>
                            <w:r w:rsidRPr="000A4C4A">
                              <w:rPr>
                                <w:rFonts w:ascii="Tahoma" w:hAnsi="Tahoma"/>
                                <w:b/>
                                <w:color w:val="2692A5"/>
                                <w:sz w:val="36"/>
                                <w:lang w:val="en-GB"/>
                              </w:rPr>
                              <w:t>PRESIDENCY FLASH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CA6C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5pt;margin-top:12.4pt;width:407.9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" filled="f" stroked="f">
                <v:path arrowok="t"/>
                <v:textbox>
                  <w:txbxContent>
                    <w:p w14:paraId="666C6734" w14:textId="77777777" w:rsidR="00927D75" w:rsidRPr="000A4C4A" w:rsidRDefault="00927D75" w:rsidP="000A4C4A">
                      <w:pPr>
                        <w:rPr>
                          <w:rFonts w:ascii="Tahoma" w:hAnsi="Tahoma"/>
                          <w:b/>
                          <w:color w:val="2692A5"/>
                          <w:sz w:val="36"/>
                          <w:lang w:val="en-GB"/>
                        </w:rPr>
                      </w:pPr>
                      <w:r w:rsidRPr="000A4C4A">
                        <w:rPr>
                          <w:rFonts w:ascii="Tahoma" w:hAnsi="Tahoma"/>
                          <w:b/>
                          <w:color w:val="2692A5"/>
                          <w:sz w:val="36"/>
                          <w:lang w:val="en-GB"/>
                        </w:rPr>
                        <w:t>PRESIDENCY FLASH NOTE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7F8B9" w14:textId="77777777" w:rsidR="00B666EE" w:rsidRPr="00256168" w:rsidRDefault="00B666EE" w:rsidP="00887689">
      <w:pPr>
        <w:rPr>
          <w:rFonts w:asciiTheme="majorHAnsi" w:hAnsiTheme="majorHAnsi" w:cs="Tahoma"/>
        </w:rPr>
      </w:pPr>
    </w:p>
    <w:p w14:paraId="6B5D8D99" w14:textId="77777777" w:rsidR="00B666EE" w:rsidRPr="00256168" w:rsidRDefault="00B666EE" w:rsidP="00887689">
      <w:pPr>
        <w:rPr>
          <w:rFonts w:asciiTheme="majorHAnsi" w:hAnsiTheme="majorHAnsi" w:cs="Tahoma"/>
        </w:rPr>
      </w:pPr>
    </w:p>
    <w:p w14:paraId="7F0E0FDA" w14:textId="77777777" w:rsidR="00B666EE" w:rsidRPr="00256168" w:rsidRDefault="00B666EE" w:rsidP="00887689">
      <w:pPr>
        <w:rPr>
          <w:rFonts w:asciiTheme="majorHAnsi" w:hAnsiTheme="majorHAnsi" w:cs="Tahoma"/>
        </w:rPr>
      </w:pPr>
    </w:p>
    <w:p w14:paraId="59832657" w14:textId="2BA4EDDB" w:rsidR="001C7C58" w:rsidRPr="00256168" w:rsidRDefault="001C7C58" w:rsidP="008F3155">
      <w:pPr>
        <w:spacing w:after="240" w:line="276" w:lineRule="auto"/>
        <w:ind w:left="-851"/>
        <w:rPr>
          <w:rFonts w:asciiTheme="majorHAnsi" w:hAnsiTheme="majorHAnsi" w:cs="Tahoma"/>
          <w:sz w:val="22"/>
          <w:lang w:val="en-GB"/>
        </w:rPr>
      </w:pPr>
      <w:r w:rsidRPr="00256168">
        <w:rPr>
          <w:rFonts w:asciiTheme="majorHAnsi" w:hAnsiTheme="majorHAnsi" w:cs="Tahoma"/>
          <w:sz w:val="22"/>
          <w:lang w:val="en-GB"/>
        </w:rPr>
        <w:t>O</w:t>
      </w:r>
      <w:r w:rsidR="005D60B6" w:rsidRPr="00256168">
        <w:rPr>
          <w:rFonts w:asciiTheme="majorHAnsi" w:hAnsiTheme="majorHAnsi" w:cs="Tahoma"/>
          <w:sz w:val="22"/>
          <w:lang w:val="en-GB"/>
        </w:rPr>
        <w:t xml:space="preserve">n 30 May 2017, </w:t>
      </w:r>
      <w:r w:rsidR="007F5E40" w:rsidRPr="00256168">
        <w:rPr>
          <w:rFonts w:asciiTheme="majorHAnsi" w:hAnsiTheme="majorHAnsi" w:cs="Tahoma"/>
          <w:sz w:val="22"/>
          <w:lang w:val="en-GB"/>
        </w:rPr>
        <w:t xml:space="preserve">an agreement was reached between the Council and the European Parliament on </w:t>
      </w:r>
      <w:r w:rsidR="005D60B6" w:rsidRPr="00256168">
        <w:rPr>
          <w:rFonts w:asciiTheme="majorHAnsi" w:hAnsiTheme="majorHAnsi" w:cs="Tahoma"/>
          <w:sz w:val="22"/>
          <w:lang w:val="en-GB"/>
        </w:rPr>
        <w:t>the Regulation on simple, transparent and standardised securitisation (STS) and the Regulation amending the Capital Requirements Regulation (CRR).</w:t>
      </w:r>
      <w:r w:rsidR="00AB2566" w:rsidRPr="00256168">
        <w:rPr>
          <w:rFonts w:asciiTheme="majorHAnsi" w:hAnsiTheme="majorHAnsi"/>
        </w:rPr>
        <w:t xml:space="preserve"> </w:t>
      </w:r>
      <w:r w:rsidR="007F5E40" w:rsidRPr="00256168">
        <w:rPr>
          <w:rFonts w:asciiTheme="majorHAnsi" w:hAnsiTheme="majorHAnsi"/>
        </w:rPr>
        <w:t xml:space="preserve"> </w:t>
      </w:r>
      <w:r w:rsidR="008F3155">
        <w:rPr>
          <w:rFonts w:asciiTheme="majorHAnsi" w:hAnsiTheme="majorHAnsi"/>
        </w:rPr>
        <w:t>Please find below an o</w:t>
      </w:r>
      <w:proofErr w:type="spellStart"/>
      <w:r w:rsidR="00AB2566" w:rsidRPr="00256168">
        <w:rPr>
          <w:rFonts w:asciiTheme="majorHAnsi" w:hAnsiTheme="majorHAnsi" w:cs="Tahoma"/>
          <w:sz w:val="22"/>
          <w:lang w:val="en-GB"/>
        </w:rPr>
        <w:t>verview</w:t>
      </w:r>
      <w:proofErr w:type="spellEnd"/>
      <w:r w:rsidR="00AB2566" w:rsidRPr="00256168">
        <w:rPr>
          <w:rFonts w:asciiTheme="majorHAnsi" w:hAnsiTheme="majorHAnsi" w:cs="Tahoma"/>
          <w:sz w:val="22"/>
          <w:lang w:val="en-GB"/>
        </w:rPr>
        <w:t xml:space="preserve"> of the compromises on the key issues</w:t>
      </w:r>
      <w:r w:rsidR="008F3155">
        <w:rPr>
          <w:rFonts w:asciiTheme="majorHAnsi" w:hAnsiTheme="majorHAnsi" w:cs="Tahoma"/>
          <w:sz w:val="22"/>
          <w:lang w:val="en-GB"/>
        </w:rPr>
        <w:t xml:space="preserve">. </w:t>
      </w:r>
      <w:r w:rsidR="008F3155" w:rsidRPr="00D54AFD">
        <w:rPr>
          <w:rFonts w:asciiTheme="majorHAnsi" w:hAnsiTheme="majorHAnsi" w:cs="Tahoma"/>
          <w:sz w:val="22"/>
          <w:u w:val="single"/>
          <w:lang w:val="en-GB"/>
        </w:rPr>
        <w:t>Please note that</w:t>
      </w:r>
      <w:r w:rsidR="00AB2566" w:rsidRPr="00D54AFD">
        <w:rPr>
          <w:rFonts w:asciiTheme="majorHAnsi" w:hAnsiTheme="majorHAnsi" w:cs="Tahoma"/>
          <w:sz w:val="22"/>
          <w:u w:val="single"/>
          <w:lang w:val="en-GB"/>
        </w:rPr>
        <w:t xml:space="preserve"> each of </w:t>
      </w:r>
      <w:r w:rsidR="008F3155" w:rsidRPr="00D54AFD">
        <w:rPr>
          <w:rFonts w:asciiTheme="majorHAnsi" w:hAnsiTheme="majorHAnsi" w:cs="Tahoma"/>
          <w:sz w:val="22"/>
          <w:u w:val="single"/>
          <w:lang w:val="en-GB"/>
        </w:rPr>
        <w:t>the issues</w:t>
      </w:r>
      <w:r w:rsidR="00AB2566" w:rsidRPr="00D54AFD">
        <w:rPr>
          <w:rFonts w:asciiTheme="majorHAnsi" w:hAnsiTheme="majorHAnsi" w:cs="Tahoma"/>
          <w:sz w:val="22"/>
          <w:u w:val="single"/>
          <w:lang w:val="en-GB"/>
        </w:rPr>
        <w:t xml:space="preserve"> remains subject to technical </w:t>
      </w:r>
      <w:r w:rsidR="008F3155" w:rsidRPr="00D54AFD">
        <w:rPr>
          <w:rFonts w:asciiTheme="majorHAnsi" w:hAnsiTheme="majorHAnsi" w:cs="Tahoma"/>
          <w:sz w:val="22"/>
          <w:u w:val="single"/>
          <w:lang w:val="en-GB"/>
        </w:rPr>
        <w:t>finalisation, and small changes to the compromise proposals</w:t>
      </w:r>
      <w:r w:rsidR="008F3155">
        <w:rPr>
          <w:rFonts w:asciiTheme="majorHAnsi" w:hAnsiTheme="majorHAnsi" w:cs="Tahoma"/>
          <w:sz w:val="22"/>
          <w:u w:val="single"/>
          <w:lang w:val="en-GB"/>
        </w:rPr>
        <w:t xml:space="preserve"> are still to be expected</w:t>
      </w:r>
      <w:r w:rsidR="00AB2566" w:rsidRPr="00256168">
        <w:rPr>
          <w:rFonts w:asciiTheme="majorHAnsi" w:hAnsiTheme="majorHAnsi" w:cs="Tahoma"/>
          <w:sz w:val="22"/>
          <w:lang w:val="en-GB"/>
        </w:rPr>
        <w:t xml:space="preserve">. Detailed drafting on each point will follow </w:t>
      </w:r>
      <w:r w:rsidR="008F3155">
        <w:rPr>
          <w:rFonts w:asciiTheme="majorHAnsi" w:hAnsiTheme="majorHAnsi" w:cs="Tahoma"/>
          <w:sz w:val="22"/>
          <w:lang w:val="en-GB"/>
        </w:rPr>
        <w:t>in</w:t>
      </w:r>
      <w:r w:rsidR="00AB2566" w:rsidRPr="00256168">
        <w:rPr>
          <w:rFonts w:asciiTheme="majorHAnsi" w:hAnsiTheme="majorHAnsi" w:cs="Tahoma"/>
          <w:sz w:val="22"/>
          <w:lang w:val="en-GB"/>
        </w:rPr>
        <w:t xml:space="preserve"> the 4 column tables</w:t>
      </w:r>
      <w:r w:rsidR="008F3155">
        <w:rPr>
          <w:rFonts w:asciiTheme="majorHAnsi" w:hAnsiTheme="majorHAnsi" w:cs="Tahoma"/>
          <w:sz w:val="22"/>
          <w:lang w:val="en-GB"/>
        </w:rPr>
        <w:t xml:space="preserve"> once they have been completed</w:t>
      </w:r>
      <w:r w:rsidR="00AB2566" w:rsidRPr="00256168">
        <w:rPr>
          <w:rFonts w:asciiTheme="majorHAnsi" w:hAnsiTheme="majorHAnsi" w:cs="Tahoma"/>
          <w:sz w:val="22"/>
          <w:lang w:val="en-GB"/>
        </w:rPr>
        <w:t>.</w:t>
      </w:r>
    </w:p>
    <w:p w14:paraId="1762B319" w14:textId="77777777" w:rsidR="001C7C58" w:rsidRPr="00256168" w:rsidRDefault="00927D75" w:rsidP="00887689">
      <w:pPr>
        <w:ind w:left="-851"/>
        <w:rPr>
          <w:rFonts w:asciiTheme="majorHAnsi" w:hAnsiTheme="majorHAnsi" w:cs="Tahoma"/>
          <w:b/>
          <w:bCs/>
          <w:sz w:val="22"/>
          <w:lang w:val="en-GB"/>
        </w:rPr>
      </w:pPr>
      <w:r w:rsidRPr="00256168">
        <w:rPr>
          <w:rFonts w:asciiTheme="majorHAnsi" w:hAnsiTheme="majorHAnsi" w:cs="Tahoma"/>
          <w:b/>
          <w:bCs/>
          <w:sz w:val="22"/>
          <w:lang w:val="en-GB"/>
        </w:rPr>
        <w:t>STS specific issues</w:t>
      </w:r>
    </w:p>
    <w:p w14:paraId="407D713E" w14:textId="77777777" w:rsidR="001C7C58" w:rsidRPr="00256168" w:rsidRDefault="001C7C58" w:rsidP="00887689">
      <w:pPr>
        <w:ind w:left="-851"/>
        <w:rPr>
          <w:rFonts w:asciiTheme="majorHAnsi" w:hAnsiTheme="majorHAnsi" w:cs="Tahoma"/>
          <w:b/>
          <w:bCs/>
          <w:sz w:val="22"/>
          <w:lang w:val="en-GB"/>
        </w:rPr>
      </w:pPr>
    </w:p>
    <w:p w14:paraId="276E22FA" w14:textId="77777777" w:rsidR="007F5E40" w:rsidRPr="00256168" w:rsidRDefault="00927D75" w:rsidP="00887689">
      <w:pPr>
        <w:pStyle w:val="ListParagraph"/>
        <w:numPr>
          <w:ilvl w:val="0"/>
          <w:numId w:val="12"/>
        </w:numPr>
        <w:spacing w:after="240"/>
        <w:ind w:left="-426" w:hanging="425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eastAsia="Calibri" w:hAnsiTheme="majorHAnsi" w:cs="Times New Roman"/>
          <w:sz w:val="22"/>
          <w:szCs w:val="22"/>
          <w:u w:val="single"/>
        </w:rPr>
        <w:t>Parties to the securitisation market</w:t>
      </w:r>
      <w:r w:rsidRPr="00256168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7F5E40" w:rsidRPr="00256168">
        <w:rPr>
          <w:rFonts w:asciiTheme="majorHAnsi" w:hAnsiTheme="majorHAnsi"/>
          <w:noProof/>
          <w:sz w:val="22"/>
          <w:szCs w:val="22"/>
        </w:rPr>
        <w:t>(STS Article 2a;</w:t>
      </w:r>
      <w:r w:rsidRPr="00256168">
        <w:rPr>
          <w:rFonts w:asciiTheme="majorHAnsi" w:hAnsiTheme="majorHAnsi"/>
          <w:noProof/>
          <w:sz w:val="22"/>
          <w:szCs w:val="22"/>
        </w:rPr>
        <w:t xml:space="preserve"> </w:t>
      </w:r>
      <w:r w:rsidR="007F5E40" w:rsidRPr="00256168">
        <w:rPr>
          <w:rFonts w:asciiTheme="majorHAnsi" w:hAnsiTheme="majorHAnsi"/>
          <w:noProof/>
          <w:sz w:val="22"/>
          <w:szCs w:val="22"/>
        </w:rPr>
        <w:t>lines 88-95)</w:t>
      </w:r>
      <w:r w:rsidR="007F5E40" w:rsidRPr="00256168">
        <w:rPr>
          <w:rFonts w:asciiTheme="majorHAnsi" w:hAnsiTheme="majorHAnsi" w:cs="Tahoma"/>
          <w:b/>
          <w:bCs/>
          <w:sz w:val="22"/>
          <w:szCs w:val="22"/>
          <w:lang w:val="en-GB"/>
        </w:rPr>
        <w:t xml:space="preserve">: </w:t>
      </w:r>
      <w:r w:rsidR="00AB2566" w:rsidRPr="00256168">
        <w:rPr>
          <w:rFonts w:asciiTheme="majorHAnsi" w:hAnsiTheme="majorHAnsi"/>
          <w:sz w:val="22"/>
          <w:szCs w:val="22"/>
        </w:rPr>
        <w:t>Agreement on latest Commission non-paper proposal</w:t>
      </w:r>
      <w:r w:rsidR="007F5E40" w:rsidRPr="00256168">
        <w:rPr>
          <w:rFonts w:asciiTheme="majorHAnsi" w:hAnsiTheme="majorHAnsi"/>
          <w:sz w:val="22"/>
          <w:szCs w:val="22"/>
        </w:rPr>
        <w:t xml:space="preserve"> on eligible parties to securitisation</w:t>
      </w:r>
    </w:p>
    <w:p w14:paraId="4740A74A" w14:textId="77777777" w:rsidR="008D2327" w:rsidRPr="00256168" w:rsidRDefault="008D2327" w:rsidP="00887689">
      <w:pPr>
        <w:pStyle w:val="ListParagraph"/>
        <w:spacing w:before="240" w:line="120" w:lineRule="auto"/>
        <w:ind w:left="-425"/>
        <w:rPr>
          <w:rFonts w:asciiTheme="majorHAnsi" w:hAnsiTheme="majorHAnsi"/>
          <w:sz w:val="22"/>
          <w:szCs w:val="22"/>
        </w:rPr>
      </w:pPr>
    </w:p>
    <w:p w14:paraId="165E8CE4" w14:textId="45B8C86C" w:rsidR="008B2E6C" w:rsidRPr="00256168" w:rsidRDefault="00AB2566" w:rsidP="00887689">
      <w:pPr>
        <w:pStyle w:val="ListParagraph"/>
        <w:numPr>
          <w:ilvl w:val="0"/>
          <w:numId w:val="12"/>
        </w:numPr>
        <w:spacing w:before="240"/>
        <w:ind w:left="-426" w:hanging="425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>Risk Retention</w:t>
      </w:r>
      <w:r w:rsidRPr="00256168">
        <w:rPr>
          <w:rFonts w:asciiTheme="majorHAnsi" w:hAnsiTheme="majorHAnsi"/>
          <w:sz w:val="22"/>
          <w:szCs w:val="22"/>
        </w:rPr>
        <w:t xml:space="preserve"> (Article 4; Lines 134-139, 141, 146, 148-150, 155-160)</w:t>
      </w:r>
      <w:r w:rsidR="00E120A5" w:rsidRPr="00256168">
        <w:rPr>
          <w:rFonts w:asciiTheme="majorHAnsi" w:hAnsiTheme="majorHAnsi"/>
          <w:sz w:val="22"/>
          <w:szCs w:val="22"/>
        </w:rPr>
        <w:t xml:space="preserve"> and </w:t>
      </w:r>
      <w:r w:rsidR="00E120A5" w:rsidRPr="00D54AFD">
        <w:rPr>
          <w:rFonts w:asciiTheme="majorHAnsi" w:hAnsiTheme="majorHAnsi"/>
          <w:sz w:val="22"/>
          <w:szCs w:val="22"/>
          <w:u w:val="single"/>
        </w:rPr>
        <w:t>Macro-Prudential Oversight</w:t>
      </w:r>
      <w:r w:rsidR="00E120A5" w:rsidRPr="00D54AFD">
        <w:rPr>
          <w:rFonts w:asciiTheme="majorHAnsi" w:hAnsiTheme="majorHAnsi"/>
          <w:sz w:val="22"/>
          <w:szCs w:val="22"/>
        </w:rPr>
        <w:t xml:space="preserve"> (Article 16a; Lines 575 – 585</w:t>
      </w:r>
      <w:r w:rsidR="00E120A5" w:rsidRPr="008F3155">
        <w:rPr>
          <w:rFonts w:asciiTheme="majorHAnsi" w:hAnsiTheme="majorHAnsi"/>
          <w:sz w:val="22"/>
          <w:szCs w:val="22"/>
        </w:rPr>
        <w:t>)</w:t>
      </w:r>
      <w:r w:rsidR="00E120A5" w:rsidRPr="00256168">
        <w:rPr>
          <w:rFonts w:asciiTheme="majorHAnsi" w:hAnsiTheme="majorHAnsi"/>
          <w:sz w:val="22"/>
          <w:szCs w:val="22"/>
        </w:rPr>
        <w:t>: General a</w:t>
      </w:r>
      <w:r w:rsidR="008B2E6C" w:rsidRPr="00256168">
        <w:rPr>
          <w:rFonts w:asciiTheme="majorHAnsi" w:hAnsiTheme="majorHAnsi"/>
          <w:sz w:val="22"/>
          <w:szCs w:val="22"/>
        </w:rPr>
        <w:t xml:space="preserve">greement </w:t>
      </w:r>
      <w:r w:rsidR="00E120A5" w:rsidRPr="00256168">
        <w:rPr>
          <w:rFonts w:asciiTheme="majorHAnsi" w:hAnsiTheme="majorHAnsi"/>
          <w:sz w:val="22"/>
          <w:szCs w:val="22"/>
        </w:rPr>
        <w:t xml:space="preserve">in line with the </w:t>
      </w:r>
      <w:r w:rsidR="008B2E6C" w:rsidRPr="00256168">
        <w:rPr>
          <w:rFonts w:asciiTheme="majorHAnsi" w:hAnsiTheme="majorHAnsi"/>
          <w:sz w:val="22"/>
          <w:szCs w:val="22"/>
        </w:rPr>
        <w:t>latest Commission non-paper proposal on risk retention;</w:t>
      </w:r>
    </w:p>
    <w:p w14:paraId="444FB37C" w14:textId="5CEDBF4F" w:rsidR="00E120A5" w:rsidRPr="00256168" w:rsidRDefault="008B2E6C" w:rsidP="00887689">
      <w:pPr>
        <w:pStyle w:val="ListParagraph"/>
        <w:numPr>
          <w:ilvl w:val="1"/>
          <w:numId w:val="12"/>
        </w:numPr>
        <w:spacing w:before="240" w:after="240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</w:rPr>
        <w:t>Ri</w:t>
      </w:r>
      <w:r w:rsidR="00AB2566" w:rsidRPr="00256168">
        <w:rPr>
          <w:rFonts w:asciiTheme="majorHAnsi" w:hAnsiTheme="majorHAnsi"/>
          <w:sz w:val="22"/>
          <w:szCs w:val="22"/>
        </w:rPr>
        <w:t xml:space="preserve">sk retention level </w:t>
      </w:r>
      <w:r w:rsidRPr="00256168">
        <w:rPr>
          <w:rFonts w:asciiTheme="majorHAnsi" w:hAnsiTheme="majorHAnsi"/>
          <w:sz w:val="22"/>
          <w:szCs w:val="22"/>
        </w:rPr>
        <w:t xml:space="preserve">to </w:t>
      </w:r>
      <w:r w:rsidR="00E120A5" w:rsidRPr="00256168">
        <w:rPr>
          <w:rFonts w:asciiTheme="majorHAnsi" w:hAnsiTheme="majorHAnsi"/>
          <w:sz w:val="22"/>
          <w:szCs w:val="22"/>
        </w:rPr>
        <w:t xml:space="preserve">be </w:t>
      </w:r>
      <w:r w:rsidR="00AB2566" w:rsidRPr="00256168">
        <w:rPr>
          <w:rFonts w:asciiTheme="majorHAnsi" w:hAnsiTheme="majorHAnsi"/>
          <w:sz w:val="22"/>
          <w:szCs w:val="22"/>
        </w:rPr>
        <w:t>retained at current level of 5%</w:t>
      </w:r>
      <w:r w:rsidR="00E120A5" w:rsidRPr="00256168">
        <w:rPr>
          <w:rFonts w:asciiTheme="majorHAnsi" w:hAnsiTheme="majorHAnsi"/>
          <w:sz w:val="22"/>
          <w:szCs w:val="22"/>
        </w:rPr>
        <w:t xml:space="preserve"> only</w:t>
      </w:r>
      <w:r w:rsidRPr="00256168">
        <w:rPr>
          <w:rFonts w:asciiTheme="majorHAnsi" w:hAnsiTheme="majorHAnsi"/>
          <w:sz w:val="22"/>
          <w:szCs w:val="22"/>
        </w:rPr>
        <w:t xml:space="preserve"> and thus delet</w:t>
      </w:r>
      <w:r w:rsidR="00E120A5" w:rsidRPr="00256168">
        <w:rPr>
          <w:rFonts w:asciiTheme="majorHAnsi" w:hAnsiTheme="majorHAnsi"/>
          <w:sz w:val="22"/>
          <w:szCs w:val="22"/>
        </w:rPr>
        <w:t>ion of the text in square brackets in the Commission non-paper</w:t>
      </w:r>
      <w:r w:rsidR="00AB2566" w:rsidRPr="00256168">
        <w:rPr>
          <w:rFonts w:asciiTheme="majorHAnsi" w:hAnsiTheme="majorHAnsi"/>
          <w:sz w:val="22"/>
          <w:szCs w:val="22"/>
        </w:rPr>
        <w:t>;</w:t>
      </w:r>
    </w:p>
    <w:p w14:paraId="40A57FC7" w14:textId="77777777" w:rsidR="00E120A5" w:rsidRDefault="00AB2566" w:rsidP="00887689">
      <w:pPr>
        <w:pStyle w:val="ListParagraph"/>
        <w:numPr>
          <w:ilvl w:val="1"/>
          <w:numId w:val="12"/>
        </w:numPr>
        <w:spacing w:before="240" w:after="240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</w:rPr>
        <w:t>‘Cherry Picking’ and sanctions –agreement based on Commission non-paper proposal, including retention of the term ‘comparable’ and restriction of application sanctions to intentional acts of the originator;</w:t>
      </w:r>
    </w:p>
    <w:p w14:paraId="428E06AD" w14:textId="1DB361AC" w:rsidR="00A166CA" w:rsidRPr="00256168" w:rsidRDefault="00A166CA" w:rsidP="00887689">
      <w:pPr>
        <w:pStyle w:val="ListParagraph"/>
        <w:numPr>
          <w:ilvl w:val="1"/>
          <w:numId w:val="12"/>
        </w:numPr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Article 16a: </w:t>
      </w:r>
      <w:r w:rsidRPr="00256168">
        <w:rPr>
          <w:rFonts w:asciiTheme="majorHAnsi" w:hAnsiTheme="majorHAnsi"/>
          <w:sz w:val="22"/>
          <w:szCs w:val="22"/>
        </w:rPr>
        <w:t>General agreement in line with the latest Commission non-paper proposal</w:t>
      </w:r>
      <w:r>
        <w:rPr>
          <w:rFonts w:asciiTheme="majorHAnsi" w:hAnsiTheme="majorHAnsi"/>
          <w:sz w:val="22"/>
          <w:szCs w:val="22"/>
        </w:rPr>
        <w:t xml:space="preserve">, with regular reporting by the ESRB ‘where necessary and at least every 3 years’;  </w:t>
      </w:r>
    </w:p>
    <w:p w14:paraId="2823C611" w14:textId="77777777" w:rsidR="008D2327" w:rsidRPr="00256168" w:rsidRDefault="008D2327" w:rsidP="00887689">
      <w:pPr>
        <w:pStyle w:val="ListParagraph"/>
        <w:spacing w:before="240" w:line="120" w:lineRule="auto"/>
        <w:ind w:left="-425"/>
        <w:rPr>
          <w:rFonts w:asciiTheme="majorHAnsi" w:hAnsiTheme="majorHAnsi"/>
          <w:sz w:val="22"/>
          <w:szCs w:val="22"/>
        </w:rPr>
      </w:pPr>
    </w:p>
    <w:p w14:paraId="7F724CAB" w14:textId="27D11F01" w:rsidR="00AB2566" w:rsidRPr="00256168" w:rsidRDefault="00AB2566" w:rsidP="00887689">
      <w:pPr>
        <w:pStyle w:val="ListParagraph"/>
        <w:numPr>
          <w:ilvl w:val="0"/>
          <w:numId w:val="12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>Supervision</w:t>
      </w:r>
      <w:r w:rsidRPr="00256168">
        <w:rPr>
          <w:rFonts w:asciiTheme="majorHAnsi" w:hAnsiTheme="majorHAnsi"/>
          <w:sz w:val="22"/>
          <w:szCs w:val="22"/>
        </w:rPr>
        <w:t xml:space="preserve"> (Articles 15 and 16; Lines 556-558, 563-564, 566-571)</w:t>
      </w:r>
      <w:r w:rsidR="008D2327" w:rsidRPr="00256168">
        <w:rPr>
          <w:rFonts w:asciiTheme="majorHAnsi" w:hAnsiTheme="majorHAnsi"/>
          <w:sz w:val="22"/>
          <w:szCs w:val="22"/>
        </w:rPr>
        <w:t>: Agreement on latest Commission non-paper proposal on supervision</w:t>
      </w:r>
    </w:p>
    <w:p w14:paraId="5AA6EEBA" w14:textId="77777777" w:rsidR="008D2327" w:rsidRPr="00256168" w:rsidRDefault="008D2327" w:rsidP="00887689">
      <w:pPr>
        <w:pStyle w:val="ListParagraph"/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</w:p>
    <w:p w14:paraId="022A3B24" w14:textId="77777777" w:rsidR="00A166CA" w:rsidRDefault="00AB2566" w:rsidP="00887689">
      <w:pPr>
        <w:pStyle w:val="ListParagraph"/>
        <w:numPr>
          <w:ilvl w:val="0"/>
          <w:numId w:val="12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>Cooperation between competent authorities and the ESAs</w:t>
      </w:r>
      <w:r w:rsidRPr="00256168">
        <w:rPr>
          <w:rFonts w:asciiTheme="majorHAnsi" w:hAnsiTheme="majorHAnsi"/>
          <w:sz w:val="22"/>
          <w:szCs w:val="22"/>
        </w:rPr>
        <w:t xml:space="preserve"> (Article 21; Lines 635-643)</w:t>
      </w:r>
      <w:r w:rsidR="00A166CA">
        <w:rPr>
          <w:rFonts w:asciiTheme="majorHAnsi" w:hAnsiTheme="majorHAnsi"/>
          <w:sz w:val="22"/>
          <w:szCs w:val="22"/>
        </w:rPr>
        <w:t>:</w:t>
      </w:r>
    </w:p>
    <w:p w14:paraId="05660FCE" w14:textId="7F896893" w:rsidR="00AB2566" w:rsidRDefault="00AB2566" w:rsidP="00D54AFD">
      <w:pPr>
        <w:pStyle w:val="ListParagraph"/>
        <w:numPr>
          <w:ilvl w:val="1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</w:rPr>
        <w:t xml:space="preserve">Agreement on latest Commission non-paper proposal, </w:t>
      </w:r>
      <w:r w:rsidR="00887689" w:rsidRPr="00256168">
        <w:rPr>
          <w:rFonts w:asciiTheme="majorHAnsi" w:hAnsiTheme="majorHAnsi"/>
          <w:sz w:val="22"/>
          <w:szCs w:val="22"/>
        </w:rPr>
        <w:t>with</w:t>
      </w:r>
      <w:r w:rsidRPr="00256168">
        <w:rPr>
          <w:rFonts w:asciiTheme="majorHAnsi" w:hAnsiTheme="majorHAnsi"/>
          <w:sz w:val="22"/>
          <w:szCs w:val="22"/>
        </w:rPr>
        <w:t xml:space="preserve"> replacing ‘may’ with ‘shall’ in cases of disagreements to be referred to </w:t>
      </w:r>
      <w:r w:rsidRPr="00D54AFD">
        <w:rPr>
          <w:rFonts w:asciiTheme="majorHAnsi" w:hAnsiTheme="majorHAnsi"/>
          <w:sz w:val="22"/>
          <w:szCs w:val="22"/>
        </w:rPr>
        <w:t>ESMA</w:t>
      </w:r>
      <w:r w:rsidR="008F3155" w:rsidRPr="00D54AFD">
        <w:rPr>
          <w:rFonts w:asciiTheme="majorHAnsi" w:hAnsiTheme="majorHAnsi"/>
          <w:sz w:val="22"/>
          <w:szCs w:val="22"/>
        </w:rPr>
        <w:t xml:space="preserve"> with</w:t>
      </w:r>
      <w:r w:rsidR="00D54AFD" w:rsidRPr="00D54AFD">
        <w:rPr>
          <w:rFonts w:asciiTheme="majorHAnsi" w:hAnsiTheme="majorHAnsi"/>
          <w:sz w:val="22"/>
          <w:szCs w:val="22"/>
        </w:rPr>
        <w:t xml:space="preserve"> certain</w:t>
      </w:r>
      <w:r w:rsidR="008F3155" w:rsidRPr="00D54AFD">
        <w:rPr>
          <w:rFonts w:asciiTheme="majorHAnsi" w:hAnsiTheme="majorHAnsi"/>
          <w:sz w:val="22"/>
          <w:szCs w:val="22"/>
        </w:rPr>
        <w:t xml:space="preserve"> </w:t>
      </w:r>
      <w:r w:rsidR="00D54AFD" w:rsidRPr="00D54AFD">
        <w:rPr>
          <w:rFonts w:asciiTheme="majorHAnsi" w:hAnsiTheme="majorHAnsi"/>
          <w:sz w:val="22"/>
          <w:szCs w:val="22"/>
        </w:rPr>
        <w:t>further</w:t>
      </w:r>
      <w:r w:rsidR="00D54AFD">
        <w:rPr>
          <w:rFonts w:asciiTheme="majorHAnsi" w:hAnsiTheme="majorHAnsi"/>
          <w:sz w:val="22"/>
          <w:szCs w:val="22"/>
        </w:rPr>
        <w:t xml:space="preserve"> clarifications on the process</w:t>
      </w:r>
      <w:r w:rsidRPr="00256168">
        <w:rPr>
          <w:rFonts w:asciiTheme="majorHAnsi" w:hAnsiTheme="majorHAnsi"/>
          <w:sz w:val="22"/>
          <w:szCs w:val="22"/>
        </w:rPr>
        <w:t>;</w:t>
      </w:r>
    </w:p>
    <w:p w14:paraId="04D131B7" w14:textId="686CE3BD" w:rsidR="00A166CA" w:rsidRPr="00256168" w:rsidRDefault="00A166CA" w:rsidP="00A166CA">
      <w:pPr>
        <w:pStyle w:val="ListParagraph"/>
        <w:numPr>
          <w:ilvl w:val="1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Council grace period of 3 months retained;</w:t>
      </w:r>
    </w:p>
    <w:p w14:paraId="37790FE1" w14:textId="77777777" w:rsidR="00D16CFA" w:rsidRPr="00256168" w:rsidRDefault="00D16CFA" w:rsidP="00887689">
      <w:pPr>
        <w:pStyle w:val="ListParagraph"/>
        <w:spacing w:after="200" w:line="276" w:lineRule="auto"/>
        <w:ind w:left="567"/>
        <w:rPr>
          <w:rFonts w:asciiTheme="majorHAnsi" w:hAnsiTheme="majorHAnsi"/>
          <w:sz w:val="22"/>
          <w:szCs w:val="22"/>
        </w:rPr>
      </w:pPr>
    </w:p>
    <w:p w14:paraId="3A62ED80" w14:textId="19423BA7" w:rsidR="008D2327" w:rsidRPr="00256168" w:rsidRDefault="00AB2566" w:rsidP="00887689">
      <w:pPr>
        <w:pStyle w:val="ListParagraph"/>
        <w:numPr>
          <w:ilvl w:val="0"/>
          <w:numId w:val="12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 xml:space="preserve">Sanctions </w:t>
      </w:r>
      <w:r w:rsidRPr="00256168">
        <w:rPr>
          <w:rFonts w:asciiTheme="majorHAnsi" w:hAnsiTheme="majorHAnsi"/>
          <w:sz w:val="22"/>
          <w:szCs w:val="22"/>
        </w:rPr>
        <w:t>(Article 17; Lines 606 – 607)</w:t>
      </w:r>
      <w:r w:rsidR="008D2327" w:rsidRPr="00256168">
        <w:rPr>
          <w:rFonts w:asciiTheme="majorHAnsi" w:hAnsiTheme="majorHAnsi"/>
          <w:sz w:val="22"/>
          <w:szCs w:val="22"/>
        </w:rPr>
        <w:t>: Agreement on keepi</w:t>
      </w:r>
      <w:r w:rsidR="00A166CA">
        <w:rPr>
          <w:rFonts w:asciiTheme="majorHAnsi" w:hAnsiTheme="majorHAnsi"/>
          <w:sz w:val="22"/>
          <w:szCs w:val="22"/>
        </w:rPr>
        <w:t>ng with Council text;</w:t>
      </w:r>
    </w:p>
    <w:p w14:paraId="003E1B46" w14:textId="77777777" w:rsidR="008D2327" w:rsidRPr="00256168" w:rsidRDefault="008D2327" w:rsidP="00887689">
      <w:pPr>
        <w:pStyle w:val="ListParagraph"/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</w:p>
    <w:p w14:paraId="5CE7E98F" w14:textId="77777777" w:rsidR="00751FF4" w:rsidRDefault="00751FF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14:paraId="40FD0956" w14:textId="6329FD51" w:rsidR="00A166CA" w:rsidRDefault="00AB2566" w:rsidP="00887689">
      <w:pPr>
        <w:pStyle w:val="ListParagraph"/>
        <w:numPr>
          <w:ilvl w:val="0"/>
          <w:numId w:val="12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lastRenderedPageBreak/>
        <w:t>Transparency</w:t>
      </w:r>
      <w:r w:rsidRPr="00256168">
        <w:rPr>
          <w:rFonts w:asciiTheme="majorHAnsi" w:hAnsiTheme="majorHAnsi"/>
          <w:sz w:val="22"/>
          <w:szCs w:val="22"/>
        </w:rPr>
        <w:t xml:space="preserve"> (Articles 5, </w:t>
      </w:r>
      <w:r w:rsidRPr="00256168">
        <w:rPr>
          <w:rFonts w:asciiTheme="majorHAnsi" w:hAnsiTheme="majorHAnsi"/>
          <w:noProof/>
          <w:sz w:val="22"/>
          <w:szCs w:val="22"/>
        </w:rPr>
        <w:t>Articles 5a to 5q and 22a to 22e EP; Lines 162-165, 169, 173-175, 177-178, 181, 185-187, 191, 194-210)</w:t>
      </w:r>
      <w:r w:rsidR="008D2327" w:rsidRPr="00256168">
        <w:rPr>
          <w:rFonts w:asciiTheme="majorHAnsi" w:hAnsiTheme="majorHAnsi"/>
          <w:noProof/>
          <w:sz w:val="22"/>
          <w:szCs w:val="22"/>
        </w:rPr>
        <w:t xml:space="preserve">: </w:t>
      </w:r>
    </w:p>
    <w:p w14:paraId="537DC927" w14:textId="77777777" w:rsidR="00A166CA" w:rsidRPr="00A166CA" w:rsidRDefault="00A166CA" w:rsidP="00A166CA">
      <w:pPr>
        <w:pStyle w:val="ListParagraph"/>
        <w:rPr>
          <w:rFonts w:asciiTheme="majorHAnsi" w:hAnsiTheme="majorHAnsi"/>
          <w:sz w:val="22"/>
          <w:szCs w:val="22"/>
        </w:rPr>
      </w:pPr>
    </w:p>
    <w:p w14:paraId="69A902C0" w14:textId="465C06CD" w:rsidR="008D2327" w:rsidRPr="00256168" w:rsidRDefault="008D2327" w:rsidP="00A166CA">
      <w:pPr>
        <w:pStyle w:val="ListParagraph"/>
        <w:numPr>
          <w:ilvl w:val="1"/>
          <w:numId w:val="1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</w:rPr>
        <w:t>Agreement on latest Commission non-paper proposal</w:t>
      </w:r>
      <w:r w:rsidR="00A166CA">
        <w:rPr>
          <w:rFonts w:asciiTheme="majorHAnsi" w:hAnsiTheme="majorHAnsi"/>
          <w:sz w:val="22"/>
          <w:szCs w:val="22"/>
        </w:rPr>
        <w:t xml:space="preserve"> on securitisation repositories:</w:t>
      </w:r>
    </w:p>
    <w:p w14:paraId="13DB740B" w14:textId="33682BAB" w:rsidR="00AB2566" w:rsidRPr="00256168" w:rsidRDefault="00AB2566" w:rsidP="00887689">
      <w:pPr>
        <w:pStyle w:val="ListParagraph"/>
        <w:numPr>
          <w:ilvl w:val="1"/>
          <w:numId w:val="10"/>
        </w:numPr>
        <w:spacing w:after="200" w:line="276" w:lineRule="auto"/>
        <w:ind w:left="567" w:hanging="425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</w:rPr>
        <w:t>Agreed to EP suggestion to refer to</w:t>
      </w:r>
      <w:r w:rsidR="003A3551">
        <w:rPr>
          <w:rFonts w:asciiTheme="majorHAnsi" w:hAnsiTheme="majorHAnsi"/>
          <w:sz w:val="22"/>
          <w:szCs w:val="22"/>
        </w:rPr>
        <w:t xml:space="preserve"> </w:t>
      </w:r>
      <w:r w:rsidR="003A3551" w:rsidRPr="00D54AFD">
        <w:rPr>
          <w:rFonts w:asciiTheme="majorHAnsi" w:hAnsiTheme="majorHAnsi"/>
          <w:sz w:val="22"/>
          <w:szCs w:val="22"/>
        </w:rPr>
        <w:t>disclosure of</w:t>
      </w:r>
      <w:r w:rsidRPr="00D54AFD">
        <w:rPr>
          <w:rFonts w:asciiTheme="majorHAnsi" w:hAnsiTheme="majorHAnsi"/>
          <w:sz w:val="22"/>
          <w:szCs w:val="22"/>
        </w:rPr>
        <w:t xml:space="preserve"> retention modality</w:t>
      </w:r>
      <w:r w:rsidRPr="00256168">
        <w:rPr>
          <w:rFonts w:asciiTheme="majorHAnsi" w:hAnsiTheme="majorHAnsi"/>
          <w:sz w:val="22"/>
          <w:szCs w:val="22"/>
        </w:rPr>
        <w:t xml:space="preserve"> used in Article 5(1)(e)(iii) (Line 186) but not to refer to ‘who’ retains the risk;</w:t>
      </w:r>
    </w:p>
    <w:p w14:paraId="0119C2CA" w14:textId="342AB091" w:rsidR="00A166CA" w:rsidRDefault="00A166CA" w:rsidP="00887689">
      <w:pPr>
        <w:pStyle w:val="ListParagraph"/>
        <w:numPr>
          <w:ilvl w:val="1"/>
          <w:numId w:val="10"/>
        </w:numPr>
        <w:spacing w:after="200" w:line="276" w:lineRule="auto"/>
        <w:ind w:left="567" w:hanging="4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Agreement to exclude </w:t>
      </w:r>
      <w:r w:rsidRPr="00256168">
        <w:rPr>
          <w:rFonts w:asciiTheme="majorHAnsi" w:hAnsiTheme="majorHAnsi"/>
          <w:sz w:val="22"/>
          <w:szCs w:val="22"/>
        </w:rPr>
        <w:t xml:space="preserve">reporting for private transactions </w:t>
      </w:r>
      <w:r>
        <w:rPr>
          <w:rFonts w:asciiTheme="majorHAnsi" w:hAnsiTheme="majorHAnsi"/>
          <w:sz w:val="22"/>
          <w:szCs w:val="22"/>
        </w:rPr>
        <w:t xml:space="preserve">and EP provisions on investor/beneficial owner </w:t>
      </w:r>
      <w:r w:rsidRPr="00256168">
        <w:rPr>
          <w:rFonts w:asciiTheme="majorHAnsi" w:hAnsiTheme="majorHAnsi"/>
          <w:sz w:val="22"/>
          <w:szCs w:val="22"/>
        </w:rPr>
        <w:t>disclosures</w:t>
      </w:r>
      <w:r>
        <w:rPr>
          <w:rFonts w:asciiTheme="majorHAnsi" w:hAnsiTheme="majorHAnsi"/>
          <w:sz w:val="22"/>
          <w:szCs w:val="22"/>
        </w:rPr>
        <w:t xml:space="preserve">, with the addition of a review by the Commission as part of the general review in 3 years  </w:t>
      </w:r>
    </w:p>
    <w:p w14:paraId="6BCE4495" w14:textId="77777777" w:rsidR="00751FF4" w:rsidRDefault="00751FF4" w:rsidP="00751FF4">
      <w:pPr>
        <w:pStyle w:val="ListParagraph"/>
        <w:spacing w:after="200" w:line="276" w:lineRule="auto"/>
        <w:ind w:left="567"/>
        <w:rPr>
          <w:rFonts w:asciiTheme="majorHAnsi" w:hAnsiTheme="majorHAnsi"/>
          <w:sz w:val="22"/>
          <w:szCs w:val="22"/>
        </w:rPr>
      </w:pPr>
    </w:p>
    <w:p w14:paraId="3A1B4A02" w14:textId="22750F80" w:rsidR="00AB2566" w:rsidRPr="00256168" w:rsidRDefault="00AB2566" w:rsidP="00887689">
      <w:pPr>
        <w:pStyle w:val="ListParagraph"/>
        <w:numPr>
          <w:ilvl w:val="0"/>
          <w:numId w:val="16"/>
        </w:numPr>
        <w:spacing w:after="200" w:line="276" w:lineRule="auto"/>
        <w:ind w:left="-426" w:hanging="283"/>
        <w:rPr>
          <w:rFonts w:asciiTheme="majorHAnsi" w:hAnsiTheme="majorHAnsi"/>
          <w:sz w:val="22"/>
          <w:szCs w:val="22"/>
        </w:rPr>
      </w:pPr>
      <w:r w:rsidRPr="00D54AFD">
        <w:rPr>
          <w:rFonts w:asciiTheme="majorHAnsi" w:hAnsiTheme="majorHAnsi"/>
          <w:sz w:val="22"/>
          <w:szCs w:val="22"/>
          <w:u w:val="single"/>
        </w:rPr>
        <w:t>Stress Testing of the Sponsor</w:t>
      </w:r>
      <w:r w:rsidRPr="00256168">
        <w:rPr>
          <w:rFonts w:asciiTheme="majorHAnsi" w:hAnsiTheme="majorHAnsi"/>
          <w:noProof/>
          <w:sz w:val="22"/>
          <w:szCs w:val="22"/>
        </w:rPr>
        <w:t xml:space="preserve"> (Article 12a(3); Line 485)</w:t>
      </w:r>
      <w:r w:rsidR="00D16CFA" w:rsidRPr="00256168">
        <w:rPr>
          <w:rFonts w:asciiTheme="majorHAnsi" w:hAnsiTheme="majorHAnsi"/>
          <w:noProof/>
          <w:sz w:val="22"/>
          <w:szCs w:val="22"/>
        </w:rPr>
        <w:t xml:space="preserve">: </w:t>
      </w:r>
      <w:r w:rsidRPr="00256168">
        <w:rPr>
          <w:rFonts w:asciiTheme="majorHAnsi" w:hAnsiTheme="majorHAnsi"/>
          <w:noProof/>
          <w:sz w:val="22"/>
          <w:szCs w:val="22"/>
        </w:rPr>
        <w:t>Agreement that there would be no requirement for additional/ad hoc stress testing over and above existing stress test to which entities may be subject</w:t>
      </w:r>
      <w:r w:rsidR="00D16CFA" w:rsidRPr="00256168">
        <w:rPr>
          <w:rFonts w:asciiTheme="majorHAnsi" w:hAnsiTheme="majorHAnsi"/>
          <w:noProof/>
          <w:sz w:val="22"/>
          <w:szCs w:val="22"/>
        </w:rPr>
        <w:t>.</w:t>
      </w:r>
    </w:p>
    <w:p w14:paraId="43F2F622" w14:textId="77777777" w:rsidR="00D16CFA" w:rsidRPr="00256168" w:rsidRDefault="00D16CFA" w:rsidP="00887689">
      <w:pPr>
        <w:pStyle w:val="ListParagraph"/>
        <w:spacing w:after="200" w:line="120" w:lineRule="auto"/>
        <w:ind w:left="-425"/>
        <w:rPr>
          <w:rFonts w:asciiTheme="majorHAnsi" w:hAnsiTheme="majorHAnsi"/>
          <w:sz w:val="22"/>
          <w:szCs w:val="22"/>
        </w:rPr>
      </w:pPr>
    </w:p>
    <w:p w14:paraId="5AD95429" w14:textId="25708F37" w:rsidR="00AB2566" w:rsidRPr="00256168" w:rsidRDefault="00AB2566" w:rsidP="00887689">
      <w:pPr>
        <w:pStyle w:val="ListParagraph"/>
        <w:numPr>
          <w:ilvl w:val="0"/>
          <w:numId w:val="15"/>
        </w:numPr>
        <w:spacing w:after="200" w:line="276" w:lineRule="auto"/>
        <w:ind w:left="-426" w:hanging="283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>Third Party Verification of STS Compliance</w:t>
      </w:r>
      <w:r w:rsidRPr="00256168">
        <w:rPr>
          <w:rFonts w:asciiTheme="majorHAnsi" w:hAnsiTheme="majorHAnsi"/>
          <w:sz w:val="22"/>
          <w:szCs w:val="22"/>
        </w:rPr>
        <w:t xml:space="preserve"> (Articles 14 and 14a; Lines 519, 528-543, 619)</w:t>
      </w:r>
      <w:r w:rsidR="00D16CFA" w:rsidRPr="00256168">
        <w:rPr>
          <w:rFonts w:asciiTheme="majorHAnsi" w:hAnsiTheme="majorHAnsi"/>
          <w:sz w:val="22"/>
          <w:szCs w:val="22"/>
        </w:rPr>
        <w:t xml:space="preserve">: </w:t>
      </w:r>
      <w:r w:rsidRPr="00256168">
        <w:rPr>
          <w:rFonts w:asciiTheme="majorHAnsi" w:hAnsiTheme="majorHAnsi"/>
          <w:sz w:val="22"/>
          <w:szCs w:val="22"/>
        </w:rPr>
        <w:t xml:space="preserve">Agreement with Council text on third party verification subject to clear </w:t>
      </w:r>
      <w:r w:rsidR="00D16CFA" w:rsidRPr="00256168">
        <w:rPr>
          <w:rFonts w:asciiTheme="majorHAnsi" w:hAnsiTheme="majorHAnsi"/>
          <w:sz w:val="22"/>
          <w:szCs w:val="22"/>
        </w:rPr>
        <w:t>reference</w:t>
      </w:r>
      <w:r w:rsidRPr="00256168">
        <w:rPr>
          <w:rFonts w:asciiTheme="majorHAnsi" w:hAnsiTheme="majorHAnsi"/>
          <w:sz w:val="22"/>
          <w:szCs w:val="22"/>
        </w:rPr>
        <w:t xml:space="preserve"> that liability for compliance remains with the originator, sponsor and SSPE</w:t>
      </w:r>
      <w:r w:rsidR="00A166CA">
        <w:rPr>
          <w:rFonts w:asciiTheme="majorHAnsi" w:hAnsiTheme="majorHAnsi"/>
          <w:sz w:val="22"/>
          <w:szCs w:val="22"/>
        </w:rPr>
        <w:t xml:space="preserve"> in accordance </w:t>
      </w:r>
      <w:r w:rsidR="00D16CFA" w:rsidRPr="00256168">
        <w:rPr>
          <w:rFonts w:asciiTheme="majorHAnsi" w:hAnsiTheme="majorHAnsi"/>
          <w:sz w:val="22"/>
          <w:szCs w:val="22"/>
        </w:rPr>
        <w:t>with Line 519 of EP text.</w:t>
      </w:r>
    </w:p>
    <w:p w14:paraId="5E7E929E" w14:textId="77777777" w:rsidR="00D16CFA" w:rsidRPr="00256168" w:rsidRDefault="00D16CFA" w:rsidP="00887689">
      <w:pPr>
        <w:pStyle w:val="ListParagraph"/>
        <w:spacing w:after="200" w:line="120" w:lineRule="auto"/>
        <w:ind w:left="-425"/>
        <w:rPr>
          <w:rFonts w:asciiTheme="majorHAnsi" w:hAnsiTheme="majorHAnsi"/>
          <w:sz w:val="22"/>
          <w:szCs w:val="22"/>
        </w:rPr>
      </w:pPr>
    </w:p>
    <w:p w14:paraId="42F09E20" w14:textId="6CCE95D6" w:rsidR="005F6667" w:rsidRPr="005F6667" w:rsidRDefault="00AB2566" w:rsidP="005F6667">
      <w:pPr>
        <w:pStyle w:val="ListParagraph"/>
        <w:numPr>
          <w:ilvl w:val="0"/>
          <w:numId w:val="18"/>
        </w:numPr>
        <w:spacing w:after="200" w:line="276" w:lineRule="auto"/>
        <w:ind w:left="-426"/>
        <w:rPr>
          <w:rFonts w:asciiTheme="majorHAnsi" w:hAnsiTheme="majorHAnsi"/>
          <w:sz w:val="22"/>
          <w:szCs w:val="22"/>
          <w:u w:val="single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>Re-securitisation</w:t>
      </w:r>
      <w:r w:rsidRPr="00256168">
        <w:rPr>
          <w:rFonts w:asciiTheme="majorHAnsi" w:hAnsiTheme="majorHAnsi"/>
          <w:noProof/>
          <w:sz w:val="22"/>
          <w:szCs w:val="22"/>
        </w:rPr>
        <w:t xml:space="preserve"> (Article 5r EP; Lines 371-373)</w:t>
      </w:r>
      <w:r w:rsidR="00825386" w:rsidRPr="00256168">
        <w:rPr>
          <w:rFonts w:asciiTheme="majorHAnsi" w:hAnsiTheme="majorHAnsi"/>
          <w:noProof/>
          <w:sz w:val="22"/>
          <w:szCs w:val="22"/>
        </w:rPr>
        <w:t xml:space="preserve">:  </w:t>
      </w:r>
      <w:r w:rsidRPr="00256168">
        <w:rPr>
          <w:rFonts w:asciiTheme="majorHAnsi" w:hAnsiTheme="majorHAnsi"/>
          <w:noProof/>
          <w:sz w:val="22"/>
          <w:szCs w:val="22"/>
        </w:rPr>
        <w:t xml:space="preserve">Agreement </w:t>
      </w:r>
      <w:r w:rsidR="00825386" w:rsidRPr="00256168">
        <w:rPr>
          <w:rFonts w:asciiTheme="majorHAnsi" w:hAnsiTheme="majorHAnsi"/>
          <w:noProof/>
          <w:sz w:val="22"/>
          <w:szCs w:val="22"/>
        </w:rPr>
        <w:t>based on the Presidency Non-Paper on resecuritisat</w:t>
      </w:r>
      <w:r w:rsidR="00A166CA">
        <w:rPr>
          <w:rFonts w:asciiTheme="majorHAnsi" w:hAnsiTheme="majorHAnsi"/>
          <w:noProof/>
          <w:sz w:val="22"/>
          <w:szCs w:val="22"/>
        </w:rPr>
        <w:t>ion (i.e. Option 3 to introduce</w:t>
      </w:r>
      <w:r w:rsidR="00825386" w:rsidRPr="00256168">
        <w:rPr>
          <w:rFonts w:asciiTheme="majorHAnsi" w:hAnsiTheme="majorHAnsi"/>
          <w:noProof/>
          <w:sz w:val="22"/>
          <w:szCs w:val="22"/>
        </w:rPr>
        <w:t xml:space="preserve"> a </w:t>
      </w:r>
      <w:r w:rsidRPr="00256168">
        <w:rPr>
          <w:rFonts w:asciiTheme="majorHAnsi" w:hAnsiTheme="majorHAnsi"/>
          <w:noProof/>
          <w:sz w:val="22"/>
          <w:szCs w:val="22"/>
        </w:rPr>
        <w:t>ban on re-securitisation subject to appropriate gran</w:t>
      </w:r>
      <w:r w:rsidR="00A166CA">
        <w:rPr>
          <w:rFonts w:asciiTheme="majorHAnsi" w:hAnsiTheme="majorHAnsi"/>
          <w:noProof/>
          <w:sz w:val="22"/>
          <w:szCs w:val="22"/>
        </w:rPr>
        <w:t>d</w:t>
      </w:r>
      <w:r w:rsidRPr="00256168">
        <w:rPr>
          <w:rFonts w:asciiTheme="majorHAnsi" w:hAnsiTheme="majorHAnsi"/>
          <w:noProof/>
          <w:sz w:val="22"/>
          <w:szCs w:val="22"/>
        </w:rPr>
        <w:t>fathering, clarification on exclusion of ABCPs and additional carve-outs being included, as we</w:t>
      </w:r>
      <w:r w:rsidR="00825386" w:rsidRPr="00256168">
        <w:rPr>
          <w:rFonts w:asciiTheme="majorHAnsi" w:hAnsiTheme="majorHAnsi"/>
          <w:noProof/>
          <w:sz w:val="22"/>
          <w:szCs w:val="22"/>
        </w:rPr>
        <w:t>ll as an empowerment for review)</w:t>
      </w:r>
    </w:p>
    <w:p w14:paraId="21C3467F" w14:textId="77777777" w:rsidR="005F6667" w:rsidRPr="005F6667" w:rsidRDefault="005F6667" w:rsidP="005F6667">
      <w:pPr>
        <w:pStyle w:val="ListParagraph"/>
        <w:spacing w:after="200" w:line="120" w:lineRule="auto"/>
        <w:ind w:left="-425"/>
        <w:rPr>
          <w:rFonts w:asciiTheme="majorHAnsi" w:hAnsiTheme="majorHAnsi"/>
          <w:sz w:val="22"/>
          <w:szCs w:val="22"/>
          <w:u w:val="single"/>
        </w:rPr>
      </w:pPr>
    </w:p>
    <w:p w14:paraId="796146A6" w14:textId="2A8B26DB" w:rsidR="005F6667" w:rsidRDefault="005F6667" w:rsidP="005F6667">
      <w:pPr>
        <w:pStyle w:val="ListParagraph"/>
        <w:numPr>
          <w:ilvl w:val="0"/>
          <w:numId w:val="18"/>
        </w:numPr>
        <w:spacing w:after="200" w:line="276" w:lineRule="auto"/>
        <w:ind w:left="-426"/>
        <w:rPr>
          <w:rFonts w:asciiTheme="majorHAnsi" w:hAnsiTheme="majorHAnsi"/>
          <w:noProof/>
          <w:sz w:val="22"/>
          <w:szCs w:val="22"/>
        </w:rPr>
      </w:pPr>
      <w:r w:rsidRPr="005F6667">
        <w:rPr>
          <w:rFonts w:asciiTheme="majorHAnsi" w:hAnsiTheme="majorHAnsi"/>
          <w:sz w:val="22"/>
          <w:szCs w:val="22"/>
          <w:u w:val="single"/>
        </w:rPr>
        <w:t>ESMA Guidelines and Recommendations</w:t>
      </w:r>
      <w:r w:rsidRPr="005F6667">
        <w:rPr>
          <w:rFonts w:asciiTheme="majorHAnsi" w:hAnsiTheme="majorHAnsi"/>
          <w:sz w:val="22"/>
          <w:szCs w:val="22"/>
        </w:rPr>
        <w:t xml:space="preserve"> (Article </w:t>
      </w:r>
      <w:r w:rsidR="00A166CA">
        <w:rPr>
          <w:rFonts w:asciiTheme="majorHAnsi" w:hAnsiTheme="majorHAnsi"/>
          <w:sz w:val="22"/>
          <w:szCs w:val="22"/>
        </w:rPr>
        <w:t xml:space="preserve">7; Line 394): Agreement that </w:t>
      </w:r>
      <w:r w:rsidRPr="005F6667">
        <w:rPr>
          <w:rFonts w:asciiTheme="majorHAnsi" w:hAnsiTheme="majorHAnsi"/>
          <w:sz w:val="22"/>
          <w:szCs w:val="22"/>
        </w:rPr>
        <w:t>EBA shall adopt guidelines</w:t>
      </w:r>
      <w:r w:rsidR="00A166CA">
        <w:rPr>
          <w:rFonts w:asciiTheme="majorHAnsi" w:hAnsiTheme="majorHAnsi"/>
          <w:sz w:val="22"/>
          <w:szCs w:val="22"/>
        </w:rPr>
        <w:t xml:space="preserve"> with regard to STS criteria</w:t>
      </w:r>
      <w:r w:rsidRPr="005F6667">
        <w:rPr>
          <w:rFonts w:asciiTheme="majorHAnsi" w:hAnsiTheme="majorHAnsi"/>
          <w:sz w:val="22"/>
          <w:szCs w:val="22"/>
        </w:rPr>
        <w:t xml:space="preserve"> in close cooperation with ESMA and EIOPA.</w:t>
      </w:r>
    </w:p>
    <w:p w14:paraId="2A75D0AE" w14:textId="77777777" w:rsidR="005F6667" w:rsidRPr="005F6667" w:rsidRDefault="005F6667" w:rsidP="005F6667">
      <w:pPr>
        <w:pStyle w:val="ListParagraph"/>
        <w:spacing w:after="200" w:line="120" w:lineRule="auto"/>
        <w:ind w:left="-425"/>
        <w:rPr>
          <w:rFonts w:asciiTheme="majorHAnsi" w:hAnsiTheme="majorHAnsi"/>
          <w:sz w:val="22"/>
          <w:szCs w:val="22"/>
        </w:rPr>
      </w:pPr>
    </w:p>
    <w:p w14:paraId="50EF1442" w14:textId="3A19A6C5" w:rsidR="00825386" w:rsidRPr="00256168" w:rsidRDefault="00AB2566" w:rsidP="00887689">
      <w:pPr>
        <w:pStyle w:val="ListParagraph"/>
        <w:numPr>
          <w:ilvl w:val="0"/>
          <w:numId w:val="15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noProof/>
          <w:sz w:val="22"/>
          <w:szCs w:val="22"/>
          <w:u w:val="single"/>
        </w:rPr>
        <w:t>ESG Criteria / Disclosures</w:t>
      </w:r>
      <w:r w:rsidRPr="00256168">
        <w:rPr>
          <w:rFonts w:asciiTheme="majorHAnsi" w:hAnsiTheme="majorHAnsi"/>
          <w:noProof/>
          <w:sz w:val="22"/>
          <w:szCs w:val="22"/>
        </w:rPr>
        <w:t xml:space="preserve"> (Article 10(3a) EP; Line 443)</w:t>
      </w:r>
      <w:r w:rsidR="00825386" w:rsidRPr="00256168">
        <w:rPr>
          <w:rFonts w:asciiTheme="majorHAnsi" w:hAnsiTheme="majorHAnsi"/>
          <w:noProof/>
          <w:sz w:val="22"/>
          <w:szCs w:val="22"/>
        </w:rPr>
        <w:t xml:space="preserve">: </w:t>
      </w:r>
      <w:r w:rsidRPr="00256168">
        <w:rPr>
          <w:rFonts w:asciiTheme="majorHAnsi" w:hAnsiTheme="majorHAnsi"/>
          <w:noProof/>
          <w:sz w:val="22"/>
          <w:szCs w:val="22"/>
        </w:rPr>
        <w:t xml:space="preserve">Agreement based on </w:t>
      </w:r>
      <w:r w:rsidR="00825386" w:rsidRPr="00256168">
        <w:rPr>
          <w:rFonts w:asciiTheme="majorHAnsi" w:hAnsiTheme="majorHAnsi"/>
          <w:noProof/>
          <w:sz w:val="22"/>
          <w:szCs w:val="22"/>
        </w:rPr>
        <w:t xml:space="preserve">the latest </w:t>
      </w:r>
      <w:r w:rsidRPr="00256168">
        <w:rPr>
          <w:rFonts w:asciiTheme="majorHAnsi" w:hAnsiTheme="majorHAnsi"/>
          <w:noProof/>
          <w:sz w:val="22"/>
          <w:szCs w:val="22"/>
        </w:rPr>
        <w:t>Commission Non-Paper;</w:t>
      </w:r>
    </w:p>
    <w:p w14:paraId="7EE90868" w14:textId="77777777" w:rsidR="00825386" w:rsidRPr="00256168" w:rsidRDefault="00825386" w:rsidP="005F6667">
      <w:pPr>
        <w:pStyle w:val="ListParagraph"/>
        <w:spacing w:line="120" w:lineRule="auto"/>
        <w:rPr>
          <w:rFonts w:asciiTheme="majorHAnsi" w:hAnsiTheme="majorHAnsi"/>
          <w:sz w:val="22"/>
          <w:szCs w:val="22"/>
        </w:rPr>
      </w:pPr>
    </w:p>
    <w:p w14:paraId="4CF47537" w14:textId="3FED080E" w:rsidR="00AB2566" w:rsidRPr="00256168" w:rsidRDefault="00AB2566" w:rsidP="00887689">
      <w:pPr>
        <w:pStyle w:val="ListParagraph"/>
        <w:numPr>
          <w:ilvl w:val="0"/>
          <w:numId w:val="15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  <w:u w:val="single"/>
        </w:rPr>
        <w:t>Third-Country Regime</w:t>
      </w:r>
      <w:r w:rsidRPr="00256168">
        <w:rPr>
          <w:rFonts w:asciiTheme="majorHAnsi" w:hAnsiTheme="majorHAnsi"/>
          <w:sz w:val="22"/>
          <w:szCs w:val="22"/>
        </w:rPr>
        <w:t xml:space="preserve"> (Articles 6 and 22f; Lines 386, 709-717)</w:t>
      </w:r>
      <w:r w:rsidR="00825386" w:rsidRPr="00256168">
        <w:rPr>
          <w:rFonts w:asciiTheme="majorHAnsi" w:hAnsiTheme="majorHAnsi"/>
          <w:sz w:val="22"/>
          <w:szCs w:val="22"/>
        </w:rPr>
        <w:t xml:space="preserve">: </w:t>
      </w:r>
      <w:r w:rsidRPr="00256168">
        <w:rPr>
          <w:rFonts w:asciiTheme="majorHAnsi" w:hAnsiTheme="majorHAnsi"/>
          <w:sz w:val="22"/>
          <w:szCs w:val="22"/>
        </w:rPr>
        <w:t>Agreement not to include EP suggestion for a third-country regime</w:t>
      </w:r>
      <w:r w:rsidR="00203920">
        <w:rPr>
          <w:rFonts w:asciiTheme="majorHAnsi" w:hAnsiTheme="majorHAnsi"/>
          <w:sz w:val="22"/>
          <w:szCs w:val="22"/>
        </w:rPr>
        <w:t>;</w:t>
      </w:r>
    </w:p>
    <w:p w14:paraId="5941AD80" w14:textId="77777777" w:rsidR="00825386" w:rsidRPr="00256168" w:rsidRDefault="00825386" w:rsidP="00887689">
      <w:pPr>
        <w:pStyle w:val="ListParagraph"/>
        <w:spacing w:after="200" w:line="120" w:lineRule="auto"/>
        <w:ind w:left="-425"/>
        <w:rPr>
          <w:rFonts w:asciiTheme="majorHAnsi" w:hAnsiTheme="majorHAnsi"/>
          <w:sz w:val="22"/>
          <w:szCs w:val="22"/>
        </w:rPr>
      </w:pPr>
    </w:p>
    <w:p w14:paraId="035AD276" w14:textId="0D3B8F0F" w:rsidR="00203920" w:rsidRPr="00203920" w:rsidRDefault="00AB2566" w:rsidP="00203920">
      <w:pPr>
        <w:pStyle w:val="ListParagraph"/>
        <w:numPr>
          <w:ilvl w:val="0"/>
          <w:numId w:val="15"/>
        </w:numPr>
        <w:spacing w:after="200" w:line="276" w:lineRule="auto"/>
        <w:ind w:left="-426"/>
        <w:rPr>
          <w:rFonts w:asciiTheme="majorHAnsi" w:hAnsiTheme="majorHAnsi"/>
          <w:sz w:val="22"/>
          <w:szCs w:val="22"/>
        </w:rPr>
      </w:pPr>
      <w:r w:rsidRPr="00B83EAB">
        <w:rPr>
          <w:rFonts w:asciiTheme="majorHAnsi" w:hAnsiTheme="majorHAnsi"/>
          <w:sz w:val="22"/>
          <w:szCs w:val="22"/>
          <w:u w:val="single"/>
        </w:rPr>
        <w:t>Reports and Review</w:t>
      </w:r>
      <w:r w:rsidRPr="00256168">
        <w:rPr>
          <w:rFonts w:asciiTheme="majorHAnsi" w:hAnsiTheme="majorHAnsi"/>
          <w:sz w:val="22"/>
          <w:szCs w:val="22"/>
        </w:rPr>
        <w:t xml:space="preserve"> (Articles 29-30; Lines 756-765, 768)</w:t>
      </w:r>
      <w:r w:rsidR="00203920">
        <w:rPr>
          <w:rFonts w:asciiTheme="majorHAnsi" w:hAnsiTheme="majorHAnsi"/>
          <w:sz w:val="22"/>
          <w:szCs w:val="22"/>
        </w:rPr>
        <w:t xml:space="preserve">: </w:t>
      </w:r>
      <w:r w:rsidR="00203920" w:rsidRPr="00203920">
        <w:rPr>
          <w:rFonts w:asciiTheme="majorHAnsi" w:hAnsiTheme="majorHAnsi"/>
          <w:sz w:val="22"/>
          <w:szCs w:val="22"/>
        </w:rPr>
        <w:t>Rep</w:t>
      </w:r>
      <w:r w:rsidR="00203920">
        <w:rPr>
          <w:rFonts w:asciiTheme="majorHAnsi" w:hAnsiTheme="majorHAnsi"/>
          <w:sz w:val="22"/>
          <w:szCs w:val="22"/>
        </w:rPr>
        <w:t>orts to be generally streamlined</w:t>
      </w:r>
      <w:r w:rsidR="00203920" w:rsidRPr="00203920">
        <w:rPr>
          <w:rFonts w:asciiTheme="majorHAnsi" w:hAnsiTheme="majorHAnsi"/>
          <w:sz w:val="22"/>
          <w:szCs w:val="22"/>
        </w:rPr>
        <w:t>;</w:t>
      </w:r>
    </w:p>
    <w:p w14:paraId="208BBD24" w14:textId="77777777" w:rsidR="005F6667" w:rsidRDefault="005F6667" w:rsidP="005F6667">
      <w:pPr>
        <w:pStyle w:val="ListParagraph"/>
        <w:spacing w:after="200" w:line="276" w:lineRule="auto"/>
        <w:ind w:left="1440"/>
        <w:rPr>
          <w:rFonts w:asciiTheme="majorHAnsi" w:hAnsiTheme="majorHAnsi"/>
          <w:sz w:val="22"/>
          <w:szCs w:val="22"/>
        </w:rPr>
      </w:pPr>
    </w:p>
    <w:p w14:paraId="667EBC2C" w14:textId="5BCFCBFB" w:rsidR="005F6667" w:rsidRPr="005F6667" w:rsidRDefault="00AB2566" w:rsidP="005F6667">
      <w:pPr>
        <w:pStyle w:val="ListParagraph"/>
        <w:numPr>
          <w:ilvl w:val="0"/>
          <w:numId w:val="18"/>
        </w:numPr>
        <w:spacing w:after="200" w:line="276" w:lineRule="auto"/>
        <w:ind w:left="-426"/>
        <w:rPr>
          <w:rFonts w:asciiTheme="majorHAnsi" w:hAnsiTheme="majorHAnsi"/>
          <w:sz w:val="22"/>
          <w:szCs w:val="22"/>
          <w:u w:val="single"/>
        </w:rPr>
      </w:pPr>
      <w:r w:rsidRPr="005F6667">
        <w:rPr>
          <w:rFonts w:asciiTheme="majorHAnsi" w:hAnsiTheme="majorHAnsi"/>
          <w:sz w:val="22"/>
          <w:szCs w:val="22"/>
          <w:u w:val="single"/>
        </w:rPr>
        <w:t>Date of Application of STS/CRR Package</w:t>
      </w:r>
      <w:r w:rsidR="005F6667" w:rsidRPr="005F6667">
        <w:rPr>
          <w:rFonts w:asciiTheme="majorHAnsi" w:hAnsiTheme="majorHAnsi"/>
          <w:sz w:val="22"/>
          <w:szCs w:val="22"/>
        </w:rPr>
        <w:t xml:space="preserve">:  </w:t>
      </w:r>
      <w:r w:rsidRPr="005F6667">
        <w:rPr>
          <w:rFonts w:asciiTheme="majorHAnsi" w:hAnsiTheme="majorHAnsi"/>
          <w:sz w:val="22"/>
          <w:szCs w:val="22"/>
        </w:rPr>
        <w:t xml:space="preserve">Agreement to set 1 July 2018 as </w:t>
      </w:r>
      <w:r w:rsidR="005F6667">
        <w:rPr>
          <w:rFonts w:asciiTheme="majorHAnsi" w:hAnsiTheme="majorHAnsi"/>
          <w:sz w:val="22"/>
          <w:szCs w:val="22"/>
        </w:rPr>
        <w:t>the</w:t>
      </w:r>
      <w:r w:rsidRPr="005F6667">
        <w:rPr>
          <w:rFonts w:asciiTheme="majorHAnsi" w:hAnsiTheme="majorHAnsi"/>
          <w:sz w:val="22"/>
          <w:szCs w:val="22"/>
        </w:rPr>
        <w:t xml:space="preserve"> date of </w:t>
      </w:r>
      <w:r w:rsidRPr="00203920">
        <w:rPr>
          <w:rFonts w:asciiTheme="majorHAnsi" w:hAnsiTheme="majorHAnsi"/>
          <w:sz w:val="22"/>
          <w:szCs w:val="22"/>
        </w:rPr>
        <w:t>application of entire package;</w:t>
      </w:r>
    </w:p>
    <w:p w14:paraId="25C5717E" w14:textId="77777777" w:rsidR="005F6667" w:rsidRPr="005F6667" w:rsidRDefault="005F6667" w:rsidP="005F6667">
      <w:pPr>
        <w:pStyle w:val="ListParagraph"/>
        <w:spacing w:after="200" w:line="276" w:lineRule="auto"/>
        <w:ind w:left="-426"/>
        <w:rPr>
          <w:rFonts w:asciiTheme="majorHAnsi" w:hAnsiTheme="majorHAnsi"/>
          <w:sz w:val="22"/>
          <w:szCs w:val="22"/>
          <w:u w:val="single"/>
        </w:rPr>
      </w:pPr>
    </w:p>
    <w:p w14:paraId="5AA644AA" w14:textId="5B2E6072" w:rsidR="00AB2566" w:rsidRPr="00256168" w:rsidRDefault="00AB2566" w:rsidP="00887689">
      <w:pPr>
        <w:pStyle w:val="ListParagraph"/>
        <w:rPr>
          <w:rFonts w:asciiTheme="majorHAnsi" w:hAnsiTheme="majorHAnsi"/>
          <w:sz w:val="22"/>
          <w:szCs w:val="22"/>
        </w:rPr>
      </w:pPr>
    </w:p>
    <w:p w14:paraId="11BEBF75" w14:textId="77777777" w:rsidR="00751FF4" w:rsidRDefault="00751FF4">
      <w:pPr>
        <w:rPr>
          <w:rFonts w:asciiTheme="majorHAnsi" w:hAnsiTheme="majorHAnsi" w:cs="Tahoma"/>
          <w:b/>
          <w:bCs/>
          <w:sz w:val="22"/>
          <w:u w:val="single"/>
          <w:lang w:val="en-GB"/>
        </w:rPr>
      </w:pPr>
      <w:r>
        <w:rPr>
          <w:rFonts w:asciiTheme="majorHAnsi" w:hAnsiTheme="majorHAnsi" w:cs="Tahoma"/>
          <w:b/>
          <w:bCs/>
          <w:sz w:val="22"/>
          <w:u w:val="single"/>
          <w:lang w:val="en-GB"/>
        </w:rPr>
        <w:br w:type="page"/>
      </w:r>
    </w:p>
    <w:p w14:paraId="50874AB0" w14:textId="47F80AAF" w:rsidR="00E85A75" w:rsidRPr="00256168" w:rsidRDefault="00E85A75" w:rsidP="00887689">
      <w:pPr>
        <w:spacing w:line="276" w:lineRule="auto"/>
        <w:ind w:left="-851"/>
        <w:rPr>
          <w:rFonts w:asciiTheme="majorHAnsi" w:hAnsiTheme="majorHAnsi" w:cs="Tahoma"/>
          <w:b/>
          <w:bCs/>
          <w:sz w:val="22"/>
          <w:u w:val="single"/>
          <w:lang w:val="en-GB"/>
        </w:rPr>
      </w:pPr>
      <w:bookmarkStart w:id="0" w:name="_GoBack"/>
      <w:bookmarkEnd w:id="0"/>
      <w:r w:rsidRPr="00256168">
        <w:rPr>
          <w:rFonts w:asciiTheme="majorHAnsi" w:hAnsiTheme="majorHAnsi" w:cs="Tahoma"/>
          <w:b/>
          <w:bCs/>
          <w:sz w:val="22"/>
          <w:u w:val="single"/>
          <w:lang w:val="en-GB"/>
        </w:rPr>
        <w:lastRenderedPageBreak/>
        <w:t>CRR specific issues</w:t>
      </w:r>
    </w:p>
    <w:p w14:paraId="71492810" w14:textId="77777777" w:rsidR="001C7C58" w:rsidRPr="00256168" w:rsidRDefault="001C7C58" w:rsidP="00887689">
      <w:pPr>
        <w:spacing w:line="276" w:lineRule="auto"/>
        <w:ind w:left="-851"/>
        <w:rPr>
          <w:rFonts w:asciiTheme="majorHAnsi" w:hAnsiTheme="majorHAnsi" w:cs="Tahoma"/>
          <w:b/>
          <w:bCs/>
          <w:sz w:val="22"/>
          <w:u w:val="single"/>
          <w:lang w:val="en-GB"/>
        </w:rPr>
      </w:pPr>
    </w:p>
    <w:p w14:paraId="003C5F7C" w14:textId="5832CE7B" w:rsidR="00665201" w:rsidRPr="00256168" w:rsidRDefault="001C7C58" w:rsidP="00887689">
      <w:pPr>
        <w:spacing w:line="276" w:lineRule="auto"/>
        <w:ind w:left="-851"/>
        <w:rPr>
          <w:rFonts w:asciiTheme="majorHAnsi" w:hAnsiTheme="majorHAnsi" w:cs="Tahoma"/>
          <w:sz w:val="22"/>
          <w:lang w:val="en-GB"/>
        </w:rPr>
      </w:pPr>
      <w:r w:rsidRPr="00256168">
        <w:rPr>
          <w:rFonts w:asciiTheme="majorHAnsi" w:hAnsiTheme="majorHAnsi" w:cs="Tahoma"/>
          <w:bCs/>
          <w:sz w:val="22"/>
          <w:u w:val="single"/>
          <w:lang w:val="en-GB"/>
        </w:rPr>
        <w:t>Mezzanine securitisation positions in traditional securitisations and synthetic securitisations: threshold</w:t>
      </w:r>
      <w:r w:rsidRPr="00256168">
        <w:rPr>
          <w:rFonts w:asciiTheme="majorHAnsi" w:hAnsiTheme="majorHAnsi" w:cs="Tahoma"/>
          <w:bCs/>
          <w:sz w:val="22"/>
          <w:lang w:val="en-GB"/>
        </w:rPr>
        <w:t xml:space="preserve"> (CRR Article 244(2)(1)(a) and 245(2)(1)(a)</w:t>
      </w:r>
      <w:r w:rsidR="00003CE3">
        <w:rPr>
          <w:rFonts w:asciiTheme="majorHAnsi" w:hAnsiTheme="majorHAnsi" w:cs="Tahoma"/>
          <w:bCs/>
          <w:sz w:val="22"/>
          <w:lang w:val="en-GB"/>
        </w:rPr>
        <w:t>; L</w:t>
      </w:r>
      <w:r w:rsidRPr="00256168">
        <w:rPr>
          <w:rFonts w:asciiTheme="majorHAnsi" w:hAnsiTheme="majorHAnsi" w:cs="Tahoma"/>
          <w:bCs/>
          <w:sz w:val="22"/>
          <w:lang w:val="en-GB"/>
        </w:rPr>
        <w:t>ines 84 and 120</w:t>
      </w:r>
      <w:r w:rsidR="00003CE3">
        <w:rPr>
          <w:rFonts w:asciiTheme="majorHAnsi" w:hAnsiTheme="majorHAnsi" w:cs="Tahoma"/>
          <w:bCs/>
          <w:sz w:val="22"/>
          <w:lang w:val="en-GB"/>
        </w:rPr>
        <w:t>)</w:t>
      </w:r>
      <w:r w:rsidR="00887689" w:rsidRPr="00256168">
        <w:rPr>
          <w:rFonts w:asciiTheme="majorHAnsi" w:hAnsiTheme="majorHAnsi" w:cs="Tahoma"/>
          <w:bCs/>
          <w:sz w:val="22"/>
          <w:lang w:val="en-GB"/>
        </w:rPr>
        <w:t xml:space="preserve">: </w:t>
      </w:r>
      <w:r w:rsidR="00256168" w:rsidRPr="00256168">
        <w:rPr>
          <w:rFonts w:asciiTheme="majorHAnsi" w:hAnsiTheme="majorHAnsi" w:cs="Tahoma"/>
          <w:sz w:val="22"/>
          <w:lang w:val="en-GB"/>
        </w:rPr>
        <w:t xml:space="preserve">Agreement </w:t>
      </w:r>
      <w:r w:rsidR="00D3628A" w:rsidRPr="00256168">
        <w:rPr>
          <w:rFonts w:asciiTheme="majorHAnsi" w:hAnsiTheme="majorHAnsi" w:cs="Tahoma"/>
          <w:sz w:val="22"/>
          <w:lang w:val="en-GB"/>
        </w:rPr>
        <w:t xml:space="preserve">to </w:t>
      </w:r>
      <w:r w:rsidR="00256168" w:rsidRPr="00256168">
        <w:rPr>
          <w:rFonts w:asciiTheme="majorHAnsi" w:hAnsiTheme="majorHAnsi" w:cs="Tahoma"/>
          <w:sz w:val="22"/>
          <w:lang w:val="en-GB"/>
        </w:rPr>
        <w:t xml:space="preserve">retain the </w:t>
      </w:r>
      <w:r w:rsidR="00D3628A" w:rsidRPr="00256168">
        <w:rPr>
          <w:rFonts w:asciiTheme="majorHAnsi" w:hAnsiTheme="majorHAnsi" w:cs="Tahoma"/>
          <w:sz w:val="22"/>
          <w:lang w:val="en-GB"/>
        </w:rPr>
        <w:t xml:space="preserve">50% </w:t>
      </w:r>
      <w:r w:rsidR="00665201" w:rsidRPr="00256168">
        <w:rPr>
          <w:rFonts w:asciiTheme="majorHAnsi" w:hAnsiTheme="majorHAnsi" w:cs="Tahoma"/>
          <w:sz w:val="22"/>
          <w:lang w:val="en-GB"/>
        </w:rPr>
        <w:t>threshold.</w:t>
      </w:r>
    </w:p>
    <w:p w14:paraId="183C4547" w14:textId="77777777" w:rsidR="00887689" w:rsidRPr="00256168" w:rsidRDefault="00887689" w:rsidP="00887689">
      <w:pPr>
        <w:spacing w:line="276" w:lineRule="auto"/>
        <w:ind w:left="-851"/>
        <w:rPr>
          <w:rFonts w:asciiTheme="majorHAnsi" w:hAnsiTheme="majorHAnsi" w:cs="Tahoma"/>
          <w:sz w:val="22"/>
          <w:lang w:val="en-GB"/>
        </w:rPr>
      </w:pPr>
    </w:p>
    <w:p w14:paraId="5694F8E3" w14:textId="2199A2C9" w:rsidR="001C3BA5" w:rsidRPr="00256168" w:rsidRDefault="00665201" w:rsidP="00203920">
      <w:pPr>
        <w:spacing w:line="276" w:lineRule="auto"/>
        <w:ind w:left="-851"/>
        <w:rPr>
          <w:rFonts w:asciiTheme="majorHAnsi" w:hAnsiTheme="majorHAnsi" w:cs="Tahoma"/>
          <w:sz w:val="22"/>
          <w:lang w:val="en-GB"/>
        </w:rPr>
      </w:pPr>
      <w:r w:rsidRPr="00256168">
        <w:rPr>
          <w:rFonts w:asciiTheme="majorHAnsi" w:hAnsiTheme="majorHAnsi" w:cs="Tahoma"/>
          <w:bCs/>
          <w:sz w:val="22"/>
          <w:u w:val="single"/>
          <w:lang w:val="en-GB"/>
        </w:rPr>
        <w:t>Hierarchy of methods</w:t>
      </w:r>
      <w:r w:rsidRPr="00003CE3">
        <w:rPr>
          <w:rFonts w:asciiTheme="majorHAnsi" w:hAnsiTheme="majorHAnsi" w:cs="Tahoma"/>
          <w:bCs/>
          <w:sz w:val="22"/>
          <w:lang w:val="en-GB"/>
        </w:rPr>
        <w:t xml:space="preserve"> (CRR Article 254</w:t>
      </w:r>
      <w:r w:rsidRPr="00256168">
        <w:rPr>
          <w:rFonts w:asciiTheme="majorHAnsi" w:hAnsiTheme="majorHAnsi" w:cs="Tahoma"/>
          <w:bCs/>
          <w:sz w:val="22"/>
          <w:lang w:val="en-GB"/>
        </w:rPr>
        <w:t xml:space="preserve">: </w:t>
      </w:r>
      <w:r w:rsidR="00003CE3">
        <w:rPr>
          <w:rFonts w:asciiTheme="majorHAnsi" w:hAnsiTheme="majorHAnsi" w:cs="Tahoma"/>
          <w:bCs/>
          <w:sz w:val="22"/>
          <w:lang w:val="en-GB"/>
        </w:rPr>
        <w:t>L</w:t>
      </w:r>
      <w:r w:rsidRPr="00256168">
        <w:rPr>
          <w:rFonts w:asciiTheme="majorHAnsi" w:hAnsiTheme="majorHAnsi" w:cs="Tahoma"/>
          <w:bCs/>
          <w:sz w:val="22"/>
          <w:lang w:val="en-GB"/>
        </w:rPr>
        <w:t>ines 246-262</w:t>
      </w:r>
      <w:r w:rsidR="00003CE3">
        <w:rPr>
          <w:rFonts w:asciiTheme="majorHAnsi" w:hAnsiTheme="majorHAnsi" w:cs="Tahoma"/>
          <w:bCs/>
          <w:sz w:val="22"/>
          <w:lang w:val="en-GB"/>
        </w:rPr>
        <w:t>)</w:t>
      </w:r>
      <w:r w:rsidR="00256168" w:rsidRPr="00256168">
        <w:rPr>
          <w:rFonts w:asciiTheme="majorHAnsi" w:hAnsiTheme="majorHAnsi" w:cs="Tahoma"/>
          <w:bCs/>
          <w:sz w:val="22"/>
          <w:lang w:val="en-GB"/>
        </w:rPr>
        <w:t xml:space="preserve">: </w:t>
      </w:r>
      <w:r w:rsidR="00203920">
        <w:rPr>
          <w:rFonts w:asciiTheme="majorHAnsi" w:hAnsiTheme="majorHAnsi" w:cs="Tahoma"/>
          <w:bCs/>
          <w:sz w:val="22"/>
          <w:lang w:val="en-GB"/>
        </w:rPr>
        <w:t>Agreement to apply SEC-SA before SEC-ERBA with</w:t>
      </w:r>
      <w:r w:rsidR="00256168">
        <w:rPr>
          <w:rFonts w:asciiTheme="majorHAnsi" w:hAnsiTheme="majorHAnsi" w:cs="Tahoma"/>
          <w:bCs/>
          <w:sz w:val="22"/>
          <w:lang w:val="en-GB"/>
        </w:rPr>
        <w:t xml:space="preserve"> </w:t>
      </w:r>
      <w:r w:rsidR="00203920">
        <w:rPr>
          <w:rFonts w:asciiTheme="majorHAnsi" w:hAnsiTheme="majorHAnsi" w:cs="Tahoma"/>
          <w:bCs/>
          <w:sz w:val="22"/>
          <w:lang w:val="en-GB"/>
        </w:rPr>
        <w:t xml:space="preserve">a number of derogations and subject to </w:t>
      </w:r>
      <w:r w:rsidR="00256168">
        <w:rPr>
          <w:rFonts w:asciiTheme="majorHAnsi" w:hAnsiTheme="majorHAnsi" w:cs="Tahoma"/>
          <w:bCs/>
          <w:sz w:val="22"/>
          <w:lang w:val="en-GB"/>
        </w:rPr>
        <w:t xml:space="preserve">strict safeguards. </w:t>
      </w:r>
    </w:p>
    <w:p w14:paraId="0F32FBF5" w14:textId="77777777" w:rsidR="00DE323A" w:rsidRPr="00256168" w:rsidRDefault="00DE323A" w:rsidP="00887689">
      <w:pPr>
        <w:spacing w:line="276" w:lineRule="auto"/>
        <w:ind w:left="-851"/>
        <w:rPr>
          <w:rFonts w:asciiTheme="majorHAnsi" w:eastAsia="Calibri" w:hAnsiTheme="majorHAnsi" w:cs="Times New Roman"/>
          <w:color w:val="FF0000"/>
        </w:rPr>
      </w:pPr>
    </w:p>
    <w:p w14:paraId="31F89A01" w14:textId="692DCB05" w:rsidR="00DE323A" w:rsidRPr="00256168" w:rsidRDefault="00DE323A" w:rsidP="00887689">
      <w:pPr>
        <w:spacing w:line="276" w:lineRule="auto"/>
        <w:ind w:left="-851"/>
        <w:rPr>
          <w:rFonts w:asciiTheme="majorHAnsi" w:hAnsiTheme="majorHAnsi" w:cs="Tahoma"/>
          <w:bCs/>
          <w:sz w:val="22"/>
          <w:lang w:val="en-GB"/>
        </w:rPr>
      </w:pPr>
      <w:r w:rsidRPr="00256168">
        <w:rPr>
          <w:rFonts w:asciiTheme="majorHAnsi" w:hAnsiTheme="majorHAnsi" w:cs="Tahoma"/>
          <w:bCs/>
          <w:sz w:val="22"/>
          <w:u w:val="single"/>
          <w:lang w:val="en-GB"/>
        </w:rPr>
        <w:t>Senior positions in SME securitisations</w:t>
      </w:r>
      <w:r w:rsidRPr="00256168">
        <w:rPr>
          <w:rFonts w:asciiTheme="majorHAnsi" w:hAnsiTheme="majorHAnsi" w:cs="Tahoma"/>
          <w:bCs/>
          <w:sz w:val="22"/>
          <w:lang w:val="en-GB"/>
        </w:rPr>
        <w:t xml:space="preserve"> (CRR Article 270(e)): CRR line 567</w:t>
      </w:r>
      <w:r w:rsidR="00256168" w:rsidRPr="00256168">
        <w:rPr>
          <w:rFonts w:asciiTheme="majorHAnsi" w:hAnsiTheme="majorHAnsi" w:cs="Tahoma"/>
          <w:bCs/>
          <w:sz w:val="22"/>
          <w:lang w:val="en-GB"/>
        </w:rPr>
        <w:t xml:space="preserve">: Agreement to </w:t>
      </w:r>
      <w:r w:rsidR="00256168" w:rsidRPr="00256168">
        <w:rPr>
          <w:rFonts w:asciiTheme="majorHAnsi" w:hAnsiTheme="majorHAnsi" w:cs="Tahoma"/>
          <w:sz w:val="22"/>
          <w:lang w:val="en-GB"/>
        </w:rPr>
        <w:t>remove any reference to “cash assimilated instruments”. Agreement to limit it to just “cash on deposit” only.</w:t>
      </w:r>
    </w:p>
    <w:p w14:paraId="0906C2B0" w14:textId="77777777" w:rsidR="00665201" w:rsidRPr="00256168" w:rsidRDefault="00665201" w:rsidP="00887689">
      <w:pPr>
        <w:pStyle w:val="ListParagraph"/>
        <w:rPr>
          <w:rFonts w:asciiTheme="majorHAnsi" w:eastAsia="Calibri" w:hAnsiTheme="majorHAnsi" w:cs="Times New Roman"/>
        </w:rPr>
      </w:pPr>
    </w:p>
    <w:p w14:paraId="6367846C" w14:textId="6FB3D62D" w:rsidR="00B42791" w:rsidRPr="00256168" w:rsidRDefault="001C7C58" w:rsidP="00887689">
      <w:pPr>
        <w:spacing w:line="276" w:lineRule="auto"/>
        <w:ind w:left="-851"/>
        <w:rPr>
          <w:rFonts w:asciiTheme="majorHAnsi" w:hAnsiTheme="majorHAnsi" w:cs="Tahoma"/>
          <w:b/>
          <w:bCs/>
          <w:sz w:val="22"/>
          <w:szCs w:val="22"/>
          <w:lang w:val="en-GB"/>
        </w:rPr>
      </w:pPr>
      <w:r w:rsidRPr="00256168">
        <w:rPr>
          <w:rFonts w:asciiTheme="majorHAnsi" w:hAnsiTheme="majorHAnsi" w:cs="Tahoma"/>
          <w:b/>
          <w:bCs/>
          <w:sz w:val="22"/>
          <w:szCs w:val="22"/>
          <w:lang w:val="en-GB"/>
        </w:rPr>
        <w:t>Next Steps</w:t>
      </w:r>
    </w:p>
    <w:p w14:paraId="154FFCB4" w14:textId="77777777" w:rsidR="00B42791" w:rsidRPr="00256168" w:rsidRDefault="00B42791" w:rsidP="00887689">
      <w:pPr>
        <w:spacing w:line="276" w:lineRule="auto"/>
        <w:ind w:left="-851"/>
        <w:rPr>
          <w:rFonts w:asciiTheme="majorHAnsi" w:hAnsiTheme="majorHAnsi" w:cs="Tahoma"/>
          <w:b/>
          <w:bCs/>
          <w:sz w:val="22"/>
          <w:szCs w:val="22"/>
          <w:lang w:val="en-GB"/>
        </w:rPr>
      </w:pPr>
    </w:p>
    <w:p w14:paraId="389E3439" w14:textId="7145C359" w:rsidR="00B42791" w:rsidRPr="00256168" w:rsidRDefault="00B42791" w:rsidP="008F3155">
      <w:pPr>
        <w:spacing w:line="276" w:lineRule="auto"/>
        <w:ind w:left="-851"/>
        <w:rPr>
          <w:rFonts w:asciiTheme="majorHAnsi" w:hAnsiTheme="majorHAnsi"/>
          <w:sz w:val="22"/>
          <w:szCs w:val="22"/>
        </w:rPr>
      </w:pPr>
      <w:r w:rsidRPr="00256168">
        <w:rPr>
          <w:rFonts w:asciiTheme="majorHAnsi" w:hAnsiTheme="majorHAnsi"/>
          <w:sz w:val="22"/>
          <w:szCs w:val="22"/>
        </w:rPr>
        <w:t>Based on the agreements found, the Presidency</w:t>
      </w:r>
      <w:r w:rsidR="008F3155">
        <w:rPr>
          <w:rFonts w:asciiTheme="majorHAnsi" w:hAnsiTheme="majorHAnsi"/>
          <w:sz w:val="22"/>
          <w:szCs w:val="22"/>
        </w:rPr>
        <w:t>,</w:t>
      </w:r>
      <w:r w:rsidRPr="00256168">
        <w:rPr>
          <w:rFonts w:asciiTheme="majorHAnsi" w:hAnsiTheme="majorHAnsi"/>
          <w:sz w:val="22"/>
          <w:szCs w:val="22"/>
        </w:rPr>
        <w:t xml:space="preserve"> the Parliament </w:t>
      </w:r>
      <w:r w:rsidR="008F3155">
        <w:rPr>
          <w:rFonts w:asciiTheme="majorHAnsi" w:hAnsiTheme="majorHAnsi"/>
          <w:sz w:val="22"/>
          <w:szCs w:val="22"/>
        </w:rPr>
        <w:t xml:space="preserve">and the Commission </w:t>
      </w:r>
      <w:r w:rsidRPr="00256168">
        <w:rPr>
          <w:rFonts w:asciiTheme="majorHAnsi" w:hAnsiTheme="majorHAnsi"/>
          <w:sz w:val="22"/>
          <w:szCs w:val="22"/>
        </w:rPr>
        <w:t>are now working on the fin</w:t>
      </w:r>
      <w:r w:rsidR="00F734B6" w:rsidRPr="00256168">
        <w:rPr>
          <w:rFonts w:asciiTheme="majorHAnsi" w:hAnsiTheme="majorHAnsi"/>
          <w:sz w:val="22"/>
          <w:szCs w:val="22"/>
        </w:rPr>
        <w:t>al agreement at technical level with a</w:t>
      </w:r>
      <w:r w:rsidRPr="00256168">
        <w:rPr>
          <w:rFonts w:asciiTheme="majorHAnsi" w:hAnsiTheme="majorHAnsi"/>
          <w:sz w:val="22"/>
          <w:szCs w:val="22"/>
        </w:rPr>
        <w:t xml:space="preserve"> substantial level of technical work</w:t>
      </w:r>
      <w:r w:rsidR="00F734B6" w:rsidRPr="00256168">
        <w:rPr>
          <w:rFonts w:asciiTheme="majorHAnsi" w:hAnsiTheme="majorHAnsi"/>
          <w:sz w:val="22"/>
          <w:szCs w:val="22"/>
        </w:rPr>
        <w:t xml:space="preserve"> that</w:t>
      </w:r>
      <w:r w:rsidRPr="00256168">
        <w:rPr>
          <w:rFonts w:asciiTheme="majorHAnsi" w:hAnsiTheme="majorHAnsi"/>
          <w:sz w:val="22"/>
          <w:szCs w:val="22"/>
        </w:rPr>
        <w:t xml:space="preserve"> still</w:t>
      </w:r>
      <w:r w:rsidR="00F734B6" w:rsidRPr="00256168">
        <w:rPr>
          <w:rFonts w:asciiTheme="majorHAnsi" w:hAnsiTheme="majorHAnsi"/>
          <w:sz w:val="22"/>
          <w:szCs w:val="22"/>
        </w:rPr>
        <w:t xml:space="preserve"> needs to be completed. Once technical discussions are completed, the Presidency intends to send</w:t>
      </w:r>
      <w:r w:rsidRPr="00256168">
        <w:rPr>
          <w:rFonts w:asciiTheme="majorHAnsi" w:hAnsiTheme="majorHAnsi"/>
          <w:sz w:val="22"/>
          <w:szCs w:val="22"/>
        </w:rPr>
        <w:t xml:space="preserve"> the final compromise text to delegations for their scrutiny</w:t>
      </w:r>
      <w:r w:rsidR="008F3155">
        <w:rPr>
          <w:rFonts w:asciiTheme="majorHAnsi" w:hAnsiTheme="majorHAnsi"/>
          <w:sz w:val="22"/>
          <w:szCs w:val="22"/>
        </w:rPr>
        <w:t xml:space="preserve"> in a silence procedure</w:t>
      </w:r>
      <w:r w:rsidRPr="00256168">
        <w:rPr>
          <w:rFonts w:asciiTheme="majorHAnsi" w:hAnsiTheme="majorHAnsi"/>
          <w:sz w:val="22"/>
          <w:szCs w:val="22"/>
        </w:rPr>
        <w:t xml:space="preserve">. Subject to final agreement by delegations and the EP's negotiating team, the Presidency plans to bring the file to </w:t>
      </w:r>
      <w:r w:rsidR="005F6667">
        <w:rPr>
          <w:rFonts w:asciiTheme="majorHAnsi" w:hAnsiTheme="majorHAnsi"/>
          <w:sz w:val="22"/>
          <w:szCs w:val="22"/>
        </w:rPr>
        <w:t xml:space="preserve">COREPER as an I-item. </w:t>
      </w:r>
    </w:p>
    <w:p w14:paraId="28463657" w14:textId="77777777" w:rsidR="00F734B6" w:rsidRPr="00256168" w:rsidRDefault="00F734B6" w:rsidP="00887689">
      <w:pPr>
        <w:spacing w:line="276" w:lineRule="auto"/>
        <w:ind w:left="-851"/>
        <w:rPr>
          <w:rFonts w:asciiTheme="majorHAnsi" w:hAnsiTheme="majorHAnsi"/>
          <w:sz w:val="22"/>
          <w:szCs w:val="22"/>
        </w:rPr>
      </w:pPr>
    </w:p>
    <w:p w14:paraId="289F73F6" w14:textId="31B4A8C8" w:rsidR="00F734B6" w:rsidRPr="00256168" w:rsidRDefault="00F734B6" w:rsidP="00887689">
      <w:pPr>
        <w:spacing w:line="276" w:lineRule="auto"/>
        <w:ind w:left="-851"/>
        <w:rPr>
          <w:rFonts w:asciiTheme="majorHAnsi" w:hAnsiTheme="majorHAnsi" w:cs="Tahoma"/>
          <w:b/>
          <w:bCs/>
          <w:sz w:val="22"/>
          <w:szCs w:val="22"/>
          <w:lang w:val="en-GB"/>
        </w:rPr>
      </w:pPr>
      <w:r w:rsidRPr="00256168">
        <w:rPr>
          <w:rFonts w:asciiTheme="majorHAnsi" w:hAnsiTheme="majorHAnsi"/>
          <w:sz w:val="22"/>
          <w:szCs w:val="22"/>
        </w:rPr>
        <w:t xml:space="preserve">The Presidency wishes to thank all delegations for their </w:t>
      </w:r>
      <w:r w:rsidR="006B3A1B" w:rsidRPr="00256168">
        <w:rPr>
          <w:rFonts w:asciiTheme="majorHAnsi" w:hAnsiTheme="majorHAnsi"/>
          <w:sz w:val="22"/>
          <w:szCs w:val="22"/>
        </w:rPr>
        <w:t xml:space="preserve">hard work, commitment and </w:t>
      </w:r>
      <w:r w:rsidRPr="00256168">
        <w:rPr>
          <w:rFonts w:asciiTheme="majorHAnsi" w:hAnsiTheme="majorHAnsi"/>
          <w:sz w:val="22"/>
          <w:szCs w:val="22"/>
        </w:rPr>
        <w:t xml:space="preserve">continued constructive </w:t>
      </w:r>
      <w:r w:rsidR="006B3A1B" w:rsidRPr="00256168">
        <w:rPr>
          <w:rFonts w:asciiTheme="majorHAnsi" w:hAnsiTheme="majorHAnsi"/>
          <w:sz w:val="22"/>
          <w:szCs w:val="22"/>
        </w:rPr>
        <w:t xml:space="preserve">approach to the STS </w:t>
      </w:r>
      <w:r w:rsidR="008F3155">
        <w:rPr>
          <w:rFonts w:asciiTheme="majorHAnsi" w:hAnsiTheme="majorHAnsi"/>
          <w:sz w:val="22"/>
          <w:szCs w:val="22"/>
        </w:rPr>
        <w:t xml:space="preserve">and CRR </w:t>
      </w:r>
      <w:r w:rsidR="006B3A1B" w:rsidRPr="00256168">
        <w:rPr>
          <w:rFonts w:asciiTheme="majorHAnsi" w:hAnsiTheme="majorHAnsi"/>
          <w:sz w:val="22"/>
          <w:szCs w:val="22"/>
        </w:rPr>
        <w:t>negotiations.</w:t>
      </w:r>
    </w:p>
    <w:p w14:paraId="08305B5E" w14:textId="77777777" w:rsidR="00112F48" w:rsidRPr="00256168" w:rsidRDefault="00112F48" w:rsidP="00887689">
      <w:pPr>
        <w:spacing w:line="276" w:lineRule="auto"/>
        <w:ind w:left="-851"/>
        <w:rPr>
          <w:rFonts w:asciiTheme="majorHAnsi" w:hAnsiTheme="majorHAnsi" w:cs="Tahoma"/>
          <w:bCs/>
          <w:sz w:val="22"/>
          <w:lang w:val="en-GB"/>
        </w:rPr>
      </w:pPr>
    </w:p>
    <w:p w14:paraId="422DE510" w14:textId="77777777" w:rsidR="00EB7B12" w:rsidRPr="00256168" w:rsidRDefault="000A4C4A" w:rsidP="00132E21">
      <w:pPr>
        <w:spacing w:after="240" w:line="276" w:lineRule="auto"/>
        <w:ind w:left="-851"/>
        <w:jc w:val="center"/>
        <w:rPr>
          <w:rFonts w:asciiTheme="majorHAnsi" w:hAnsiTheme="majorHAnsi" w:cs="Tahoma"/>
          <w:sz w:val="22"/>
          <w:lang w:val="en-GB"/>
        </w:rPr>
        <w:sectPr w:rsidR="00EB7B12" w:rsidRPr="00256168" w:rsidSect="009E4B8F">
          <w:headerReference w:type="even" r:id="rId9"/>
          <w:headerReference w:type="default" r:id="rId10"/>
          <w:footerReference w:type="default" r:id="rId11"/>
          <w:pgSz w:w="11900" w:h="16840"/>
          <w:pgMar w:top="2694" w:right="2261" w:bottom="1440" w:left="1800" w:header="708" w:footer="708" w:gutter="0"/>
          <w:cols w:space="708"/>
          <w:docGrid w:linePitch="360"/>
        </w:sectPr>
      </w:pPr>
      <w:r w:rsidRPr="00256168">
        <w:rPr>
          <w:rFonts w:asciiTheme="majorHAnsi" w:hAnsiTheme="majorHAnsi" w:cs="Tahoma"/>
          <w:b/>
          <w:sz w:val="22"/>
          <w:lang w:val="en-GB"/>
        </w:rPr>
        <w:t>___________________________</w:t>
      </w:r>
    </w:p>
    <w:p w14:paraId="75B96E53" w14:textId="77777777" w:rsidR="000A4C4A" w:rsidRPr="00256168" w:rsidRDefault="000A4C4A" w:rsidP="00887689">
      <w:pPr>
        <w:rPr>
          <w:rFonts w:asciiTheme="majorHAnsi" w:hAnsiTheme="majorHAnsi" w:cs="Tahoma"/>
          <w:b/>
          <w:sz w:val="22"/>
          <w:lang w:val="en-GB"/>
        </w:rPr>
      </w:pPr>
    </w:p>
    <w:sectPr w:rsidR="000A4C4A" w:rsidRPr="00256168" w:rsidSect="00EB7B1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601F1B" w15:done="0"/>
  <w15:commentEx w15:paraId="2263A598" w15:done="0"/>
  <w15:commentEx w15:paraId="63D46CF7" w15:done="0"/>
  <w15:commentEx w15:paraId="67653B23" w15:done="0"/>
  <w15:commentEx w15:paraId="4DD145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BD14" w14:textId="77777777" w:rsidR="009C6362" w:rsidRDefault="009C6362" w:rsidP="00565CAF">
      <w:r>
        <w:separator/>
      </w:r>
    </w:p>
  </w:endnote>
  <w:endnote w:type="continuationSeparator" w:id="0">
    <w:p w14:paraId="72AC9C31" w14:textId="77777777" w:rsidR="009C6362" w:rsidRDefault="009C6362" w:rsidP="005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F936" w14:textId="77777777" w:rsidR="00927D75" w:rsidRDefault="00927D7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9B477C7" wp14:editId="5B63F105">
          <wp:simplePos x="0" y="0"/>
          <wp:positionH relativeFrom="column">
            <wp:posOffset>4123055</wp:posOffset>
          </wp:positionH>
          <wp:positionV relativeFrom="paragraph">
            <wp:posOffset>-435610</wp:posOffset>
          </wp:positionV>
          <wp:extent cx="1782445" cy="1261110"/>
          <wp:effectExtent l="0" t="0" r="0" b="0"/>
          <wp:wrapNone/>
          <wp:docPr id="10" name="Picture 13" descr="MT EU 2017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 EU 2017 LOGO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45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39" behindDoc="1" locked="0" layoutInCell="1" allowOverlap="1" wp14:anchorId="242243F4" wp14:editId="5195BA23">
          <wp:simplePos x="0" y="0"/>
          <wp:positionH relativeFrom="column">
            <wp:posOffset>-1181735</wp:posOffset>
          </wp:positionH>
          <wp:positionV relativeFrom="paragraph">
            <wp:posOffset>-273685</wp:posOffset>
          </wp:positionV>
          <wp:extent cx="46151800" cy="925830"/>
          <wp:effectExtent l="19050" t="0" r="635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new-3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82"/>
                  <a:stretch/>
                </pic:blipFill>
                <pic:spPr bwMode="auto">
                  <a:xfrm>
                    <a:off x="0" y="0"/>
                    <a:ext cx="46151800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812AA07" wp14:editId="7F11BC29">
          <wp:simplePos x="0" y="0"/>
          <wp:positionH relativeFrom="column">
            <wp:posOffset>-1146810</wp:posOffset>
          </wp:positionH>
          <wp:positionV relativeFrom="paragraph">
            <wp:posOffset>-366395</wp:posOffset>
          </wp:positionV>
          <wp:extent cx="4830445" cy="914400"/>
          <wp:effectExtent l="1905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new-3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91" r="36371"/>
                  <a:stretch/>
                </pic:blipFill>
                <pic:spPr bwMode="auto">
                  <a:xfrm>
                    <a:off x="0" y="0"/>
                    <a:ext cx="483044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2E50" w14:textId="77777777" w:rsidR="00927D75" w:rsidRDefault="00927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625C" w14:textId="77777777" w:rsidR="009C6362" w:rsidRDefault="009C6362" w:rsidP="00565CAF">
      <w:r>
        <w:separator/>
      </w:r>
    </w:p>
  </w:footnote>
  <w:footnote w:type="continuationSeparator" w:id="0">
    <w:p w14:paraId="7196F79E" w14:textId="77777777" w:rsidR="009C6362" w:rsidRDefault="009C6362" w:rsidP="0056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965B" w14:textId="77777777" w:rsidR="00927D75" w:rsidRDefault="00751FF4">
    <w:pPr>
      <w:pStyle w:val="Header"/>
    </w:pPr>
    <w:sdt>
      <w:sdtPr>
        <w:id w:val="-1498260991"/>
        <w:placeholder>
          <w:docPart w:val="694BE76F7F110149A3EA3D4A60B49B87"/>
        </w:placeholder>
        <w:temporary/>
        <w:showingPlcHdr/>
      </w:sdtPr>
      <w:sdtEndPr/>
      <w:sdtContent>
        <w:r w:rsidR="00927D75">
          <w:t>[Type text]</w:t>
        </w:r>
      </w:sdtContent>
    </w:sdt>
    <w:r w:rsidR="00927D75">
      <w:ptab w:relativeTo="margin" w:alignment="center" w:leader="none"/>
    </w:r>
    <w:sdt>
      <w:sdtPr>
        <w:id w:val="1028074156"/>
        <w:placeholder>
          <w:docPart w:val="947F6E819EE22440AEC5E37ED8EA8062"/>
        </w:placeholder>
        <w:temporary/>
        <w:showingPlcHdr/>
      </w:sdtPr>
      <w:sdtEndPr/>
      <w:sdtContent>
        <w:r w:rsidR="00927D75">
          <w:t>[Type text]</w:t>
        </w:r>
      </w:sdtContent>
    </w:sdt>
    <w:r w:rsidR="00927D75">
      <w:ptab w:relativeTo="margin" w:alignment="right" w:leader="none"/>
    </w:r>
    <w:sdt>
      <w:sdtPr>
        <w:id w:val="1441420009"/>
        <w:placeholder>
          <w:docPart w:val="FCC00CF07593A148B2D59FC46B9C6919"/>
        </w:placeholder>
        <w:temporary/>
        <w:showingPlcHdr/>
      </w:sdtPr>
      <w:sdtEndPr/>
      <w:sdtContent>
        <w:r w:rsidR="00927D75">
          <w:t>[Type text]</w:t>
        </w:r>
      </w:sdtContent>
    </w:sdt>
  </w:p>
  <w:p w14:paraId="42B4E10C" w14:textId="77777777" w:rsidR="00927D75" w:rsidRDefault="00927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52E" w14:textId="77777777" w:rsidR="00927D75" w:rsidRDefault="00927D7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0B4BF2" wp14:editId="7B6D8C54">
              <wp:simplePos x="0" y="0"/>
              <wp:positionH relativeFrom="column">
                <wp:posOffset>-680720</wp:posOffset>
              </wp:positionH>
              <wp:positionV relativeFrom="paragraph">
                <wp:posOffset>236220</wp:posOffset>
              </wp:positionV>
              <wp:extent cx="4000500" cy="695325"/>
              <wp:effectExtent l="0" t="0" r="4445" b="0"/>
              <wp:wrapNone/>
              <wp:docPr id="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4CE74" w14:textId="77777777" w:rsidR="00927D75" w:rsidRDefault="00927D75" w:rsidP="00550EB6">
                          <w:pPr>
                            <w:rPr>
                              <w:rFonts w:ascii="Tahoma" w:hAnsi="Tahoma"/>
                              <w:b/>
                              <w:color w:val="2692A5"/>
                            </w:rPr>
                          </w:pPr>
                          <w:r w:rsidRPr="000A4C4A">
                            <w:rPr>
                              <w:rFonts w:ascii="Tahoma" w:hAnsi="Tahoma"/>
                              <w:b/>
                              <w:color w:val="2692A5"/>
                              <w:lang w:val="en-GB"/>
                            </w:rPr>
                            <w:t>Securitisation</w:t>
                          </w:r>
                        </w:p>
                        <w:p w14:paraId="27A0E733" w14:textId="77777777" w:rsidR="00927D75" w:rsidRDefault="00927D75" w:rsidP="009B7B12">
                          <w:pPr>
                            <w:rPr>
                              <w:rFonts w:ascii="Tahoma" w:hAnsi="Tahoma"/>
                              <w:b/>
                              <w:color w:val="2692A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692A5"/>
                            </w:rPr>
                            <w:t>Final Political Trilogue on 30 May 2017</w:t>
                          </w:r>
                        </w:p>
                        <w:p w14:paraId="62D245B3" w14:textId="77777777" w:rsidR="00927D75" w:rsidRDefault="00927D75" w:rsidP="00550EB6">
                          <w:pPr>
                            <w:rPr>
                              <w:rFonts w:ascii="Tahoma" w:hAnsi="Tahoma"/>
                              <w:b/>
                              <w:color w:val="2692A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692A5"/>
                            </w:rPr>
                            <w:t>FROM: Presidency</w:t>
                          </w:r>
                        </w:p>
                        <w:p w14:paraId="37C8E162" w14:textId="77777777" w:rsidR="00927D75" w:rsidRPr="00386663" w:rsidRDefault="00927D75" w:rsidP="00550EB6">
                          <w:pPr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0B4B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3.6pt;margin-top:18.6pt;width:31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MQ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" filled="f" stroked="f">
              <v:textbox>
                <w:txbxContent>
                  <w:p w14:paraId="01F4CE74" w14:textId="77777777" w:rsidR="00927D75" w:rsidRDefault="00927D75" w:rsidP="00550EB6">
                    <w:pPr>
                      <w:rPr>
                        <w:rFonts w:ascii="Tahoma" w:hAnsi="Tahoma"/>
                        <w:b/>
                        <w:color w:val="2692A5"/>
                      </w:rPr>
                    </w:pPr>
                    <w:r w:rsidRPr="000A4C4A">
                      <w:rPr>
                        <w:rFonts w:ascii="Tahoma" w:hAnsi="Tahoma"/>
                        <w:b/>
                        <w:color w:val="2692A5"/>
                        <w:lang w:val="en-GB"/>
                      </w:rPr>
                      <w:t>Securitisation</w:t>
                    </w:r>
                  </w:p>
                  <w:p w14:paraId="27A0E733" w14:textId="77777777" w:rsidR="00927D75" w:rsidRDefault="00927D75" w:rsidP="009B7B12">
                    <w:pPr>
                      <w:rPr>
                        <w:rFonts w:ascii="Tahoma" w:hAnsi="Tahoma"/>
                        <w:b/>
                        <w:color w:val="2692A5"/>
                      </w:rPr>
                    </w:pPr>
                    <w:r>
                      <w:rPr>
                        <w:rFonts w:ascii="Tahoma" w:hAnsi="Tahoma"/>
                        <w:b/>
                        <w:color w:val="2692A5"/>
                      </w:rPr>
                      <w:t>Final Political Trilogue on 30 May 2017</w:t>
                    </w:r>
                  </w:p>
                  <w:p w14:paraId="62D245B3" w14:textId="77777777" w:rsidR="00927D75" w:rsidRDefault="00927D75" w:rsidP="00550EB6">
                    <w:pPr>
                      <w:rPr>
                        <w:rFonts w:ascii="Tahoma" w:hAnsi="Tahoma"/>
                        <w:b/>
                        <w:color w:val="2692A5"/>
                      </w:rPr>
                    </w:pPr>
                    <w:r>
                      <w:rPr>
                        <w:rFonts w:ascii="Tahoma" w:hAnsi="Tahoma"/>
                        <w:b/>
                        <w:color w:val="2692A5"/>
                      </w:rPr>
                      <w:t>FROM: Presidency</w:t>
                    </w:r>
                  </w:p>
                  <w:p w14:paraId="37C8E162" w14:textId="77777777" w:rsidR="00927D75" w:rsidRPr="00386663" w:rsidRDefault="00927D75" w:rsidP="00550EB6">
                    <w:pPr>
                      <w:rPr>
                        <w:rFonts w:ascii="Tahoma" w:hAnsi="Tahoma"/>
                      </w:rPr>
                    </w:pPr>
                  </w:p>
                </w:txbxContent>
              </v:textbox>
            </v:shape>
          </w:pict>
        </mc:Fallback>
      </mc:AlternateContent>
    </w:r>
    <w:r w:rsidRPr="00AE7E76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4AD77D0" wp14:editId="7DDA45CB">
          <wp:simplePos x="0" y="0"/>
          <wp:positionH relativeFrom="column">
            <wp:posOffset>3238500</wp:posOffset>
          </wp:positionH>
          <wp:positionV relativeFrom="paragraph">
            <wp:posOffset>-449580</wp:posOffset>
          </wp:positionV>
          <wp:extent cx="3324225" cy="347662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5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347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73BC24" w14:textId="77777777" w:rsidR="00927D75" w:rsidRDefault="00927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60EF" w14:textId="77777777" w:rsidR="00927D75" w:rsidRDefault="00927D75">
    <w:pPr>
      <w:pStyle w:val="Header"/>
    </w:pPr>
  </w:p>
  <w:p w14:paraId="1BD99707" w14:textId="77777777" w:rsidR="00927D75" w:rsidRDefault="00927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584"/>
    <w:multiLevelType w:val="hybridMultilevel"/>
    <w:tmpl w:val="497EB4C0"/>
    <w:lvl w:ilvl="0" w:tplc="08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FCE43B48">
      <w:start w:val="254"/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0C5064E"/>
    <w:multiLevelType w:val="hybridMultilevel"/>
    <w:tmpl w:val="0D26A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BE2"/>
    <w:multiLevelType w:val="hybridMultilevel"/>
    <w:tmpl w:val="57C6BA60"/>
    <w:lvl w:ilvl="0" w:tplc="70AA9D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E43B48">
      <w:start w:val="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522E"/>
    <w:multiLevelType w:val="hybridMultilevel"/>
    <w:tmpl w:val="110EA6D4"/>
    <w:lvl w:ilvl="0" w:tplc="08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63241EA"/>
    <w:multiLevelType w:val="hybridMultilevel"/>
    <w:tmpl w:val="0256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5623"/>
    <w:multiLevelType w:val="hybridMultilevel"/>
    <w:tmpl w:val="7B4EEF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42458"/>
    <w:multiLevelType w:val="hybridMultilevel"/>
    <w:tmpl w:val="140C94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A3DC6"/>
    <w:multiLevelType w:val="hybridMultilevel"/>
    <w:tmpl w:val="0E506E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CA3"/>
    <w:multiLevelType w:val="hybridMultilevel"/>
    <w:tmpl w:val="1AB0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846B0"/>
    <w:multiLevelType w:val="hybridMultilevel"/>
    <w:tmpl w:val="0AE07AE8"/>
    <w:lvl w:ilvl="0" w:tplc="70AA9D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E43B48">
      <w:start w:val="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6597"/>
    <w:multiLevelType w:val="hybridMultilevel"/>
    <w:tmpl w:val="3710EE4A"/>
    <w:lvl w:ilvl="0" w:tplc="FDF09D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82EF2"/>
    <w:multiLevelType w:val="hybridMultilevel"/>
    <w:tmpl w:val="CA4C51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842D7"/>
    <w:multiLevelType w:val="hybridMultilevel"/>
    <w:tmpl w:val="03D0C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6F1"/>
    <w:multiLevelType w:val="hybridMultilevel"/>
    <w:tmpl w:val="FAC4F0C4"/>
    <w:lvl w:ilvl="0" w:tplc="08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786C0C87"/>
    <w:multiLevelType w:val="hybridMultilevel"/>
    <w:tmpl w:val="783AA5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EA852DF"/>
    <w:multiLevelType w:val="hybridMultilevel"/>
    <w:tmpl w:val="1DE423F6"/>
    <w:lvl w:ilvl="0" w:tplc="FCE43B48">
      <w:start w:val="2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elc066">
    <w15:presenceInfo w15:providerId="None" w15:userId="abelc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AF"/>
    <w:rsid w:val="00003CE3"/>
    <w:rsid w:val="00030827"/>
    <w:rsid w:val="00035B5E"/>
    <w:rsid w:val="00042894"/>
    <w:rsid w:val="000429F1"/>
    <w:rsid w:val="000677C7"/>
    <w:rsid w:val="000A4C4A"/>
    <w:rsid w:val="000B6064"/>
    <w:rsid w:val="000C29F0"/>
    <w:rsid w:val="000C6CCF"/>
    <w:rsid w:val="000E1DE1"/>
    <w:rsid w:val="000F2746"/>
    <w:rsid w:val="000F54BB"/>
    <w:rsid w:val="001054C9"/>
    <w:rsid w:val="00112F48"/>
    <w:rsid w:val="00117B6E"/>
    <w:rsid w:val="00132E21"/>
    <w:rsid w:val="001333CF"/>
    <w:rsid w:val="00134083"/>
    <w:rsid w:val="00135DD2"/>
    <w:rsid w:val="00154B64"/>
    <w:rsid w:val="001575D4"/>
    <w:rsid w:val="00160AC8"/>
    <w:rsid w:val="00167614"/>
    <w:rsid w:val="001741B3"/>
    <w:rsid w:val="001A325A"/>
    <w:rsid w:val="001A4429"/>
    <w:rsid w:val="001B4C80"/>
    <w:rsid w:val="001C288B"/>
    <w:rsid w:val="001C3BA5"/>
    <w:rsid w:val="001C7C58"/>
    <w:rsid w:val="001D1027"/>
    <w:rsid w:val="001E1FE6"/>
    <w:rsid w:val="00203920"/>
    <w:rsid w:val="00225F01"/>
    <w:rsid w:val="0025156A"/>
    <w:rsid w:val="00256168"/>
    <w:rsid w:val="00274522"/>
    <w:rsid w:val="00276CA4"/>
    <w:rsid w:val="0028440B"/>
    <w:rsid w:val="002B5195"/>
    <w:rsid w:val="002B7E35"/>
    <w:rsid w:val="002C2879"/>
    <w:rsid w:val="002C653E"/>
    <w:rsid w:val="002C78D3"/>
    <w:rsid w:val="002E2A0E"/>
    <w:rsid w:val="002E36C4"/>
    <w:rsid w:val="002E71FC"/>
    <w:rsid w:val="002F53C7"/>
    <w:rsid w:val="00301D6D"/>
    <w:rsid w:val="00303FE0"/>
    <w:rsid w:val="003065C8"/>
    <w:rsid w:val="003304DD"/>
    <w:rsid w:val="00331F45"/>
    <w:rsid w:val="00336AE1"/>
    <w:rsid w:val="00386663"/>
    <w:rsid w:val="003A3551"/>
    <w:rsid w:val="003A5459"/>
    <w:rsid w:val="003B0AC6"/>
    <w:rsid w:val="003B23FC"/>
    <w:rsid w:val="003C099F"/>
    <w:rsid w:val="003C71DB"/>
    <w:rsid w:val="003D7630"/>
    <w:rsid w:val="003F3B70"/>
    <w:rsid w:val="003F3C7E"/>
    <w:rsid w:val="004227DF"/>
    <w:rsid w:val="00425BA6"/>
    <w:rsid w:val="00442CFE"/>
    <w:rsid w:val="00442EDF"/>
    <w:rsid w:val="00445904"/>
    <w:rsid w:val="004840D8"/>
    <w:rsid w:val="0049117C"/>
    <w:rsid w:val="00497E21"/>
    <w:rsid w:val="004B4DB6"/>
    <w:rsid w:val="004D4DCB"/>
    <w:rsid w:val="00502CC7"/>
    <w:rsid w:val="00506C17"/>
    <w:rsid w:val="0051528A"/>
    <w:rsid w:val="00522901"/>
    <w:rsid w:val="00522B21"/>
    <w:rsid w:val="005303EF"/>
    <w:rsid w:val="00534637"/>
    <w:rsid w:val="00542732"/>
    <w:rsid w:val="00546053"/>
    <w:rsid w:val="00550EB6"/>
    <w:rsid w:val="00563340"/>
    <w:rsid w:val="00565CAF"/>
    <w:rsid w:val="00567AC8"/>
    <w:rsid w:val="00573DA8"/>
    <w:rsid w:val="005A6CB6"/>
    <w:rsid w:val="005A744A"/>
    <w:rsid w:val="005C5E88"/>
    <w:rsid w:val="005D120B"/>
    <w:rsid w:val="005D5DBB"/>
    <w:rsid w:val="005D60B6"/>
    <w:rsid w:val="005F6667"/>
    <w:rsid w:val="00607853"/>
    <w:rsid w:val="0062777E"/>
    <w:rsid w:val="00634B56"/>
    <w:rsid w:val="00640E67"/>
    <w:rsid w:val="0065222E"/>
    <w:rsid w:val="00654D4C"/>
    <w:rsid w:val="006579D0"/>
    <w:rsid w:val="00665201"/>
    <w:rsid w:val="006963F8"/>
    <w:rsid w:val="006B1AFC"/>
    <w:rsid w:val="006B3A1B"/>
    <w:rsid w:val="006B556C"/>
    <w:rsid w:val="006C0729"/>
    <w:rsid w:val="006C2296"/>
    <w:rsid w:val="006C31FF"/>
    <w:rsid w:val="006C6C02"/>
    <w:rsid w:val="006F29F9"/>
    <w:rsid w:val="006F2B8A"/>
    <w:rsid w:val="00702277"/>
    <w:rsid w:val="00707179"/>
    <w:rsid w:val="007205FD"/>
    <w:rsid w:val="00751FF4"/>
    <w:rsid w:val="007560F9"/>
    <w:rsid w:val="00763A31"/>
    <w:rsid w:val="007673DF"/>
    <w:rsid w:val="00775601"/>
    <w:rsid w:val="00785769"/>
    <w:rsid w:val="007918A0"/>
    <w:rsid w:val="0079340C"/>
    <w:rsid w:val="007A2138"/>
    <w:rsid w:val="007F39F2"/>
    <w:rsid w:val="007F5E40"/>
    <w:rsid w:val="008004C9"/>
    <w:rsid w:val="008142A7"/>
    <w:rsid w:val="00823353"/>
    <w:rsid w:val="00825386"/>
    <w:rsid w:val="00847848"/>
    <w:rsid w:val="0085510C"/>
    <w:rsid w:val="00865D11"/>
    <w:rsid w:val="008772D6"/>
    <w:rsid w:val="00887689"/>
    <w:rsid w:val="00892206"/>
    <w:rsid w:val="008A560D"/>
    <w:rsid w:val="008A6800"/>
    <w:rsid w:val="008B2E6C"/>
    <w:rsid w:val="008D081D"/>
    <w:rsid w:val="008D2327"/>
    <w:rsid w:val="008F3155"/>
    <w:rsid w:val="008F79D3"/>
    <w:rsid w:val="00905E0D"/>
    <w:rsid w:val="0091586D"/>
    <w:rsid w:val="009160E9"/>
    <w:rsid w:val="00927D75"/>
    <w:rsid w:val="009314D0"/>
    <w:rsid w:val="00933ABF"/>
    <w:rsid w:val="00953F3A"/>
    <w:rsid w:val="009653DE"/>
    <w:rsid w:val="00966E04"/>
    <w:rsid w:val="00981FA5"/>
    <w:rsid w:val="00983FBC"/>
    <w:rsid w:val="00991083"/>
    <w:rsid w:val="00993978"/>
    <w:rsid w:val="009A0AA9"/>
    <w:rsid w:val="009A4018"/>
    <w:rsid w:val="009B7B12"/>
    <w:rsid w:val="009C6362"/>
    <w:rsid w:val="009D0EAD"/>
    <w:rsid w:val="009E4B8F"/>
    <w:rsid w:val="009E5723"/>
    <w:rsid w:val="009F6091"/>
    <w:rsid w:val="009F7755"/>
    <w:rsid w:val="00A04CD1"/>
    <w:rsid w:val="00A1186C"/>
    <w:rsid w:val="00A13A3B"/>
    <w:rsid w:val="00A166CA"/>
    <w:rsid w:val="00A209C8"/>
    <w:rsid w:val="00A24FE3"/>
    <w:rsid w:val="00A30C74"/>
    <w:rsid w:val="00A34631"/>
    <w:rsid w:val="00A357EE"/>
    <w:rsid w:val="00A639FF"/>
    <w:rsid w:val="00AB197C"/>
    <w:rsid w:val="00AB2566"/>
    <w:rsid w:val="00AB4C81"/>
    <w:rsid w:val="00AC5754"/>
    <w:rsid w:val="00AC7443"/>
    <w:rsid w:val="00AE7E76"/>
    <w:rsid w:val="00AF30C2"/>
    <w:rsid w:val="00AF69F7"/>
    <w:rsid w:val="00B12F71"/>
    <w:rsid w:val="00B24BC1"/>
    <w:rsid w:val="00B267A0"/>
    <w:rsid w:val="00B33EAE"/>
    <w:rsid w:val="00B42791"/>
    <w:rsid w:val="00B43747"/>
    <w:rsid w:val="00B666EE"/>
    <w:rsid w:val="00B70915"/>
    <w:rsid w:val="00B83EAB"/>
    <w:rsid w:val="00B84818"/>
    <w:rsid w:val="00B90F49"/>
    <w:rsid w:val="00B931C7"/>
    <w:rsid w:val="00B97B53"/>
    <w:rsid w:val="00BB7CEF"/>
    <w:rsid w:val="00BD3FEA"/>
    <w:rsid w:val="00C27D50"/>
    <w:rsid w:val="00C31626"/>
    <w:rsid w:val="00C32486"/>
    <w:rsid w:val="00C339A4"/>
    <w:rsid w:val="00C37BA3"/>
    <w:rsid w:val="00C405B8"/>
    <w:rsid w:val="00C453A6"/>
    <w:rsid w:val="00C51D30"/>
    <w:rsid w:val="00C77D51"/>
    <w:rsid w:val="00C84E44"/>
    <w:rsid w:val="00C85D38"/>
    <w:rsid w:val="00CB575B"/>
    <w:rsid w:val="00CC2DA6"/>
    <w:rsid w:val="00CD2B57"/>
    <w:rsid w:val="00CE36F8"/>
    <w:rsid w:val="00CF4369"/>
    <w:rsid w:val="00D020C7"/>
    <w:rsid w:val="00D13561"/>
    <w:rsid w:val="00D16CFA"/>
    <w:rsid w:val="00D3628A"/>
    <w:rsid w:val="00D449FA"/>
    <w:rsid w:val="00D45CF3"/>
    <w:rsid w:val="00D51681"/>
    <w:rsid w:val="00D54AFD"/>
    <w:rsid w:val="00D921FB"/>
    <w:rsid w:val="00DA767C"/>
    <w:rsid w:val="00DB0ECC"/>
    <w:rsid w:val="00DB589B"/>
    <w:rsid w:val="00DD4385"/>
    <w:rsid w:val="00DE323A"/>
    <w:rsid w:val="00DF4A77"/>
    <w:rsid w:val="00E120A5"/>
    <w:rsid w:val="00E21458"/>
    <w:rsid w:val="00E25AA6"/>
    <w:rsid w:val="00E3171F"/>
    <w:rsid w:val="00E41432"/>
    <w:rsid w:val="00E53EE0"/>
    <w:rsid w:val="00E55263"/>
    <w:rsid w:val="00E6116E"/>
    <w:rsid w:val="00E77586"/>
    <w:rsid w:val="00E806AC"/>
    <w:rsid w:val="00E85A75"/>
    <w:rsid w:val="00E90587"/>
    <w:rsid w:val="00E97A52"/>
    <w:rsid w:val="00EA4C3B"/>
    <w:rsid w:val="00EA6E68"/>
    <w:rsid w:val="00EB7B12"/>
    <w:rsid w:val="00EE5B43"/>
    <w:rsid w:val="00EF04F6"/>
    <w:rsid w:val="00EF1B1A"/>
    <w:rsid w:val="00F16FFD"/>
    <w:rsid w:val="00F31DEC"/>
    <w:rsid w:val="00F37B76"/>
    <w:rsid w:val="00F62D0F"/>
    <w:rsid w:val="00F67251"/>
    <w:rsid w:val="00F72908"/>
    <w:rsid w:val="00F73418"/>
    <w:rsid w:val="00F734B6"/>
    <w:rsid w:val="00F75F8E"/>
    <w:rsid w:val="00F93897"/>
    <w:rsid w:val="00F95064"/>
    <w:rsid w:val="00FA04EF"/>
    <w:rsid w:val="00FA2060"/>
    <w:rsid w:val="00FA2D5B"/>
    <w:rsid w:val="00FB5321"/>
    <w:rsid w:val="00FB5B9C"/>
    <w:rsid w:val="00FC0674"/>
    <w:rsid w:val="00FE1180"/>
    <w:rsid w:val="00FE629C"/>
    <w:rsid w:val="00FF547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39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AF"/>
  </w:style>
  <w:style w:type="paragraph" w:styleId="Footer">
    <w:name w:val="footer"/>
    <w:basedOn w:val="Normal"/>
    <w:link w:val="FooterChar"/>
    <w:uiPriority w:val="99"/>
    <w:unhideWhenUsed/>
    <w:rsid w:val="00565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AF"/>
  </w:style>
  <w:style w:type="paragraph" w:styleId="NormalWeb">
    <w:name w:val="Normal (Web)"/>
    <w:basedOn w:val="Normal"/>
    <w:uiPriority w:val="99"/>
    <w:unhideWhenUsed/>
    <w:rsid w:val="00157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7D50"/>
    <w:pPr>
      <w:ind w:left="720"/>
      <w:contextualSpacing/>
    </w:pPr>
  </w:style>
  <w:style w:type="paragraph" w:customStyle="1" w:styleId="Default">
    <w:name w:val="Default"/>
    <w:rsid w:val="000A4C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eastAsia="ja-JP"/>
    </w:rPr>
  </w:style>
  <w:style w:type="table" w:styleId="TableGrid">
    <w:name w:val="Table Grid"/>
    <w:basedOn w:val="TableNormal"/>
    <w:uiPriority w:val="39"/>
    <w:rsid w:val="000A4C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Considrant">
    <w:name w:val="Manual Considérant"/>
    <w:basedOn w:val="Normal"/>
    <w:rsid w:val="00E85A75"/>
    <w:pPr>
      <w:spacing w:before="120" w:after="120"/>
      <w:ind w:left="709" w:hanging="709"/>
      <w:jc w:val="both"/>
    </w:pPr>
    <w:rPr>
      <w:rFonts w:ascii="Times New Roman" w:eastAsia="Calibri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5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AF"/>
  </w:style>
  <w:style w:type="paragraph" w:styleId="Footer">
    <w:name w:val="footer"/>
    <w:basedOn w:val="Normal"/>
    <w:link w:val="FooterChar"/>
    <w:uiPriority w:val="99"/>
    <w:unhideWhenUsed/>
    <w:rsid w:val="00565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AF"/>
  </w:style>
  <w:style w:type="paragraph" w:styleId="NormalWeb">
    <w:name w:val="Normal (Web)"/>
    <w:basedOn w:val="Normal"/>
    <w:uiPriority w:val="99"/>
    <w:unhideWhenUsed/>
    <w:rsid w:val="00157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7D50"/>
    <w:pPr>
      <w:ind w:left="720"/>
      <w:contextualSpacing/>
    </w:pPr>
  </w:style>
  <w:style w:type="paragraph" w:customStyle="1" w:styleId="Default">
    <w:name w:val="Default"/>
    <w:rsid w:val="000A4C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eastAsia="ja-JP"/>
    </w:rPr>
  </w:style>
  <w:style w:type="table" w:styleId="TableGrid">
    <w:name w:val="Table Grid"/>
    <w:basedOn w:val="TableNormal"/>
    <w:uiPriority w:val="39"/>
    <w:rsid w:val="000A4C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Considrant">
    <w:name w:val="Manual Considérant"/>
    <w:basedOn w:val="Normal"/>
    <w:rsid w:val="00E85A75"/>
    <w:pPr>
      <w:spacing w:before="120" w:after="120"/>
      <w:ind w:left="709" w:hanging="709"/>
      <w:jc w:val="both"/>
    </w:pPr>
    <w:rPr>
      <w:rFonts w:ascii="Times New Roman" w:eastAsia="Calibri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5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4BE76F7F110149A3EA3D4A60B4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54EA-C203-6143-846B-2BED311F374A}"/>
      </w:docPartPr>
      <w:docPartBody>
        <w:p w:rsidR="00CD7391" w:rsidRDefault="00CD7391" w:rsidP="00CD7391">
          <w:pPr>
            <w:pStyle w:val="694BE76F7F110149A3EA3D4A60B49B87"/>
          </w:pPr>
          <w:r>
            <w:t>[Type text]</w:t>
          </w:r>
        </w:p>
      </w:docPartBody>
    </w:docPart>
    <w:docPart>
      <w:docPartPr>
        <w:name w:val="947F6E819EE22440AEC5E37ED8E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9F1-E511-184C-9118-DF696B9F8F33}"/>
      </w:docPartPr>
      <w:docPartBody>
        <w:p w:rsidR="00CD7391" w:rsidRDefault="00CD7391" w:rsidP="00CD7391">
          <w:pPr>
            <w:pStyle w:val="947F6E819EE22440AEC5E37ED8EA8062"/>
          </w:pPr>
          <w:r>
            <w:t>[Type text]</w:t>
          </w:r>
        </w:p>
      </w:docPartBody>
    </w:docPart>
    <w:docPart>
      <w:docPartPr>
        <w:name w:val="FCC00CF07593A148B2D59FC46B9C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E0E2-9659-FB45-B2AD-830397332153}"/>
      </w:docPartPr>
      <w:docPartBody>
        <w:p w:rsidR="00CD7391" w:rsidRDefault="00CD7391" w:rsidP="00CD7391">
          <w:pPr>
            <w:pStyle w:val="FCC00CF07593A148B2D59FC46B9C69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7391"/>
    <w:rsid w:val="00245A6D"/>
    <w:rsid w:val="002F250F"/>
    <w:rsid w:val="00311631"/>
    <w:rsid w:val="00334FB4"/>
    <w:rsid w:val="003601F0"/>
    <w:rsid w:val="003608B0"/>
    <w:rsid w:val="00507429"/>
    <w:rsid w:val="00517064"/>
    <w:rsid w:val="0068174B"/>
    <w:rsid w:val="00690BB7"/>
    <w:rsid w:val="00772E0A"/>
    <w:rsid w:val="008B7C79"/>
    <w:rsid w:val="00957D13"/>
    <w:rsid w:val="00A32E0B"/>
    <w:rsid w:val="00BD6E29"/>
    <w:rsid w:val="00BE18FC"/>
    <w:rsid w:val="00C034D6"/>
    <w:rsid w:val="00C679BF"/>
    <w:rsid w:val="00CD7391"/>
    <w:rsid w:val="00E82DEB"/>
    <w:rsid w:val="00F8398B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BE76F7F110149A3EA3D4A60B49B87">
    <w:name w:val="694BE76F7F110149A3EA3D4A60B49B87"/>
    <w:rsid w:val="00CD7391"/>
  </w:style>
  <w:style w:type="paragraph" w:customStyle="1" w:styleId="947F6E819EE22440AEC5E37ED8EA8062">
    <w:name w:val="947F6E819EE22440AEC5E37ED8EA8062"/>
    <w:rsid w:val="00CD7391"/>
  </w:style>
  <w:style w:type="paragraph" w:customStyle="1" w:styleId="FCC00CF07593A148B2D59FC46B9C6919">
    <w:name w:val="FCC00CF07593A148B2D59FC46B9C6919"/>
    <w:rsid w:val="00CD7391"/>
  </w:style>
  <w:style w:type="paragraph" w:customStyle="1" w:styleId="D3D76FFA614AD74EBA09861AB2DA4E91">
    <w:name w:val="D3D76FFA614AD74EBA09861AB2DA4E91"/>
    <w:rsid w:val="00CD7391"/>
  </w:style>
  <w:style w:type="paragraph" w:customStyle="1" w:styleId="C06E68B19517C94584A5862362514D1B">
    <w:name w:val="C06E68B19517C94584A5862362514D1B"/>
    <w:rsid w:val="00CD7391"/>
  </w:style>
  <w:style w:type="paragraph" w:customStyle="1" w:styleId="59B4F2EC618C934181220E6A8CD57D68">
    <w:name w:val="59B4F2EC618C934181220E6A8CD57D68"/>
    <w:rsid w:val="00CD73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492F9-135D-4570-87FD-F01835C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4532</Characters>
  <Application>Microsoft Office Word</Application>
  <DocSecurity>0</DocSecurity>
  <Lines>107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Formosa</dc:creator>
  <cp:lastModifiedBy>STOLK Saskia</cp:lastModifiedBy>
  <cp:revision>3</cp:revision>
  <cp:lastPrinted>2016-11-03T08:04:00Z</cp:lastPrinted>
  <dcterms:created xsi:type="dcterms:W3CDTF">2017-06-01T11:09:00Z</dcterms:created>
  <dcterms:modified xsi:type="dcterms:W3CDTF">2017-06-02T07:42:00Z</dcterms:modified>
</cp:coreProperties>
</file>