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BDF" w:rsidRPr="00BE15B8" w:rsidRDefault="00CA65F3" w:rsidP="00EA1934">
      <w:pPr>
        <w:spacing w:after="0"/>
        <w:jc w:val="both"/>
        <w:rPr>
          <w:rFonts w:asciiTheme="minorHAnsi" w:hAnsiTheme="minorHAnsi"/>
          <w:b/>
          <w:sz w:val="32"/>
          <w:szCs w:val="32"/>
        </w:rPr>
      </w:pPr>
      <w:r w:rsidRPr="00BE15B8">
        <w:rPr>
          <w:rFonts w:asciiTheme="minorHAnsi" w:hAnsiTheme="minorHAnsi"/>
          <w:b/>
          <w:sz w:val="32"/>
          <w:szCs w:val="32"/>
        </w:rPr>
        <w:t>PUBLIC EXPENDITURE ON SUPPLY REDUCTION</w:t>
      </w:r>
      <w:r w:rsidR="000F6331">
        <w:rPr>
          <w:rFonts w:asciiTheme="minorHAnsi" w:hAnsiTheme="minorHAnsi"/>
          <w:b/>
          <w:sz w:val="32"/>
          <w:szCs w:val="32"/>
        </w:rPr>
        <w:t xml:space="preserve"> POLICIES</w:t>
      </w:r>
    </w:p>
    <w:p w:rsidR="00CA65F3" w:rsidRPr="00BE15B8" w:rsidRDefault="00CA65F3" w:rsidP="00EA1934">
      <w:pPr>
        <w:spacing w:after="0"/>
        <w:jc w:val="both"/>
        <w:rPr>
          <w:rFonts w:asciiTheme="minorHAnsi" w:hAnsiTheme="minorHAnsi"/>
          <w:b/>
          <w:sz w:val="32"/>
          <w:szCs w:val="32"/>
        </w:rPr>
      </w:pPr>
      <w:r w:rsidRPr="00BE15B8">
        <w:rPr>
          <w:rFonts w:asciiTheme="minorHAnsi" w:hAnsiTheme="minorHAnsi"/>
          <w:b/>
          <w:sz w:val="32"/>
          <w:szCs w:val="32"/>
        </w:rPr>
        <w:t xml:space="preserve">Joint publication EMCDDA/Pompidou Group, </w:t>
      </w:r>
    </w:p>
    <w:p w:rsidR="00CA65F3" w:rsidRPr="00BE15B8" w:rsidRDefault="00BE15B8" w:rsidP="00EA1934">
      <w:pPr>
        <w:spacing w:after="0"/>
        <w:jc w:val="both"/>
        <w:rPr>
          <w:rFonts w:asciiTheme="minorHAnsi" w:hAnsiTheme="minorHAnsi"/>
          <w:b/>
          <w:sz w:val="32"/>
          <w:szCs w:val="32"/>
        </w:rPr>
      </w:pPr>
      <w:r>
        <w:rPr>
          <w:rFonts w:asciiTheme="minorHAnsi" w:hAnsiTheme="minorHAnsi"/>
          <w:b/>
          <w:sz w:val="32"/>
          <w:szCs w:val="32"/>
        </w:rPr>
        <w:t>November</w:t>
      </w:r>
      <w:r w:rsidR="00CA65F3" w:rsidRPr="00BE15B8">
        <w:rPr>
          <w:rFonts w:asciiTheme="minorHAnsi" w:hAnsiTheme="minorHAnsi"/>
          <w:b/>
          <w:sz w:val="32"/>
          <w:szCs w:val="32"/>
        </w:rPr>
        <w:t xml:space="preserve"> 2016</w:t>
      </w:r>
    </w:p>
    <w:p w:rsidR="001E0BDF" w:rsidRPr="00BE15B8" w:rsidRDefault="001E0BDF" w:rsidP="00EA1934">
      <w:pPr>
        <w:spacing w:after="0"/>
        <w:jc w:val="both"/>
        <w:rPr>
          <w:rFonts w:asciiTheme="minorHAnsi" w:hAnsiTheme="minorHAnsi"/>
          <w:b/>
          <w:sz w:val="24"/>
          <w:szCs w:val="24"/>
        </w:rPr>
      </w:pPr>
    </w:p>
    <w:p w:rsidR="00012746" w:rsidRPr="00BE15B8" w:rsidRDefault="00012746" w:rsidP="00B34A00">
      <w:pPr>
        <w:jc w:val="both"/>
        <w:rPr>
          <w:rFonts w:asciiTheme="minorHAnsi" w:hAnsiTheme="minorHAnsi"/>
          <w:sz w:val="24"/>
          <w:lang w:val="en-AU"/>
        </w:rPr>
      </w:pPr>
      <w:r w:rsidRPr="00BE15B8">
        <w:rPr>
          <w:rFonts w:asciiTheme="minorHAnsi" w:hAnsiTheme="minorHAnsi"/>
          <w:sz w:val="24"/>
          <w:lang w:val="en-AU"/>
        </w:rPr>
        <w:t>The aim of this publication is twofold. First, to contribute to increasing the international awareness of the importance of this field of analysis. Second, to raise public awareness of the need to further invest</w:t>
      </w:r>
      <w:r w:rsidR="00FD53FC">
        <w:rPr>
          <w:rFonts w:asciiTheme="minorHAnsi" w:hAnsiTheme="minorHAnsi"/>
          <w:sz w:val="24"/>
          <w:lang w:val="en-AU"/>
        </w:rPr>
        <w:t>igate to increase</w:t>
      </w:r>
      <w:r w:rsidRPr="00BE15B8">
        <w:rPr>
          <w:rFonts w:asciiTheme="minorHAnsi" w:hAnsiTheme="minorHAnsi"/>
          <w:sz w:val="24"/>
          <w:lang w:val="en-AU"/>
        </w:rPr>
        <w:t xml:space="preserve"> availability, comparability and reliability of data and estimates. </w:t>
      </w:r>
    </w:p>
    <w:p w:rsidR="00012746" w:rsidRPr="00BE15B8" w:rsidRDefault="00012746" w:rsidP="00B34A00">
      <w:pPr>
        <w:jc w:val="both"/>
        <w:rPr>
          <w:rFonts w:asciiTheme="minorHAnsi" w:hAnsiTheme="minorHAnsi"/>
          <w:sz w:val="24"/>
          <w:lang w:val="en-AU"/>
        </w:rPr>
      </w:pPr>
      <w:r w:rsidRPr="00BE15B8">
        <w:rPr>
          <w:rFonts w:asciiTheme="minorHAnsi" w:hAnsiTheme="minorHAnsi"/>
          <w:sz w:val="24"/>
          <w:lang w:val="en-AU"/>
        </w:rPr>
        <w:t xml:space="preserve">The target audience include </w:t>
      </w:r>
      <w:r w:rsidR="00B34A00" w:rsidRPr="00BE15B8">
        <w:rPr>
          <w:rFonts w:asciiTheme="minorHAnsi" w:hAnsiTheme="minorHAnsi"/>
          <w:sz w:val="24"/>
          <w:lang w:val="en-AU"/>
        </w:rPr>
        <w:t xml:space="preserve">officials involved in the economic evaluation of drug policy; those wanting to evaluate drug policy priorities, develop drug policy strategies and action plans; </w:t>
      </w:r>
      <w:r w:rsidRPr="00BE15B8">
        <w:rPr>
          <w:rFonts w:asciiTheme="minorHAnsi" w:hAnsiTheme="minorHAnsi"/>
          <w:sz w:val="24"/>
          <w:lang w:val="en-AU"/>
        </w:rPr>
        <w:t>accounting authorities; entities seeking funds to finance their</w:t>
      </w:r>
      <w:r w:rsidR="00B34A00" w:rsidRPr="00BE15B8">
        <w:rPr>
          <w:rFonts w:asciiTheme="minorHAnsi" w:hAnsiTheme="minorHAnsi"/>
          <w:sz w:val="24"/>
          <w:lang w:val="en-AU"/>
        </w:rPr>
        <w:t xml:space="preserve"> service provision; and researchers</w:t>
      </w:r>
      <w:r w:rsidRPr="00BE15B8">
        <w:rPr>
          <w:rFonts w:asciiTheme="minorHAnsi" w:hAnsiTheme="minorHAnsi"/>
          <w:sz w:val="24"/>
          <w:lang w:val="en-AU"/>
        </w:rPr>
        <w:t>.</w:t>
      </w:r>
    </w:p>
    <w:p w:rsidR="00012746" w:rsidRDefault="00012746" w:rsidP="00EA1934">
      <w:pPr>
        <w:spacing w:after="0"/>
        <w:jc w:val="both"/>
        <w:rPr>
          <w:rFonts w:asciiTheme="minorHAnsi" w:hAnsiTheme="minorHAnsi"/>
          <w:b/>
          <w:sz w:val="28"/>
          <w:szCs w:val="28"/>
          <w:lang w:val="en-AU"/>
        </w:rPr>
      </w:pPr>
    </w:p>
    <w:p w:rsidR="00711219" w:rsidRPr="00BE15B8" w:rsidRDefault="00711219" w:rsidP="00EA1934">
      <w:pPr>
        <w:spacing w:after="0"/>
        <w:jc w:val="both"/>
        <w:rPr>
          <w:rFonts w:asciiTheme="minorHAnsi" w:hAnsiTheme="minorHAnsi"/>
          <w:b/>
          <w:sz w:val="28"/>
          <w:szCs w:val="28"/>
        </w:rPr>
      </w:pPr>
      <w:r w:rsidRPr="00BE15B8">
        <w:rPr>
          <w:rFonts w:asciiTheme="minorHAnsi" w:hAnsiTheme="minorHAnsi"/>
          <w:b/>
          <w:sz w:val="28"/>
          <w:szCs w:val="28"/>
        </w:rPr>
        <w:t>Introduction</w:t>
      </w:r>
    </w:p>
    <w:p w:rsidR="005F04B4" w:rsidRDefault="003745BD" w:rsidP="00DB21D1">
      <w:pPr>
        <w:jc w:val="both"/>
        <w:rPr>
          <w:rFonts w:asciiTheme="minorHAnsi" w:hAnsiTheme="minorHAnsi"/>
          <w:bCs/>
          <w:color w:val="000000" w:themeColor="text1"/>
          <w:sz w:val="24"/>
          <w:szCs w:val="24"/>
        </w:rPr>
      </w:pPr>
      <w:r w:rsidRPr="00BE15B8">
        <w:rPr>
          <w:rFonts w:asciiTheme="minorHAnsi" w:hAnsiTheme="minorHAnsi"/>
          <w:bCs/>
          <w:color w:val="000000" w:themeColor="text1"/>
          <w:sz w:val="24"/>
          <w:szCs w:val="24"/>
        </w:rPr>
        <w:t>N</w:t>
      </w:r>
      <w:r w:rsidR="0080744E" w:rsidRPr="00BE15B8">
        <w:rPr>
          <w:rFonts w:asciiTheme="minorHAnsi" w:hAnsiTheme="minorHAnsi"/>
          <w:bCs/>
          <w:color w:val="000000" w:themeColor="text1"/>
          <w:sz w:val="24"/>
          <w:szCs w:val="24"/>
        </w:rPr>
        <w:t>ational drug strategies</w:t>
      </w:r>
      <w:r w:rsidRPr="00BE15B8">
        <w:rPr>
          <w:rFonts w:asciiTheme="minorHAnsi" w:hAnsiTheme="minorHAnsi"/>
          <w:bCs/>
          <w:color w:val="000000" w:themeColor="text1"/>
          <w:sz w:val="24"/>
          <w:szCs w:val="24"/>
        </w:rPr>
        <w:t xml:space="preserve"> often</w:t>
      </w:r>
      <w:r w:rsidR="0080744E" w:rsidRPr="00BE15B8">
        <w:rPr>
          <w:rFonts w:asciiTheme="minorHAnsi" w:hAnsiTheme="minorHAnsi"/>
          <w:bCs/>
          <w:color w:val="000000" w:themeColor="text1"/>
          <w:sz w:val="24"/>
          <w:szCs w:val="24"/>
        </w:rPr>
        <w:t xml:space="preserve"> have a stated aim of a balanced approach between demand and supply reduction policies</w:t>
      </w:r>
      <w:r w:rsidR="00FB0077" w:rsidRPr="00BE15B8">
        <w:rPr>
          <w:rFonts w:asciiTheme="minorHAnsi" w:hAnsiTheme="minorHAnsi"/>
          <w:bCs/>
          <w:color w:val="000000" w:themeColor="text1"/>
          <w:sz w:val="24"/>
          <w:szCs w:val="24"/>
        </w:rPr>
        <w:t xml:space="preserve"> </w:t>
      </w:r>
      <w:r w:rsidR="00FB0077" w:rsidRPr="00BE15B8">
        <w:rPr>
          <w:rFonts w:asciiTheme="minorHAnsi" w:hAnsiTheme="minorHAnsi"/>
          <w:iCs/>
          <w:sz w:val="24"/>
          <w:szCs w:val="24"/>
        </w:rPr>
        <w:t>(Council of the European Union, 2012)</w:t>
      </w:r>
      <w:r w:rsidR="0080744E" w:rsidRPr="00BE15B8">
        <w:rPr>
          <w:rFonts w:asciiTheme="minorHAnsi" w:hAnsiTheme="minorHAnsi"/>
          <w:bCs/>
          <w:color w:val="000000" w:themeColor="text1"/>
          <w:sz w:val="24"/>
          <w:szCs w:val="24"/>
        </w:rPr>
        <w:t>.</w:t>
      </w:r>
      <w:r w:rsidR="00BE15B8" w:rsidRPr="00BE15B8">
        <w:rPr>
          <w:rFonts w:asciiTheme="minorHAnsi" w:hAnsiTheme="minorHAnsi"/>
          <w:sz w:val="24"/>
          <w:szCs w:val="24"/>
        </w:rPr>
        <w:t xml:space="preserve"> </w:t>
      </w:r>
      <w:r w:rsidR="008D201F">
        <w:rPr>
          <w:rFonts w:asciiTheme="minorHAnsi" w:hAnsiTheme="minorHAnsi"/>
          <w:sz w:val="24"/>
          <w:szCs w:val="24"/>
        </w:rPr>
        <w:t>W</w:t>
      </w:r>
      <w:r w:rsidR="00BE15B8" w:rsidRPr="00BE15B8">
        <w:rPr>
          <w:rFonts w:asciiTheme="minorHAnsi" w:hAnsiTheme="minorHAnsi"/>
          <w:bCs/>
          <w:color w:val="000000" w:themeColor="text1"/>
          <w:sz w:val="24"/>
          <w:szCs w:val="24"/>
        </w:rPr>
        <w:t xml:space="preserve">hat constitutes </w:t>
      </w:r>
      <w:r w:rsidR="008D201F">
        <w:rPr>
          <w:rFonts w:asciiTheme="minorHAnsi" w:hAnsiTheme="minorHAnsi"/>
          <w:bCs/>
          <w:color w:val="000000" w:themeColor="text1"/>
          <w:sz w:val="24"/>
          <w:szCs w:val="24"/>
        </w:rPr>
        <w:t xml:space="preserve">such </w:t>
      </w:r>
      <w:r w:rsidR="00BE15B8" w:rsidRPr="00BE15B8">
        <w:rPr>
          <w:rFonts w:asciiTheme="minorHAnsi" w:hAnsiTheme="minorHAnsi"/>
          <w:bCs/>
          <w:color w:val="000000" w:themeColor="text1"/>
          <w:sz w:val="24"/>
          <w:szCs w:val="24"/>
        </w:rPr>
        <w:t>a balanced approach</w:t>
      </w:r>
      <w:r w:rsidR="008D201F">
        <w:rPr>
          <w:rFonts w:asciiTheme="minorHAnsi" w:hAnsiTheme="minorHAnsi"/>
          <w:bCs/>
          <w:color w:val="000000" w:themeColor="text1"/>
          <w:sz w:val="24"/>
          <w:szCs w:val="24"/>
        </w:rPr>
        <w:t>, however,</w:t>
      </w:r>
      <w:r w:rsidR="00BE15B8" w:rsidRPr="00BE15B8">
        <w:rPr>
          <w:rFonts w:asciiTheme="minorHAnsi" w:hAnsiTheme="minorHAnsi"/>
          <w:bCs/>
          <w:color w:val="000000" w:themeColor="text1"/>
          <w:sz w:val="24"/>
          <w:szCs w:val="24"/>
        </w:rPr>
        <w:t xml:space="preserve"> is usually not clearly defined or operationalized</w:t>
      </w:r>
      <w:r w:rsidR="0014097D">
        <w:rPr>
          <w:rFonts w:asciiTheme="minorHAnsi" w:hAnsiTheme="minorHAnsi"/>
          <w:bCs/>
          <w:color w:val="000000" w:themeColor="text1"/>
          <w:sz w:val="24"/>
          <w:szCs w:val="24"/>
        </w:rPr>
        <w:t xml:space="preserve">. </w:t>
      </w:r>
      <w:r w:rsidR="00FD53FC">
        <w:rPr>
          <w:rFonts w:asciiTheme="minorHAnsi" w:hAnsiTheme="minorHAnsi"/>
          <w:bCs/>
          <w:color w:val="000000" w:themeColor="text1"/>
          <w:sz w:val="24"/>
          <w:szCs w:val="24"/>
        </w:rPr>
        <w:t>Still, an</w:t>
      </w:r>
      <w:r w:rsidR="0014097D">
        <w:rPr>
          <w:rFonts w:asciiTheme="minorHAnsi" w:hAnsiTheme="minorHAnsi"/>
          <w:bCs/>
          <w:color w:val="000000" w:themeColor="text1"/>
          <w:sz w:val="24"/>
          <w:szCs w:val="24"/>
        </w:rPr>
        <w:t xml:space="preserve"> </w:t>
      </w:r>
      <w:r w:rsidR="0014097D" w:rsidRPr="00BE15B8">
        <w:rPr>
          <w:rFonts w:asciiTheme="minorHAnsi" w:hAnsiTheme="minorHAnsi"/>
          <w:sz w:val="24"/>
          <w:szCs w:val="24"/>
        </w:rPr>
        <w:t xml:space="preserve">optimal balance </w:t>
      </w:r>
      <w:r w:rsidR="008D201F">
        <w:rPr>
          <w:rFonts w:asciiTheme="minorHAnsi" w:hAnsiTheme="minorHAnsi"/>
          <w:bCs/>
          <w:color w:val="000000" w:themeColor="text1"/>
          <w:sz w:val="24"/>
          <w:szCs w:val="24"/>
        </w:rPr>
        <w:t>will</w:t>
      </w:r>
      <w:r w:rsidR="00BE15B8" w:rsidRPr="00BE15B8">
        <w:rPr>
          <w:rFonts w:asciiTheme="minorHAnsi" w:hAnsiTheme="minorHAnsi"/>
          <w:bCs/>
          <w:color w:val="000000" w:themeColor="text1"/>
          <w:sz w:val="24"/>
          <w:szCs w:val="24"/>
        </w:rPr>
        <w:t xml:space="preserve"> </w:t>
      </w:r>
      <w:r w:rsidR="00FD53FC">
        <w:rPr>
          <w:rFonts w:asciiTheme="minorHAnsi" w:hAnsiTheme="minorHAnsi"/>
          <w:bCs/>
          <w:color w:val="000000" w:themeColor="text1"/>
          <w:sz w:val="24"/>
          <w:szCs w:val="24"/>
        </w:rPr>
        <w:t xml:space="preserve">usually </w:t>
      </w:r>
      <w:r w:rsidR="00BE15B8" w:rsidRPr="008D201F">
        <w:rPr>
          <w:rFonts w:asciiTheme="minorHAnsi" w:hAnsiTheme="minorHAnsi"/>
          <w:bCs/>
          <w:i/>
          <w:color w:val="000000" w:themeColor="text1"/>
          <w:sz w:val="24"/>
          <w:szCs w:val="24"/>
        </w:rPr>
        <w:t>not</w:t>
      </w:r>
      <w:r w:rsidR="00BE15B8" w:rsidRPr="00BE15B8">
        <w:rPr>
          <w:rFonts w:asciiTheme="minorHAnsi" w:hAnsiTheme="minorHAnsi"/>
          <w:bCs/>
          <w:color w:val="000000" w:themeColor="text1"/>
          <w:sz w:val="24"/>
          <w:szCs w:val="24"/>
        </w:rPr>
        <w:t xml:space="preserve"> imply that </w:t>
      </w:r>
      <w:r w:rsidR="0014097D">
        <w:rPr>
          <w:rFonts w:asciiTheme="minorHAnsi" w:hAnsiTheme="minorHAnsi"/>
          <w:bCs/>
          <w:color w:val="000000" w:themeColor="text1"/>
          <w:sz w:val="24"/>
          <w:szCs w:val="24"/>
        </w:rPr>
        <w:t xml:space="preserve">the two </w:t>
      </w:r>
      <w:r w:rsidR="001C57F7">
        <w:rPr>
          <w:rFonts w:asciiTheme="minorHAnsi" w:hAnsiTheme="minorHAnsi"/>
          <w:bCs/>
          <w:color w:val="000000" w:themeColor="text1"/>
          <w:sz w:val="24"/>
          <w:szCs w:val="24"/>
        </w:rPr>
        <w:t>approaches</w:t>
      </w:r>
      <w:r w:rsidR="0014097D">
        <w:rPr>
          <w:rFonts w:asciiTheme="minorHAnsi" w:hAnsiTheme="minorHAnsi"/>
          <w:bCs/>
          <w:color w:val="000000" w:themeColor="text1"/>
          <w:sz w:val="24"/>
          <w:szCs w:val="24"/>
        </w:rPr>
        <w:t xml:space="preserve"> receive </w:t>
      </w:r>
      <w:r w:rsidR="00BE15B8" w:rsidRPr="00BE15B8">
        <w:rPr>
          <w:rFonts w:asciiTheme="minorHAnsi" w:hAnsiTheme="minorHAnsi"/>
          <w:bCs/>
          <w:color w:val="000000" w:themeColor="text1"/>
          <w:sz w:val="24"/>
          <w:szCs w:val="24"/>
        </w:rPr>
        <w:t>an equal share of resources and attention</w:t>
      </w:r>
      <w:r w:rsidR="00FD53FC">
        <w:rPr>
          <w:rFonts w:asciiTheme="minorHAnsi" w:hAnsiTheme="minorHAnsi"/>
          <w:bCs/>
          <w:color w:val="000000" w:themeColor="text1"/>
          <w:sz w:val="24"/>
          <w:szCs w:val="24"/>
        </w:rPr>
        <w:t xml:space="preserve"> but depend on country specific priorities and aims for the different sectors of drug policy</w:t>
      </w:r>
      <w:r w:rsidR="00BE15B8" w:rsidRPr="00BE15B8">
        <w:rPr>
          <w:rFonts w:asciiTheme="minorHAnsi" w:hAnsiTheme="minorHAnsi"/>
          <w:bCs/>
          <w:color w:val="000000" w:themeColor="text1"/>
          <w:sz w:val="24"/>
          <w:szCs w:val="24"/>
        </w:rPr>
        <w:t>.</w:t>
      </w:r>
      <w:r w:rsidR="0080744E" w:rsidRPr="00BE15B8">
        <w:rPr>
          <w:rFonts w:asciiTheme="minorHAnsi" w:hAnsiTheme="minorHAnsi"/>
          <w:bCs/>
          <w:color w:val="000000" w:themeColor="text1"/>
          <w:sz w:val="24"/>
          <w:szCs w:val="24"/>
        </w:rPr>
        <w:t xml:space="preserve"> </w:t>
      </w:r>
    </w:p>
    <w:p w:rsidR="00B45810" w:rsidRPr="00D73B7B" w:rsidRDefault="00B45810" w:rsidP="00B45810">
      <w:pPr>
        <w:autoSpaceDE w:val="0"/>
        <w:autoSpaceDN w:val="0"/>
        <w:adjustRightInd w:val="0"/>
        <w:spacing w:before="240"/>
        <w:jc w:val="both"/>
        <w:rPr>
          <w:rFonts w:cs="AdvP497E2"/>
          <w:color w:val="000000" w:themeColor="text1"/>
          <w:sz w:val="24"/>
          <w:szCs w:val="24"/>
        </w:rPr>
      </w:pPr>
      <w:r>
        <w:rPr>
          <w:rFonts w:cs="Arial"/>
          <w:color w:val="000000" w:themeColor="text1"/>
          <w:sz w:val="24"/>
        </w:rPr>
        <w:t xml:space="preserve">The ultimate goal of </w:t>
      </w:r>
      <w:r w:rsidRPr="00FD53FC">
        <w:rPr>
          <w:rFonts w:cs="Arial"/>
          <w:i/>
          <w:color w:val="000000" w:themeColor="text1"/>
          <w:sz w:val="24"/>
        </w:rPr>
        <w:t>supply reduction policies</w:t>
      </w:r>
      <w:r>
        <w:rPr>
          <w:rFonts w:cs="Arial"/>
          <w:color w:val="000000" w:themeColor="text1"/>
          <w:sz w:val="24"/>
        </w:rPr>
        <w:t xml:space="preserve"> is</w:t>
      </w:r>
      <w:r>
        <w:rPr>
          <w:rFonts w:cs="Arial"/>
          <w:i/>
          <w:color w:val="000000" w:themeColor="text1"/>
          <w:sz w:val="24"/>
        </w:rPr>
        <w:t xml:space="preserve"> </w:t>
      </w:r>
      <w:r>
        <w:rPr>
          <w:rFonts w:cs="Arial"/>
          <w:color w:val="000000" w:themeColor="text1"/>
          <w:sz w:val="24"/>
        </w:rPr>
        <w:t>to eliminate, or reduce, drug availability</w:t>
      </w:r>
      <w:r>
        <w:rPr>
          <w:rFonts w:cs="Arial"/>
          <w:i/>
          <w:color w:val="000000" w:themeColor="text1"/>
          <w:sz w:val="24"/>
        </w:rPr>
        <w:t>.</w:t>
      </w:r>
      <w:r>
        <w:rPr>
          <w:rFonts w:cs="Arial"/>
          <w:color w:val="000000" w:themeColor="text1"/>
          <w:sz w:val="24"/>
        </w:rPr>
        <w:t xml:space="preserve"> In many countries, supply reduction is the main approach for addressing the drug problem. Still, efforts aiming at reducing the demand (mainly prevention and treatment measures) are important elements, and harm reduction initiatives have gained importance over the years. </w:t>
      </w:r>
      <w:r>
        <w:rPr>
          <w:rFonts w:cs="Arial"/>
          <w:sz w:val="24"/>
          <w:szCs w:val="24"/>
        </w:rPr>
        <w:t xml:space="preserve">The effects of supply and demand reduction efforts, however, </w:t>
      </w:r>
      <w:r w:rsidR="00F72D8C">
        <w:rPr>
          <w:rFonts w:cs="Arial"/>
          <w:sz w:val="24"/>
          <w:szCs w:val="24"/>
        </w:rPr>
        <w:t>are</w:t>
      </w:r>
      <w:r w:rsidR="00F72D8C">
        <w:rPr>
          <w:rFonts w:cs="Arial"/>
          <w:sz w:val="24"/>
          <w:szCs w:val="24"/>
        </w:rPr>
        <w:t xml:space="preserve"> </w:t>
      </w:r>
      <w:r>
        <w:rPr>
          <w:rFonts w:cs="Arial"/>
          <w:sz w:val="24"/>
          <w:szCs w:val="24"/>
        </w:rPr>
        <w:t xml:space="preserve">often interrelated. For instance, successful reduction in drug availability increases the likelihood of reduced drug use and by that also a reduced risk for problematic drug use and adverse drug use consequences. </w:t>
      </w:r>
    </w:p>
    <w:p w:rsidR="005F04B4" w:rsidRPr="0081271E" w:rsidRDefault="005F04B4" w:rsidP="0081271E">
      <w:pPr>
        <w:spacing w:line="259" w:lineRule="auto"/>
        <w:jc w:val="both"/>
        <w:rPr>
          <w:rFonts w:cs="AdvP497E2"/>
          <w:color w:val="000000" w:themeColor="text1"/>
          <w:sz w:val="24"/>
          <w:szCs w:val="24"/>
        </w:rPr>
      </w:pPr>
      <w:r w:rsidRPr="00B45810">
        <w:rPr>
          <w:rFonts w:cs="Arial"/>
          <w:color w:val="000000" w:themeColor="text1"/>
          <w:sz w:val="24"/>
        </w:rPr>
        <w:t>Supply reduction polic</w:t>
      </w:r>
      <w:r w:rsidR="00E170AC">
        <w:rPr>
          <w:rFonts w:cs="Arial"/>
          <w:color w:val="000000" w:themeColor="text1"/>
          <w:sz w:val="24"/>
        </w:rPr>
        <w:t>ies</w:t>
      </w:r>
      <w:r>
        <w:rPr>
          <w:rFonts w:cs="Arial"/>
          <w:color w:val="000000" w:themeColor="text1"/>
          <w:sz w:val="24"/>
        </w:rPr>
        <w:t xml:space="preserve"> comprise </w:t>
      </w:r>
      <w:r w:rsidRPr="00193A65">
        <w:rPr>
          <w:sz w:val="24"/>
          <w:szCs w:val="24"/>
        </w:rPr>
        <w:t>the</w:t>
      </w:r>
      <w:r w:rsidRPr="00193A65">
        <w:rPr>
          <w:rFonts w:eastAsia="Open Sans" w:cstheme="minorHAnsi"/>
          <w:sz w:val="24"/>
          <w:szCs w:val="24"/>
        </w:rPr>
        <w:t xml:space="preserve"> whole system of laws, regulatory measures, courses of action and funding priorities concerning illicit drugs put into effect by a government or its representatives</w:t>
      </w:r>
      <w:r w:rsidR="00E170AC">
        <w:rPr>
          <w:rFonts w:eastAsia="Open Sans" w:cstheme="minorHAnsi"/>
          <w:sz w:val="24"/>
          <w:szCs w:val="24"/>
        </w:rPr>
        <w:t>. It</w:t>
      </w:r>
      <w:r>
        <w:rPr>
          <w:rFonts w:cs="Arial"/>
          <w:color w:val="000000" w:themeColor="text1"/>
          <w:sz w:val="24"/>
        </w:rPr>
        <w:t xml:space="preserve"> is aimed at both producers, dealers and </w:t>
      </w:r>
      <w:r w:rsidR="00E170AC">
        <w:rPr>
          <w:rFonts w:cs="Arial"/>
          <w:color w:val="000000" w:themeColor="text1"/>
          <w:sz w:val="24"/>
        </w:rPr>
        <w:t>in many places</w:t>
      </w:r>
      <w:r>
        <w:rPr>
          <w:rFonts w:cs="Arial"/>
          <w:color w:val="000000" w:themeColor="text1"/>
          <w:sz w:val="24"/>
        </w:rPr>
        <w:t xml:space="preserve"> also</w:t>
      </w:r>
      <w:r w:rsidR="0081271E">
        <w:rPr>
          <w:rFonts w:cs="Arial"/>
          <w:color w:val="000000" w:themeColor="text1"/>
          <w:sz w:val="24"/>
        </w:rPr>
        <w:t xml:space="preserve"> at</w:t>
      </w:r>
      <w:r>
        <w:rPr>
          <w:rFonts w:cs="Arial"/>
          <w:color w:val="000000" w:themeColor="text1"/>
          <w:sz w:val="24"/>
        </w:rPr>
        <w:t xml:space="preserve"> users </w:t>
      </w:r>
      <w:r w:rsidR="0081271E">
        <w:rPr>
          <w:rFonts w:cs="Arial"/>
          <w:color w:val="000000" w:themeColor="text1"/>
          <w:sz w:val="24"/>
        </w:rPr>
        <w:t>of</w:t>
      </w:r>
      <w:r>
        <w:rPr>
          <w:rFonts w:cs="Arial"/>
          <w:color w:val="000000" w:themeColor="text1"/>
          <w:sz w:val="24"/>
        </w:rPr>
        <w:t xml:space="preserve"> drugs. </w:t>
      </w:r>
      <w:r w:rsidRPr="00E62D06">
        <w:rPr>
          <w:rFonts w:cs="AdvP497E2"/>
          <w:color w:val="000000" w:themeColor="text1"/>
          <w:sz w:val="24"/>
          <w:szCs w:val="24"/>
        </w:rPr>
        <w:t xml:space="preserve">Signing countries </w:t>
      </w:r>
      <w:r>
        <w:rPr>
          <w:rFonts w:cs="AdvP497E2"/>
          <w:color w:val="000000" w:themeColor="text1"/>
          <w:sz w:val="24"/>
          <w:szCs w:val="24"/>
        </w:rPr>
        <w:t xml:space="preserve">of the three UN drug </w:t>
      </w:r>
      <w:r w:rsidR="0081271E">
        <w:rPr>
          <w:rFonts w:cs="AdvP497E2"/>
          <w:color w:val="000000" w:themeColor="text1"/>
          <w:sz w:val="24"/>
          <w:szCs w:val="24"/>
        </w:rPr>
        <w:t>C</w:t>
      </w:r>
      <w:r>
        <w:rPr>
          <w:rFonts w:cs="AdvP497E2"/>
          <w:color w:val="000000" w:themeColor="text1"/>
          <w:sz w:val="24"/>
          <w:szCs w:val="24"/>
        </w:rPr>
        <w:t xml:space="preserve">onventions </w:t>
      </w:r>
      <w:r w:rsidRPr="00E62D06">
        <w:rPr>
          <w:rFonts w:cs="AdvP497E2"/>
          <w:color w:val="000000" w:themeColor="text1"/>
          <w:sz w:val="24"/>
          <w:szCs w:val="24"/>
        </w:rPr>
        <w:t>are obligated to make production, sale, transport and distribution of drugs for non-medical purposes a criminal act</w:t>
      </w:r>
      <w:r>
        <w:rPr>
          <w:rFonts w:cs="AdvP497E2"/>
          <w:color w:val="000000" w:themeColor="text1"/>
          <w:sz w:val="24"/>
          <w:szCs w:val="24"/>
        </w:rPr>
        <w:t>.</w:t>
      </w:r>
      <w:r w:rsidRPr="00E62D06">
        <w:rPr>
          <w:rFonts w:cs="AdvP497E2"/>
          <w:color w:val="000000" w:themeColor="text1"/>
          <w:sz w:val="24"/>
          <w:szCs w:val="24"/>
        </w:rPr>
        <w:t xml:space="preserve"> </w:t>
      </w:r>
      <w:r w:rsidR="000D0E72">
        <w:rPr>
          <w:rFonts w:cs="AdvP497E2"/>
          <w:color w:val="000000" w:themeColor="text1"/>
          <w:sz w:val="24"/>
          <w:szCs w:val="24"/>
        </w:rPr>
        <w:t>T</w:t>
      </w:r>
      <w:r w:rsidR="000D0E72" w:rsidRPr="00E62D06">
        <w:rPr>
          <w:rFonts w:cs="AdvP497E2"/>
          <w:color w:val="000000" w:themeColor="text1"/>
          <w:sz w:val="24"/>
          <w:szCs w:val="24"/>
        </w:rPr>
        <w:t>he conventions do no</w:t>
      </w:r>
      <w:r w:rsidR="000D0E72">
        <w:rPr>
          <w:rFonts w:cs="AdvP497E2"/>
          <w:color w:val="000000" w:themeColor="text1"/>
          <w:sz w:val="24"/>
          <w:szCs w:val="24"/>
        </w:rPr>
        <w:t>t, however,</w:t>
      </w:r>
      <w:r w:rsidR="000D0E72" w:rsidRPr="00E62D06">
        <w:rPr>
          <w:rFonts w:cs="AdvP497E2"/>
          <w:color w:val="000000" w:themeColor="text1"/>
          <w:sz w:val="24"/>
          <w:szCs w:val="24"/>
        </w:rPr>
        <w:t xml:space="preserve"> oblige </w:t>
      </w:r>
      <w:r w:rsidR="000D0E72">
        <w:rPr>
          <w:rFonts w:cs="AdvP497E2"/>
          <w:color w:val="000000" w:themeColor="text1"/>
          <w:sz w:val="24"/>
          <w:szCs w:val="24"/>
        </w:rPr>
        <w:t xml:space="preserve">criminal sanctions to be imposed for possession and consumption per se. </w:t>
      </w:r>
      <w:r w:rsidR="0081271E">
        <w:rPr>
          <w:rFonts w:cs="AdvP497E2"/>
          <w:color w:val="000000" w:themeColor="text1"/>
          <w:sz w:val="24"/>
          <w:szCs w:val="24"/>
        </w:rPr>
        <w:t xml:space="preserve">National legislation and implementation may introduce </w:t>
      </w:r>
      <w:r w:rsidR="0081271E" w:rsidRPr="0086554F">
        <w:rPr>
          <w:rFonts w:cs="AdvP497E2"/>
          <w:color w:val="000000"/>
          <w:sz w:val="24"/>
          <w:szCs w:val="20"/>
        </w:rPr>
        <w:t>stricter domestic legislation</w:t>
      </w:r>
      <w:r w:rsidR="0081271E">
        <w:rPr>
          <w:rFonts w:cs="AdvP497E2"/>
          <w:color w:val="000000"/>
          <w:sz w:val="24"/>
          <w:szCs w:val="20"/>
        </w:rPr>
        <w:t xml:space="preserve"> </w:t>
      </w:r>
      <w:r w:rsidR="0081271E" w:rsidRPr="0086554F">
        <w:rPr>
          <w:rFonts w:cs="AdvP497E2"/>
          <w:color w:val="000000"/>
          <w:sz w:val="24"/>
          <w:szCs w:val="20"/>
        </w:rPr>
        <w:t>than that demanded by the Con</w:t>
      </w:r>
      <w:r w:rsidR="0081271E" w:rsidRPr="0086554F">
        <w:rPr>
          <w:rFonts w:cs="AdvTR"/>
          <w:color w:val="000000"/>
          <w:sz w:val="24"/>
          <w:szCs w:val="20"/>
        </w:rPr>
        <w:t>v</w:t>
      </w:r>
      <w:r w:rsidR="0081271E" w:rsidRPr="0086554F">
        <w:rPr>
          <w:rFonts w:cs="AdvP497E2"/>
          <w:color w:val="000000"/>
          <w:sz w:val="24"/>
          <w:szCs w:val="20"/>
        </w:rPr>
        <w:t>entions but they should</w:t>
      </w:r>
      <w:r w:rsidR="0081271E">
        <w:rPr>
          <w:rFonts w:cs="AdvP497E2"/>
          <w:color w:val="000000"/>
          <w:sz w:val="24"/>
          <w:szCs w:val="20"/>
        </w:rPr>
        <w:t xml:space="preserve"> </w:t>
      </w:r>
      <w:r w:rsidR="0081271E" w:rsidRPr="0086554F">
        <w:rPr>
          <w:rFonts w:cs="AdvP497E2"/>
          <w:color w:val="000000"/>
          <w:sz w:val="24"/>
          <w:szCs w:val="20"/>
        </w:rPr>
        <w:t>not bring in more lenient legislation</w:t>
      </w:r>
      <w:r w:rsidR="0081271E" w:rsidRPr="0086554F">
        <w:rPr>
          <w:rStyle w:val="Sluttnotereferanse"/>
          <w:rFonts w:cs="AdvP497E2"/>
          <w:color w:val="000000" w:themeColor="text1"/>
          <w:sz w:val="24"/>
          <w:szCs w:val="24"/>
        </w:rPr>
        <w:endnoteReference w:id="1"/>
      </w:r>
      <w:r w:rsidR="0081271E" w:rsidRPr="0086554F">
        <w:rPr>
          <w:rFonts w:cs="AdvP497E2"/>
          <w:color w:val="000000" w:themeColor="text1"/>
          <w:sz w:val="24"/>
          <w:szCs w:val="24"/>
        </w:rPr>
        <w:t>.</w:t>
      </w:r>
      <w:r w:rsidR="0081271E">
        <w:rPr>
          <w:rFonts w:cs="AdvP497E2"/>
          <w:color w:val="000000" w:themeColor="text1"/>
          <w:sz w:val="24"/>
          <w:szCs w:val="24"/>
        </w:rPr>
        <w:t xml:space="preserve"> </w:t>
      </w:r>
      <w:r>
        <w:rPr>
          <w:rFonts w:cs="AdvP497E2"/>
          <w:color w:val="000000" w:themeColor="text1"/>
          <w:sz w:val="24"/>
          <w:szCs w:val="24"/>
        </w:rPr>
        <w:t xml:space="preserve"> </w:t>
      </w:r>
      <w:r>
        <w:rPr>
          <w:rFonts w:cs="Arial"/>
          <w:color w:val="000000" w:themeColor="text1"/>
          <w:sz w:val="24"/>
        </w:rPr>
        <w:t xml:space="preserve">In most states, violation of the drug laws result in criminal sanctions, if caught by the authorities. The drugs’ illegal status, and the corresponding control regimes, separates </w:t>
      </w:r>
      <w:r>
        <w:rPr>
          <w:rFonts w:cs="Arial"/>
          <w:color w:val="000000" w:themeColor="text1"/>
          <w:sz w:val="24"/>
        </w:rPr>
        <w:lastRenderedPageBreak/>
        <w:t xml:space="preserve">them from other psychoactive substances, such as alcohol, even though strict (but non-criminal) regulations </w:t>
      </w:r>
      <w:r w:rsidR="0081271E">
        <w:rPr>
          <w:rFonts w:cs="Arial"/>
          <w:color w:val="000000" w:themeColor="text1"/>
          <w:sz w:val="24"/>
        </w:rPr>
        <w:t>may</w:t>
      </w:r>
      <w:r>
        <w:rPr>
          <w:rFonts w:cs="Arial"/>
          <w:color w:val="000000" w:themeColor="text1"/>
          <w:sz w:val="24"/>
        </w:rPr>
        <w:t xml:space="preserve"> apply also there. </w:t>
      </w:r>
    </w:p>
    <w:p w:rsidR="00B0251E" w:rsidRPr="00BE15B8" w:rsidRDefault="00B45810" w:rsidP="00B45810">
      <w:pPr>
        <w:jc w:val="both"/>
        <w:rPr>
          <w:rFonts w:asciiTheme="minorHAnsi" w:hAnsiTheme="minorHAnsi"/>
          <w:iCs/>
          <w:sz w:val="24"/>
          <w:szCs w:val="24"/>
        </w:rPr>
      </w:pPr>
      <w:r w:rsidRPr="00BE15B8">
        <w:rPr>
          <w:rFonts w:asciiTheme="minorHAnsi" w:hAnsiTheme="minorHAnsi"/>
          <w:sz w:val="24"/>
          <w:szCs w:val="24"/>
        </w:rPr>
        <w:t>The</w:t>
      </w:r>
      <w:r>
        <w:rPr>
          <w:rFonts w:asciiTheme="minorHAnsi" w:hAnsiTheme="minorHAnsi"/>
          <w:sz w:val="24"/>
          <w:szCs w:val="24"/>
        </w:rPr>
        <w:t xml:space="preserve"> 2013-2020</w:t>
      </w:r>
      <w:r w:rsidRPr="00BE15B8">
        <w:rPr>
          <w:rFonts w:asciiTheme="minorHAnsi" w:hAnsiTheme="minorHAnsi"/>
          <w:sz w:val="24"/>
          <w:szCs w:val="24"/>
        </w:rPr>
        <w:t xml:space="preserve"> European Union Drug Strategy </w:t>
      </w:r>
      <w:r>
        <w:rPr>
          <w:sz w:val="24"/>
          <w:szCs w:val="24"/>
          <w:lang w:val="en-US"/>
        </w:rPr>
        <w:t>(</w:t>
      </w:r>
      <w:r w:rsidRPr="008C0927">
        <w:rPr>
          <w:rFonts w:cs="Calibri"/>
          <w:sz w:val="24"/>
        </w:rPr>
        <w:t>Council of the European Union, 2013)</w:t>
      </w:r>
      <w:r w:rsidRPr="008C0927">
        <w:rPr>
          <w:rFonts w:cs="Calibri"/>
        </w:rPr>
        <w:t xml:space="preserve"> </w:t>
      </w:r>
      <w:r w:rsidRPr="00BE15B8">
        <w:rPr>
          <w:rFonts w:asciiTheme="minorHAnsi" w:hAnsiTheme="minorHAnsi"/>
          <w:sz w:val="24"/>
          <w:szCs w:val="24"/>
        </w:rPr>
        <w:t>and the EU Action Plan to Combat Drugs 2013-2016 () stress that the evaluation of a drug policy is an integral part of the European Union approach to fight illicit drugs.</w:t>
      </w:r>
      <w:r>
        <w:rPr>
          <w:rFonts w:asciiTheme="minorHAnsi" w:hAnsiTheme="minorHAnsi"/>
          <w:sz w:val="24"/>
          <w:szCs w:val="24"/>
        </w:rPr>
        <w:t xml:space="preserve"> </w:t>
      </w:r>
      <w:r w:rsidR="001C57F7">
        <w:rPr>
          <w:rFonts w:asciiTheme="minorHAnsi" w:hAnsiTheme="minorHAnsi"/>
          <w:bCs/>
          <w:color w:val="000000" w:themeColor="text1"/>
          <w:sz w:val="24"/>
          <w:szCs w:val="24"/>
        </w:rPr>
        <w:t>C</w:t>
      </w:r>
      <w:r w:rsidR="0080744E" w:rsidRPr="00BE15B8">
        <w:rPr>
          <w:rFonts w:asciiTheme="minorHAnsi" w:hAnsiTheme="minorHAnsi"/>
          <w:bCs/>
          <w:color w:val="000000" w:themeColor="text1"/>
          <w:sz w:val="24"/>
          <w:szCs w:val="24"/>
        </w:rPr>
        <w:t xml:space="preserve">omparing public expenditure </w:t>
      </w:r>
      <w:r w:rsidR="002B4E6E" w:rsidRPr="00BE15B8">
        <w:rPr>
          <w:rFonts w:asciiTheme="minorHAnsi" w:hAnsiTheme="minorHAnsi"/>
          <w:bCs/>
          <w:color w:val="000000" w:themeColor="text1"/>
          <w:sz w:val="24"/>
          <w:szCs w:val="24"/>
        </w:rPr>
        <w:t xml:space="preserve">on </w:t>
      </w:r>
      <w:r w:rsidR="0080744E" w:rsidRPr="00BE15B8">
        <w:rPr>
          <w:rFonts w:asciiTheme="minorHAnsi" w:hAnsiTheme="minorHAnsi"/>
          <w:bCs/>
          <w:color w:val="000000" w:themeColor="text1"/>
          <w:sz w:val="24"/>
          <w:szCs w:val="24"/>
        </w:rPr>
        <w:t xml:space="preserve">demand and supply </w:t>
      </w:r>
      <w:r w:rsidR="001C57F7">
        <w:rPr>
          <w:rFonts w:asciiTheme="minorHAnsi" w:hAnsiTheme="minorHAnsi"/>
          <w:bCs/>
          <w:color w:val="000000" w:themeColor="text1"/>
          <w:sz w:val="24"/>
          <w:szCs w:val="24"/>
        </w:rPr>
        <w:t>reduction</w:t>
      </w:r>
      <w:r w:rsidR="0080744E" w:rsidRPr="00BE15B8">
        <w:rPr>
          <w:rFonts w:asciiTheme="minorHAnsi" w:hAnsiTheme="minorHAnsi"/>
          <w:bCs/>
          <w:color w:val="000000" w:themeColor="text1"/>
          <w:sz w:val="24"/>
          <w:szCs w:val="24"/>
        </w:rPr>
        <w:t xml:space="preserve"> efforts is o</w:t>
      </w:r>
      <w:r w:rsidR="00DE1E1E" w:rsidRPr="00BE15B8">
        <w:rPr>
          <w:rFonts w:asciiTheme="minorHAnsi" w:hAnsiTheme="minorHAnsi"/>
          <w:bCs/>
          <w:color w:val="000000" w:themeColor="text1"/>
          <w:sz w:val="24"/>
          <w:szCs w:val="24"/>
        </w:rPr>
        <w:t xml:space="preserve">ne way of examining the </w:t>
      </w:r>
      <w:r w:rsidR="0095077B">
        <w:rPr>
          <w:rFonts w:asciiTheme="minorHAnsi" w:hAnsiTheme="minorHAnsi"/>
          <w:bCs/>
          <w:color w:val="000000" w:themeColor="text1"/>
          <w:sz w:val="24"/>
          <w:szCs w:val="24"/>
        </w:rPr>
        <w:t>authorities</w:t>
      </w:r>
      <w:r w:rsidR="00865B8C">
        <w:rPr>
          <w:rFonts w:asciiTheme="minorHAnsi" w:hAnsiTheme="minorHAnsi"/>
          <w:bCs/>
          <w:color w:val="000000" w:themeColor="text1"/>
          <w:sz w:val="24"/>
          <w:szCs w:val="24"/>
        </w:rPr>
        <w:t>’</w:t>
      </w:r>
      <w:r w:rsidR="0095077B">
        <w:rPr>
          <w:rFonts w:asciiTheme="minorHAnsi" w:hAnsiTheme="minorHAnsi"/>
          <w:bCs/>
          <w:color w:val="000000" w:themeColor="text1"/>
          <w:sz w:val="24"/>
          <w:szCs w:val="24"/>
        </w:rPr>
        <w:t xml:space="preserve"> response to the drug problem</w:t>
      </w:r>
      <w:r w:rsidR="00E53E98">
        <w:rPr>
          <w:rFonts w:asciiTheme="minorHAnsi" w:hAnsiTheme="minorHAnsi"/>
          <w:bCs/>
          <w:color w:val="000000" w:themeColor="text1"/>
          <w:sz w:val="24"/>
          <w:szCs w:val="24"/>
        </w:rPr>
        <w:t xml:space="preserve">. </w:t>
      </w:r>
      <w:r w:rsidR="00E53E98" w:rsidRPr="00BE15B8">
        <w:rPr>
          <w:rFonts w:asciiTheme="minorHAnsi" w:hAnsiTheme="minorHAnsi"/>
          <w:iCs/>
          <w:sz w:val="24"/>
          <w:szCs w:val="24"/>
        </w:rPr>
        <w:t xml:space="preserve">Further, accurate estimates of public expenditure necessary for implementing drug policy initiatives will help policy makers to plan relevant interventions and make the required funds available for the authorities in charge of implementing these interventions. </w:t>
      </w:r>
      <w:r w:rsidR="00DE1E1E" w:rsidRPr="00BE15B8">
        <w:rPr>
          <w:rFonts w:asciiTheme="minorHAnsi" w:hAnsiTheme="minorHAnsi"/>
          <w:bCs/>
          <w:color w:val="000000" w:themeColor="text1"/>
          <w:sz w:val="24"/>
          <w:szCs w:val="24"/>
        </w:rPr>
        <w:t xml:space="preserve"> </w:t>
      </w:r>
      <w:r w:rsidR="00E53E98">
        <w:rPr>
          <w:rFonts w:asciiTheme="minorHAnsi" w:hAnsiTheme="minorHAnsi"/>
          <w:bCs/>
          <w:color w:val="000000" w:themeColor="text1"/>
          <w:sz w:val="24"/>
          <w:szCs w:val="24"/>
        </w:rPr>
        <w:t xml:space="preserve">Moreover, </w:t>
      </w:r>
      <w:r w:rsidR="00EC6669" w:rsidRPr="00BE15B8">
        <w:rPr>
          <w:rFonts w:asciiTheme="minorHAnsi" w:hAnsiTheme="minorHAnsi"/>
          <w:iCs/>
          <w:sz w:val="24"/>
          <w:szCs w:val="24"/>
        </w:rPr>
        <w:t xml:space="preserve">also </w:t>
      </w:r>
      <w:r w:rsidR="00E70CC0" w:rsidRPr="00BE15B8">
        <w:rPr>
          <w:rFonts w:asciiTheme="minorHAnsi" w:hAnsiTheme="minorHAnsi"/>
          <w:iCs/>
          <w:sz w:val="24"/>
          <w:szCs w:val="24"/>
        </w:rPr>
        <w:t xml:space="preserve">cross-country comparisons of the level and composition of drug expenditures </w:t>
      </w:r>
      <w:r w:rsidR="00EC6669" w:rsidRPr="00BE15B8">
        <w:rPr>
          <w:rFonts w:asciiTheme="minorHAnsi" w:hAnsiTheme="minorHAnsi"/>
          <w:iCs/>
          <w:sz w:val="24"/>
          <w:szCs w:val="24"/>
        </w:rPr>
        <w:t>may be</w:t>
      </w:r>
      <w:r w:rsidR="00050AEE" w:rsidRPr="00BE15B8">
        <w:rPr>
          <w:rFonts w:asciiTheme="minorHAnsi" w:hAnsiTheme="minorHAnsi"/>
          <w:iCs/>
          <w:sz w:val="24"/>
          <w:szCs w:val="24"/>
        </w:rPr>
        <w:t xml:space="preserve"> useful</w:t>
      </w:r>
      <w:r w:rsidR="00E70CC0" w:rsidRPr="00BE15B8">
        <w:rPr>
          <w:rFonts w:asciiTheme="minorHAnsi" w:hAnsiTheme="minorHAnsi"/>
          <w:iCs/>
          <w:sz w:val="24"/>
          <w:szCs w:val="24"/>
        </w:rPr>
        <w:t xml:space="preserve"> </w:t>
      </w:r>
      <w:r w:rsidR="00EC6669" w:rsidRPr="00BE15B8">
        <w:rPr>
          <w:rFonts w:asciiTheme="minorHAnsi" w:hAnsiTheme="minorHAnsi"/>
          <w:iCs/>
          <w:sz w:val="24"/>
          <w:szCs w:val="24"/>
        </w:rPr>
        <w:t>for</w:t>
      </w:r>
      <w:r w:rsidR="00E70CC0" w:rsidRPr="00BE15B8">
        <w:rPr>
          <w:rFonts w:asciiTheme="minorHAnsi" w:hAnsiTheme="minorHAnsi"/>
          <w:iCs/>
          <w:sz w:val="24"/>
          <w:szCs w:val="24"/>
        </w:rPr>
        <w:t xml:space="preserve"> decision makers </w:t>
      </w:r>
      <w:r w:rsidR="003C5D8C" w:rsidRPr="00BE15B8">
        <w:rPr>
          <w:rFonts w:asciiTheme="minorHAnsi" w:hAnsiTheme="minorHAnsi"/>
          <w:iCs/>
          <w:sz w:val="24"/>
          <w:szCs w:val="24"/>
        </w:rPr>
        <w:t>evaluatin</w:t>
      </w:r>
      <w:r w:rsidR="00EC6669" w:rsidRPr="00BE15B8">
        <w:rPr>
          <w:rFonts w:asciiTheme="minorHAnsi" w:hAnsiTheme="minorHAnsi"/>
          <w:iCs/>
          <w:sz w:val="24"/>
          <w:szCs w:val="24"/>
        </w:rPr>
        <w:t>g</w:t>
      </w:r>
      <w:r w:rsidR="003C5D8C" w:rsidRPr="00BE15B8">
        <w:rPr>
          <w:rFonts w:asciiTheme="minorHAnsi" w:hAnsiTheme="minorHAnsi"/>
          <w:iCs/>
          <w:sz w:val="24"/>
          <w:szCs w:val="24"/>
        </w:rPr>
        <w:t xml:space="preserve"> national</w:t>
      </w:r>
      <w:r w:rsidR="00EC6669" w:rsidRPr="00BE15B8">
        <w:rPr>
          <w:rFonts w:asciiTheme="minorHAnsi" w:hAnsiTheme="minorHAnsi"/>
          <w:iCs/>
          <w:sz w:val="24"/>
          <w:szCs w:val="24"/>
        </w:rPr>
        <w:t xml:space="preserve"> drug </w:t>
      </w:r>
      <w:r w:rsidR="003C5D8C" w:rsidRPr="00BE15B8">
        <w:rPr>
          <w:rFonts w:asciiTheme="minorHAnsi" w:hAnsiTheme="minorHAnsi"/>
          <w:iCs/>
          <w:sz w:val="24"/>
          <w:szCs w:val="24"/>
        </w:rPr>
        <w:t xml:space="preserve">policies </w:t>
      </w:r>
      <w:r w:rsidR="00E70CC0" w:rsidRPr="00BE15B8">
        <w:rPr>
          <w:rFonts w:asciiTheme="minorHAnsi" w:hAnsiTheme="minorHAnsi"/>
          <w:iCs/>
          <w:sz w:val="24"/>
          <w:szCs w:val="24"/>
        </w:rPr>
        <w:t>(EMCDDA 2008).</w:t>
      </w:r>
      <w:r w:rsidR="00DB21D1" w:rsidRPr="00BE15B8">
        <w:rPr>
          <w:rFonts w:asciiTheme="minorHAnsi" w:hAnsiTheme="minorHAnsi"/>
          <w:sz w:val="24"/>
          <w:szCs w:val="24"/>
        </w:rPr>
        <w:t xml:space="preserve"> </w:t>
      </w:r>
      <w:r w:rsidR="00E53E98" w:rsidRPr="00BE15B8">
        <w:rPr>
          <w:rFonts w:asciiTheme="minorHAnsi" w:hAnsiTheme="minorHAnsi"/>
          <w:iCs/>
          <w:sz w:val="24"/>
          <w:szCs w:val="24"/>
        </w:rPr>
        <w:t>In addition, a thorough a</w:t>
      </w:r>
      <w:r w:rsidR="00E53E98" w:rsidRPr="00BE15B8">
        <w:rPr>
          <w:rFonts w:asciiTheme="minorHAnsi" w:hAnsiTheme="minorHAnsi"/>
          <w:bCs/>
          <w:color w:val="000000" w:themeColor="text1"/>
          <w:sz w:val="24"/>
          <w:szCs w:val="24"/>
        </w:rPr>
        <w:t xml:space="preserve">ssessment of drug policy expenditures will contribute to improved transparency and accountability of public institutions. </w:t>
      </w:r>
      <w:r w:rsidR="00B0251E" w:rsidRPr="00BE15B8">
        <w:rPr>
          <w:rFonts w:asciiTheme="minorHAnsi" w:hAnsiTheme="minorHAnsi"/>
          <w:iCs/>
          <w:sz w:val="24"/>
          <w:szCs w:val="24"/>
        </w:rPr>
        <w:t>Sound planning, i</w:t>
      </w:r>
      <w:r w:rsidR="00B0251E" w:rsidRPr="00BE15B8">
        <w:rPr>
          <w:rFonts w:asciiTheme="minorHAnsi" w:hAnsiTheme="minorHAnsi"/>
          <w:color w:val="000000" w:themeColor="text1"/>
          <w:sz w:val="24"/>
        </w:rPr>
        <w:t>mproved knowledge with regard to the recourses allocated to this policy field</w:t>
      </w:r>
      <w:r w:rsidR="00B0251E" w:rsidRPr="00BE15B8">
        <w:rPr>
          <w:rFonts w:asciiTheme="minorHAnsi" w:hAnsiTheme="minorHAnsi"/>
          <w:iCs/>
          <w:sz w:val="24"/>
          <w:szCs w:val="24"/>
        </w:rPr>
        <w:t xml:space="preserve"> and cost-effective resource allocation are particularly required in times of economic downturns and reduced available resources. </w:t>
      </w:r>
    </w:p>
    <w:p w:rsidR="00F90497" w:rsidRDefault="00E85F95" w:rsidP="00F90497">
      <w:pPr>
        <w:spacing w:before="240" w:after="0"/>
        <w:jc w:val="both"/>
        <w:rPr>
          <w:rFonts w:asciiTheme="minorHAnsi" w:hAnsiTheme="minorHAnsi"/>
          <w:iCs/>
          <w:sz w:val="24"/>
          <w:szCs w:val="24"/>
        </w:rPr>
      </w:pPr>
      <w:r w:rsidRPr="00BE15B8">
        <w:rPr>
          <w:rFonts w:asciiTheme="minorHAnsi" w:hAnsiTheme="minorHAnsi"/>
          <w:iCs/>
          <w:sz w:val="24"/>
          <w:szCs w:val="24"/>
        </w:rPr>
        <w:t>Achieving resource efficiency implies giving priority to those interventions providing the greatest output per unit cost (EMCDDA, 2008). Efficiency means measuring whether the available resources are used in an optimal way to achieve objectives. Cost-efficiency requires considering the relationship between resource inputs (the costs of labour, capital and/or equipment); intermediate (e.g. number of problematic drug dealers arrested) or final outputs (e.g. lives saved, life years gained, percentage reduction in crimes committed) and policy goals</w:t>
      </w:r>
      <w:r>
        <w:rPr>
          <w:rFonts w:asciiTheme="minorHAnsi" w:hAnsiTheme="minorHAnsi"/>
          <w:iCs/>
          <w:sz w:val="24"/>
          <w:szCs w:val="24"/>
        </w:rPr>
        <w:t xml:space="preserve">. </w:t>
      </w:r>
      <w:r w:rsidR="00F90497">
        <w:rPr>
          <w:rFonts w:asciiTheme="minorHAnsi" w:hAnsiTheme="minorHAnsi"/>
          <w:iCs/>
          <w:sz w:val="24"/>
          <w:szCs w:val="24"/>
        </w:rPr>
        <w:t>It implies</w:t>
      </w:r>
      <w:r w:rsidRPr="00BE15B8">
        <w:rPr>
          <w:rFonts w:asciiTheme="minorHAnsi" w:hAnsiTheme="minorHAnsi"/>
          <w:iCs/>
          <w:sz w:val="24"/>
          <w:szCs w:val="24"/>
        </w:rPr>
        <w:t xml:space="preserve"> either achieving a given set objectives at the least cost or maximizing achievement at a given cost. </w:t>
      </w:r>
      <w:r>
        <w:rPr>
          <w:rFonts w:asciiTheme="minorHAnsi" w:hAnsiTheme="minorHAnsi"/>
          <w:iCs/>
          <w:sz w:val="24"/>
          <w:szCs w:val="24"/>
        </w:rPr>
        <w:t xml:space="preserve">For drug policy evaluation, achievements can be </w:t>
      </w:r>
      <w:r w:rsidR="00D940B4">
        <w:rPr>
          <w:rFonts w:asciiTheme="minorHAnsi" w:hAnsiTheme="minorHAnsi"/>
          <w:iCs/>
          <w:sz w:val="24"/>
          <w:szCs w:val="24"/>
        </w:rPr>
        <w:t>defined and measured by various factors</w:t>
      </w:r>
      <w:r w:rsidR="00F90497">
        <w:rPr>
          <w:rFonts w:asciiTheme="minorHAnsi" w:hAnsiTheme="minorHAnsi"/>
          <w:iCs/>
          <w:sz w:val="24"/>
          <w:szCs w:val="24"/>
        </w:rPr>
        <w:t>,</w:t>
      </w:r>
      <w:r w:rsidR="00D940B4">
        <w:rPr>
          <w:rFonts w:asciiTheme="minorHAnsi" w:hAnsiTheme="minorHAnsi"/>
          <w:iCs/>
          <w:sz w:val="24"/>
          <w:szCs w:val="24"/>
        </w:rPr>
        <w:t xml:space="preserve"> such as reduction in </w:t>
      </w:r>
      <w:r w:rsidR="000D0E72">
        <w:rPr>
          <w:rFonts w:asciiTheme="minorHAnsi" w:hAnsiTheme="minorHAnsi"/>
          <w:iCs/>
          <w:sz w:val="24"/>
          <w:szCs w:val="24"/>
        </w:rPr>
        <w:t xml:space="preserve">the number of </w:t>
      </w:r>
      <w:r w:rsidR="00D940B4">
        <w:rPr>
          <w:rFonts w:asciiTheme="minorHAnsi" w:hAnsiTheme="minorHAnsi"/>
          <w:iCs/>
          <w:sz w:val="24"/>
          <w:szCs w:val="24"/>
        </w:rPr>
        <w:t>drug use</w:t>
      </w:r>
      <w:r w:rsidR="000D0E72">
        <w:rPr>
          <w:rFonts w:asciiTheme="minorHAnsi" w:hAnsiTheme="minorHAnsi"/>
          <w:iCs/>
          <w:sz w:val="24"/>
          <w:szCs w:val="24"/>
        </w:rPr>
        <w:t>rs</w:t>
      </w:r>
      <w:r w:rsidR="00D940B4">
        <w:rPr>
          <w:rFonts w:asciiTheme="minorHAnsi" w:hAnsiTheme="minorHAnsi"/>
          <w:iCs/>
          <w:sz w:val="24"/>
          <w:szCs w:val="24"/>
        </w:rPr>
        <w:t xml:space="preserve">, reduction in drug-related harms, etc. </w:t>
      </w:r>
    </w:p>
    <w:p w:rsidR="00F90497" w:rsidRPr="00BE15B8" w:rsidRDefault="0089590F" w:rsidP="00F90497">
      <w:pPr>
        <w:spacing w:before="240" w:after="0"/>
        <w:jc w:val="both"/>
        <w:rPr>
          <w:rFonts w:asciiTheme="minorHAnsi" w:hAnsiTheme="minorHAnsi"/>
          <w:sz w:val="24"/>
          <w:szCs w:val="24"/>
        </w:rPr>
      </w:pPr>
      <w:r>
        <w:rPr>
          <w:rFonts w:asciiTheme="minorHAnsi" w:hAnsiTheme="minorHAnsi"/>
          <w:iCs/>
          <w:sz w:val="24"/>
          <w:szCs w:val="24"/>
        </w:rPr>
        <w:t xml:space="preserve">Irrespective of the chosen measure, however, will the public resources allocated to gain the achievement, the public expenditure, be the central cost factor.  </w:t>
      </w:r>
      <w:r w:rsidR="00F90497" w:rsidRPr="00BE15B8">
        <w:rPr>
          <w:rFonts w:asciiTheme="minorHAnsi" w:hAnsiTheme="minorHAnsi"/>
          <w:sz w:val="24"/>
          <w:szCs w:val="24"/>
        </w:rPr>
        <w:t>Public expenditure</w:t>
      </w:r>
      <w:r w:rsidR="00F90497" w:rsidRPr="00BE15B8">
        <w:rPr>
          <w:rFonts w:asciiTheme="minorHAnsi" w:hAnsiTheme="minorHAnsi"/>
          <w:sz w:val="24"/>
          <w:szCs w:val="24"/>
          <w:lang w:bidi="ur-PK"/>
        </w:rPr>
        <w:t xml:space="preserve"> studies</w:t>
      </w:r>
      <w:r w:rsidR="00F90497" w:rsidRPr="00BE15B8">
        <w:rPr>
          <w:rFonts w:asciiTheme="minorHAnsi" w:hAnsiTheme="minorHAnsi"/>
          <w:sz w:val="24"/>
          <w:szCs w:val="24"/>
        </w:rPr>
        <w:t xml:space="preserve"> aim to estimate the amount of resources spent, or needed, to implement targeted interventions in a particular policy field. The amount of funds allocated to drug policy reveal to what extent the policy intentions are reflected in relevant budgets. </w:t>
      </w:r>
      <w:r w:rsidR="00F90497" w:rsidRPr="00BE15B8">
        <w:rPr>
          <w:rFonts w:asciiTheme="minorHAnsi" w:hAnsiTheme="minorHAnsi"/>
          <w:iCs/>
          <w:sz w:val="24"/>
          <w:szCs w:val="24"/>
        </w:rPr>
        <w:t xml:space="preserve">For policy makers, ex-post analyses are vital for examining if the funds were allocated as planned and if they were well spent, i.e. if the funds were cost-efficient. </w:t>
      </w:r>
      <w:r w:rsidR="00F90497" w:rsidRPr="00BE15B8">
        <w:rPr>
          <w:rFonts w:asciiTheme="minorHAnsi" w:hAnsiTheme="minorHAnsi"/>
          <w:sz w:val="24"/>
          <w:szCs w:val="24"/>
        </w:rPr>
        <w:t xml:space="preserve">When complemented with an assessment the policy objectives achieved, public expenditure studies serve as an important input for a thorough policy evaluation. </w:t>
      </w:r>
    </w:p>
    <w:p w:rsidR="003745BD" w:rsidRPr="00BE15B8" w:rsidRDefault="003745BD" w:rsidP="00E85F95">
      <w:pPr>
        <w:spacing w:before="240"/>
        <w:jc w:val="both"/>
        <w:rPr>
          <w:rFonts w:asciiTheme="minorHAnsi" w:hAnsiTheme="minorHAnsi"/>
          <w:color w:val="000000" w:themeColor="text1"/>
          <w:sz w:val="24"/>
        </w:rPr>
      </w:pPr>
      <w:r w:rsidRPr="00BE15B8">
        <w:rPr>
          <w:rFonts w:asciiTheme="minorHAnsi" w:hAnsiTheme="minorHAnsi"/>
          <w:color w:val="000000" w:themeColor="text1"/>
          <w:sz w:val="24"/>
        </w:rPr>
        <w:t xml:space="preserve">To </w:t>
      </w:r>
      <w:r w:rsidR="00E53E98">
        <w:rPr>
          <w:rFonts w:asciiTheme="minorHAnsi" w:hAnsiTheme="minorHAnsi"/>
          <w:color w:val="000000" w:themeColor="text1"/>
          <w:sz w:val="24"/>
        </w:rPr>
        <w:t xml:space="preserve">investigate an </w:t>
      </w:r>
      <w:r w:rsidRPr="00BE15B8">
        <w:rPr>
          <w:rFonts w:asciiTheme="minorHAnsi" w:hAnsiTheme="minorHAnsi"/>
          <w:color w:val="000000" w:themeColor="text1"/>
          <w:sz w:val="24"/>
        </w:rPr>
        <w:t>optim</w:t>
      </w:r>
      <w:r w:rsidR="00E53E98">
        <w:rPr>
          <w:rFonts w:asciiTheme="minorHAnsi" w:hAnsiTheme="minorHAnsi"/>
          <w:color w:val="000000" w:themeColor="text1"/>
          <w:sz w:val="24"/>
        </w:rPr>
        <w:t>al</w:t>
      </w:r>
      <w:r w:rsidRPr="00BE15B8">
        <w:rPr>
          <w:rFonts w:asciiTheme="minorHAnsi" w:hAnsiTheme="minorHAnsi"/>
          <w:color w:val="000000" w:themeColor="text1"/>
          <w:sz w:val="24"/>
        </w:rPr>
        <w:t xml:space="preserve"> the resources allocation </w:t>
      </w:r>
      <w:r w:rsidR="00E53E98">
        <w:rPr>
          <w:rFonts w:asciiTheme="minorHAnsi" w:hAnsiTheme="minorHAnsi"/>
          <w:color w:val="000000" w:themeColor="text1"/>
          <w:sz w:val="24"/>
        </w:rPr>
        <w:t>in</w:t>
      </w:r>
      <w:r w:rsidRPr="00BE15B8">
        <w:rPr>
          <w:rFonts w:asciiTheme="minorHAnsi" w:hAnsiTheme="minorHAnsi"/>
          <w:color w:val="000000" w:themeColor="text1"/>
          <w:sz w:val="24"/>
        </w:rPr>
        <w:t xml:space="preserve"> th</w:t>
      </w:r>
      <w:r w:rsidR="00E53E98">
        <w:rPr>
          <w:rFonts w:asciiTheme="minorHAnsi" w:hAnsiTheme="minorHAnsi"/>
          <w:color w:val="000000" w:themeColor="text1"/>
          <w:sz w:val="24"/>
        </w:rPr>
        <w:t>e</w:t>
      </w:r>
      <w:r w:rsidRPr="00BE15B8">
        <w:rPr>
          <w:rFonts w:asciiTheme="minorHAnsi" w:hAnsiTheme="minorHAnsi"/>
          <w:color w:val="000000" w:themeColor="text1"/>
          <w:sz w:val="24"/>
        </w:rPr>
        <w:t xml:space="preserve"> field</w:t>
      </w:r>
      <w:r w:rsidR="000F6331">
        <w:rPr>
          <w:rFonts w:asciiTheme="minorHAnsi" w:hAnsiTheme="minorHAnsi"/>
          <w:color w:val="000000" w:themeColor="text1"/>
          <w:sz w:val="24"/>
        </w:rPr>
        <w:t xml:space="preserve"> of supply reduction</w:t>
      </w:r>
      <w:r w:rsidRPr="00BE15B8">
        <w:rPr>
          <w:rFonts w:asciiTheme="minorHAnsi" w:hAnsiTheme="minorHAnsi"/>
          <w:color w:val="000000" w:themeColor="text1"/>
          <w:sz w:val="24"/>
        </w:rPr>
        <w:t xml:space="preserve">, one ideally should conduct a cost-benefit analysis. A cost-benefit analysis systematically compares all costs and benefits of one particular policy area or project to determine whether there is a positive net benefit (i.e. whether benefits outweigh the costs). The analysis can also compare </w:t>
      </w:r>
      <w:r w:rsidRPr="00BE15B8">
        <w:rPr>
          <w:rFonts w:asciiTheme="minorHAnsi" w:hAnsiTheme="minorHAnsi"/>
          <w:color w:val="000000" w:themeColor="text1"/>
          <w:sz w:val="24"/>
        </w:rPr>
        <w:lastRenderedPageBreak/>
        <w:t>alternative policy options and evaluate the effectiveness of separate parts of a comprehensive policy. Unfortunately, a regular cost-benefit analysis</w:t>
      </w:r>
      <w:r w:rsidR="001D7881">
        <w:rPr>
          <w:rFonts w:asciiTheme="minorHAnsi" w:hAnsiTheme="minorHAnsi"/>
          <w:color w:val="000000" w:themeColor="text1"/>
          <w:sz w:val="24"/>
        </w:rPr>
        <w:t xml:space="preserve">, </w:t>
      </w:r>
      <w:r w:rsidR="0089590F">
        <w:rPr>
          <w:rFonts w:asciiTheme="minorHAnsi" w:hAnsiTheme="minorHAnsi"/>
          <w:color w:val="000000" w:themeColor="text1"/>
          <w:sz w:val="24"/>
        </w:rPr>
        <w:t>and also</w:t>
      </w:r>
      <w:r w:rsidR="001D7881">
        <w:rPr>
          <w:rFonts w:asciiTheme="minorHAnsi" w:hAnsiTheme="minorHAnsi"/>
          <w:color w:val="000000" w:themeColor="text1"/>
          <w:sz w:val="24"/>
        </w:rPr>
        <w:t xml:space="preserve"> cost-effectiveness or cost-utility </w:t>
      </w:r>
      <w:r w:rsidR="00E170AC">
        <w:rPr>
          <w:rFonts w:asciiTheme="minorHAnsi" w:hAnsiTheme="minorHAnsi"/>
          <w:color w:val="000000" w:themeColor="text1"/>
          <w:sz w:val="24"/>
        </w:rPr>
        <w:t>analyses</w:t>
      </w:r>
      <w:r w:rsidR="001D7881">
        <w:rPr>
          <w:rFonts w:asciiTheme="minorHAnsi" w:hAnsiTheme="minorHAnsi"/>
          <w:color w:val="000000" w:themeColor="text1"/>
          <w:sz w:val="24"/>
        </w:rPr>
        <w:t>,</w:t>
      </w:r>
      <w:r w:rsidRPr="00BE15B8">
        <w:rPr>
          <w:rFonts w:asciiTheme="minorHAnsi" w:hAnsiTheme="minorHAnsi"/>
          <w:color w:val="000000" w:themeColor="text1"/>
          <w:sz w:val="24"/>
        </w:rPr>
        <w:t xml:space="preserve"> </w:t>
      </w:r>
      <w:r w:rsidR="001D7881">
        <w:rPr>
          <w:rFonts w:asciiTheme="minorHAnsi" w:hAnsiTheme="minorHAnsi"/>
          <w:color w:val="000000" w:themeColor="text1"/>
          <w:sz w:val="24"/>
        </w:rPr>
        <w:t>are</w:t>
      </w:r>
      <w:r w:rsidRPr="00BE15B8">
        <w:rPr>
          <w:rFonts w:asciiTheme="minorHAnsi" w:hAnsiTheme="minorHAnsi"/>
          <w:color w:val="000000" w:themeColor="text1"/>
          <w:sz w:val="24"/>
        </w:rPr>
        <w:t xml:space="preserve"> currently </w:t>
      </w:r>
      <w:r w:rsidR="0089590F">
        <w:rPr>
          <w:rFonts w:asciiTheme="minorHAnsi" w:hAnsiTheme="minorHAnsi"/>
          <w:color w:val="000000" w:themeColor="text1"/>
          <w:sz w:val="24"/>
        </w:rPr>
        <w:t xml:space="preserve">not </w:t>
      </w:r>
      <w:bookmarkStart w:id="0" w:name="_GoBack"/>
      <w:bookmarkEnd w:id="0"/>
      <w:r w:rsidRPr="00BE15B8">
        <w:rPr>
          <w:rFonts w:asciiTheme="minorHAnsi" w:hAnsiTheme="minorHAnsi"/>
          <w:color w:val="000000" w:themeColor="text1"/>
          <w:sz w:val="24"/>
        </w:rPr>
        <w:t xml:space="preserve">attainable as the quantification of both benefits and costs of drug policies are underdeveloped. Still, a better understanding of </w:t>
      </w:r>
      <w:r w:rsidR="00E170AC">
        <w:rPr>
          <w:rFonts w:asciiTheme="minorHAnsi" w:hAnsiTheme="minorHAnsi"/>
          <w:color w:val="000000" w:themeColor="text1"/>
          <w:sz w:val="24"/>
        </w:rPr>
        <w:t xml:space="preserve">the </w:t>
      </w:r>
      <w:r w:rsidRPr="00BE15B8">
        <w:rPr>
          <w:rFonts w:asciiTheme="minorHAnsi" w:hAnsiTheme="minorHAnsi"/>
          <w:color w:val="000000" w:themeColor="text1"/>
          <w:sz w:val="24"/>
        </w:rPr>
        <w:t xml:space="preserve">elements involved is possible and useful. This report will take a first step towards such a systematic analysis by examining the public expenditure </w:t>
      </w:r>
      <w:r w:rsidR="00DB21D1" w:rsidRPr="00BE15B8">
        <w:rPr>
          <w:rFonts w:asciiTheme="minorHAnsi" w:hAnsiTheme="minorHAnsi"/>
          <w:color w:val="000000" w:themeColor="text1"/>
          <w:sz w:val="24"/>
        </w:rPr>
        <w:t>on</w:t>
      </w:r>
      <w:r w:rsidRPr="00BE15B8">
        <w:rPr>
          <w:rFonts w:asciiTheme="minorHAnsi" w:hAnsiTheme="minorHAnsi"/>
          <w:color w:val="000000" w:themeColor="text1"/>
          <w:sz w:val="24"/>
        </w:rPr>
        <w:t xml:space="preserve"> </w:t>
      </w:r>
      <w:r w:rsidR="00DB21D1" w:rsidRPr="00BE15B8">
        <w:rPr>
          <w:rFonts w:asciiTheme="minorHAnsi" w:hAnsiTheme="minorHAnsi"/>
          <w:color w:val="000000" w:themeColor="text1"/>
          <w:sz w:val="24"/>
        </w:rPr>
        <w:t>supply reduction</w:t>
      </w:r>
      <w:r w:rsidR="001D7881">
        <w:rPr>
          <w:rFonts w:asciiTheme="minorHAnsi" w:hAnsiTheme="minorHAnsi"/>
          <w:color w:val="000000" w:themeColor="text1"/>
          <w:sz w:val="24"/>
        </w:rPr>
        <w:t xml:space="preserve"> policies</w:t>
      </w:r>
      <w:r w:rsidRPr="00BE15B8">
        <w:rPr>
          <w:rFonts w:asciiTheme="minorHAnsi" w:hAnsiTheme="minorHAnsi"/>
          <w:color w:val="000000" w:themeColor="text1"/>
          <w:sz w:val="24"/>
        </w:rPr>
        <w:t xml:space="preserve">.  </w:t>
      </w:r>
    </w:p>
    <w:p w:rsidR="006F2D8C" w:rsidRPr="00BE15B8" w:rsidRDefault="006F2D8C" w:rsidP="006F2D8C">
      <w:pPr>
        <w:pStyle w:val="HTML-forhndsformatert"/>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iCs/>
          <w:sz w:val="24"/>
          <w:szCs w:val="24"/>
          <w:lang w:val="en-GB"/>
        </w:rPr>
        <w:t xml:space="preserve">This publication proposes a common set of definitions to be used </w:t>
      </w:r>
      <w:r w:rsidR="000A3FE0" w:rsidRPr="00BE15B8">
        <w:rPr>
          <w:rFonts w:asciiTheme="minorHAnsi" w:hAnsiTheme="minorHAnsi" w:cs="Times New Roman"/>
          <w:iCs/>
          <w:sz w:val="24"/>
          <w:szCs w:val="24"/>
          <w:lang w:val="en-GB"/>
        </w:rPr>
        <w:t>for</w:t>
      </w:r>
      <w:r w:rsidRPr="00BE15B8">
        <w:rPr>
          <w:rFonts w:asciiTheme="minorHAnsi" w:hAnsiTheme="minorHAnsi" w:cs="Times New Roman"/>
          <w:iCs/>
          <w:sz w:val="24"/>
          <w:szCs w:val="24"/>
          <w:lang w:val="en-GB"/>
        </w:rPr>
        <w:t xml:space="preserve"> drug policy’s public expenditure assessment and evaluation, in order to establish a common basis for understanding such complex subject matter and facilitate the comparability in three main dimensions</w:t>
      </w:r>
      <w:r w:rsidR="000A3FE0" w:rsidRPr="00BE15B8">
        <w:rPr>
          <w:rFonts w:asciiTheme="minorHAnsi" w:hAnsiTheme="minorHAnsi" w:cs="Times New Roman"/>
          <w:iCs/>
          <w:sz w:val="24"/>
          <w:szCs w:val="24"/>
          <w:lang w:val="en-GB"/>
        </w:rPr>
        <w:t>:</w:t>
      </w:r>
      <w:r w:rsidRPr="00BE15B8">
        <w:rPr>
          <w:rFonts w:asciiTheme="minorHAnsi" w:hAnsiTheme="minorHAnsi" w:cs="Times New Roman"/>
          <w:iCs/>
          <w:sz w:val="24"/>
          <w:szCs w:val="24"/>
          <w:lang w:val="en-GB"/>
        </w:rPr>
        <w:t xml:space="preserve"> time, policy and countries. </w:t>
      </w:r>
      <w:r w:rsidR="005D11C8" w:rsidRPr="00BE15B8">
        <w:rPr>
          <w:rFonts w:asciiTheme="minorHAnsi" w:hAnsiTheme="minorHAnsi" w:cs="Times New Roman"/>
          <w:iCs/>
          <w:sz w:val="24"/>
          <w:szCs w:val="24"/>
          <w:lang w:val="en-GB"/>
        </w:rPr>
        <w:t>Although it is mainly confined to supply reduction expenditures</w:t>
      </w:r>
      <w:r w:rsidR="00E35A79" w:rsidRPr="00BE15B8">
        <w:rPr>
          <w:rFonts w:asciiTheme="minorHAnsi" w:hAnsiTheme="minorHAnsi" w:cs="Times New Roman"/>
          <w:iCs/>
          <w:sz w:val="24"/>
          <w:szCs w:val="24"/>
          <w:lang w:val="en-GB"/>
        </w:rPr>
        <w:t xml:space="preserve">, it describes </w:t>
      </w:r>
      <w:r w:rsidRPr="00BE15B8">
        <w:rPr>
          <w:rFonts w:asciiTheme="minorHAnsi" w:hAnsiTheme="minorHAnsi" w:cs="Times New Roman"/>
          <w:iCs/>
          <w:sz w:val="24"/>
          <w:szCs w:val="24"/>
          <w:lang w:val="en-GB"/>
        </w:rPr>
        <w:t>the proportion that drug-related expenditure represent</w:t>
      </w:r>
      <w:r w:rsidR="000A3FE0" w:rsidRPr="00BE15B8">
        <w:rPr>
          <w:rFonts w:asciiTheme="minorHAnsi" w:hAnsiTheme="minorHAnsi" w:cs="Times New Roman"/>
          <w:iCs/>
          <w:sz w:val="24"/>
          <w:szCs w:val="24"/>
          <w:lang w:val="en-GB"/>
        </w:rPr>
        <w:t>s</w:t>
      </w:r>
      <w:r w:rsidRPr="00BE15B8">
        <w:rPr>
          <w:rFonts w:asciiTheme="minorHAnsi" w:hAnsiTheme="minorHAnsi" w:cs="Times New Roman"/>
          <w:iCs/>
          <w:sz w:val="24"/>
          <w:szCs w:val="24"/>
          <w:lang w:val="en-GB"/>
        </w:rPr>
        <w:t xml:space="preserve"> of the total public spending of a country</w:t>
      </w:r>
      <w:r w:rsidR="00E35A79" w:rsidRPr="00BE15B8">
        <w:rPr>
          <w:rFonts w:asciiTheme="minorHAnsi" w:hAnsiTheme="minorHAnsi" w:cs="Times New Roman"/>
          <w:iCs/>
          <w:sz w:val="24"/>
          <w:szCs w:val="24"/>
          <w:lang w:val="en-GB"/>
        </w:rPr>
        <w:t xml:space="preserve"> and the estimated balance of expenditures on demand and supply reduction in a number of European countries. To </w:t>
      </w:r>
      <w:r w:rsidR="000A3FE0" w:rsidRPr="00BE15B8">
        <w:rPr>
          <w:rFonts w:asciiTheme="minorHAnsi" w:hAnsiTheme="minorHAnsi" w:cs="Times New Roman"/>
          <w:iCs/>
          <w:sz w:val="24"/>
          <w:szCs w:val="24"/>
          <w:lang w:val="en-GB"/>
        </w:rPr>
        <w:t xml:space="preserve">facilitate and promote </w:t>
      </w:r>
      <w:r w:rsidR="00E35A79" w:rsidRPr="00BE15B8">
        <w:rPr>
          <w:rFonts w:asciiTheme="minorHAnsi" w:hAnsiTheme="minorHAnsi" w:cs="Times New Roman"/>
          <w:iCs/>
          <w:sz w:val="24"/>
          <w:szCs w:val="24"/>
          <w:lang w:val="en-GB"/>
        </w:rPr>
        <w:t>future empirical expenditure studies,</w:t>
      </w:r>
      <w:r w:rsidRPr="00BE15B8">
        <w:rPr>
          <w:rFonts w:asciiTheme="minorHAnsi" w:hAnsiTheme="minorHAnsi" w:cs="Times New Roman"/>
          <w:iCs/>
          <w:sz w:val="24"/>
          <w:szCs w:val="24"/>
          <w:lang w:val="en-GB"/>
        </w:rPr>
        <w:t xml:space="preserve"> </w:t>
      </w:r>
      <w:r w:rsidR="00E35A79" w:rsidRPr="00BE15B8">
        <w:rPr>
          <w:rFonts w:asciiTheme="minorHAnsi" w:hAnsiTheme="minorHAnsi" w:cs="Times New Roman"/>
          <w:iCs/>
          <w:sz w:val="24"/>
          <w:szCs w:val="24"/>
          <w:lang w:val="en-GB"/>
        </w:rPr>
        <w:t xml:space="preserve">relevant </w:t>
      </w:r>
      <w:r w:rsidRPr="00BE15B8">
        <w:rPr>
          <w:rFonts w:asciiTheme="minorHAnsi" w:hAnsiTheme="minorHAnsi" w:cs="Times New Roman"/>
          <w:iCs/>
          <w:sz w:val="24"/>
          <w:szCs w:val="24"/>
          <w:lang w:val="en-GB"/>
        </w:rPr>
        <w:t xml:space="preserve">data sources </w:t>
      </w:r>
      <w:r w:rsidR="00E35A79" w:rsidRPr="00BE15B8">
        <w:rPr>
          <w:rFonts w:asciiTheme="minorHAnsi" w:hAnsiTheme="minorHAnsi" w:cs="Times New Roman"/>
          <w:iCs/>
          <w:sz w:val="24"/>
          <w:szCs w:val="24"/>
          <w:lang w:val="en-GB"/>
        </w:rPr>
        <w:t>and methodologies applied in empir</w:t>
      </w:r>
      <w:r w:rsidR="00B767A7" w:rsidRPr="00BE15B8">
        <w:rPr>
          <w:rFonts w:asciiTheme="minorHAnsi" w:hAnsiTheme="minorHAnsi" w:cs="Times New Roman"/>
          <w:iCs/>
          <w:sz w:val="24"/>
          <w:szCs w:val="24"/>
          <w:lang w:val="en-GB"/>
        </w:rPr>
        <w:t xml:space="preserve">ical estimations are listed and </w:t>
      </w:r>
      <w:r w:rsidR="00E35A79" w:rsidRPr="00BE15B8">
        <w:rPr>
          <w:rFonts w:asciiTheme="minorHAnsi" w:hAnsiTheme="minorHAnsi" w:cs="Times New Roman"/>
          <w:iCs/>
          <w:sz w:val="24"/>
          <w:szCs w:val="24"/>
          <w:lang w:val="en-GB"/>
        </w:rPr>
        <w:t>discussed</w:t>
      </w:r>
      <w:r w:rsidR="00F34163" w:rsidRPr="00BE15B8">
        <w:rPr>
          <w:rFonts w:asciiTheme="minorHAnsi" w:hAnsiTheme="minorHAnsi" w:cs="Times New Roman"/>
          <w:iCs/>
          <w:sz w:val="24"/>
          <w:szCs w:val="24"/>
          <w:lang w:val="en-GB"/>
        </w:rPr>
        <w:t xml:space="preserve">. </w:t>
      </w:r>
      <w:r w:rsidR="00E35A79" w:rsidRPr="00BE15B8">
        <w:rPr>
          <w:rFonts w:asciiTheme="minorHAnsi" w:hAnsiTheme="minorHAnsi" w:cs="Times New Roman"/>
          <w:iCs/>
          <w:sz w:val="24"/>
          <w:szCs w:val="24"/>
          <w:lang w:val="en-GB"/>
        </w:rPr>
        <w:t xml:space="preserve"> </w:t>
      </w:r>
      <w:r w:rsidR="00F34163" w:rsidRPr="00BE15B8">
        <w:rPr>
          <w:rFonts w:asciiTheme="minorHAnsi" w:hAnsiTheme="minorHAnsi" w:cs="Times New Roman"/>
          <w:iCs/>
          <w:sz w:val="24"/>
          <w:szCs w:val="24"/>
          <w:lang w:val="en-GB"/>
        </w:rPr>
        <w:t>Example of</w:t>
      </w:r>
      <w:r w:rsidRPr="00BE15B8">
        <w:rPr>
          <w:rFonts w:asciiTheme="minorHAnsi" w:hAnsiTheme="minorHAnsi" w:cs="Times New Roman"/>
          <w:iCs/>
          <w:sz w:val="24"/>
          <w:szCs w:val="24"/>
          <w:lang w:val="en-GB"/>
        </w:rPr>
        <w:t xml:space="preserve"> sectorial models of public spending and examples of national </w:t>
      </w:r>
      <w:r w:rsidR="00F34163" w:rsidRPr="00BE15B8">
        <w:rPr>
          <w:rFonts w:asciiTheme="minorHAnsi" w:hAnsiTheme="minorHAnsi" w:cs="Times New Roman"/>
          <w:iCs/>
          <w:sz w:val="24"/>
          <w:szCs w:val="24"/>
          <w:lang w:val="en-GB"/>
        </w:rPr>
        <w:t xml:space="preserve">supply reduction expenditure </w:t>
      </w:r>
      <w:r w:rsidRPr="00BE15B8">
        <w:rPr>
          <w:rFonts w:asciiTheme="minorHAnsi" w:hAnsiTheme="minorHAnsi" w:cs="Times New Roman"/>
          <w:iCs/>
          <w:sz w:val="24"/>
          <w:szCs w:val="24"/>
          <w:lang w:val="en-GB"/>
        </w:rPr>
        <w:t xml:space="preserve">studies </w:t>
      </w:r>
      <w:r w:rsidR="00F34163" w:rsidRPr="00BE15B8">
        <w:rPr>
          <w:rFonts w:asciiTheme="minorHAnsi" w:hAnsiTheme="minorHAnsi" w:cs="Times New Roman"/>
          <w:iCs/>
          <w:sz w:val="24"/>
          <w:szCs w:val="24"/>
          <w:lang w:val="en-GB"/>
        </w:rPr>
        <w:t>are</w:t>
      </w:r>
      <w:r w:rsidRPr="00BE15B8">
        <w:rPr>
          <w:rFonts w:asciiTheme="minorHAnsi" w:hAnsiTheme="minorHAnsi" w:cs="Times New Roman"/>
          <w:iCs/>
          <w:sz w:val="24"/>
          <w:szCs w:val="24"/>
          <w:lang w:val="en-GB"/>
        </w:rPr>
        <w:t xml:space="preserve"> provided.</w:t>
      </w:r>
      <w:r w:rsidR="00F34163" w:rsidRPr="00BE15B8">
        <w:rPr>
          <w:rFonts w:asciiTheme="minorHAnsi" w:hAnsiTheme="minorHAnsi" w:cs="Times New Roman"/>
          <w:iCs/>
          <w:sz w:val="24"/>
          <w:szCs w:val="24"/>
          <w:lang w:val="en-GB"/>
        </w:rPr>
        <w:t xml:space="preserve"> </w:t>
      </w:r>
      <w:r w:rsidR="00DE7529" w:rsidRPr="00BE15B8">
        <w:rPr>
          <w:rFonts w:asciiTheme="minorHAnsi" w:hAnsiTheme="minorHAnsi" w:cs="Times New Roman"/>
          <w:iCs/>
          <w:sz w:val="24"/>
          <w:szCs w:val="24"/>
          <w:lang w:val="en-GB"/>
        </w:rPr>
        <w:t xml:space="preserve">Finally, </w:t>
      </w:r>
      <w:r w:rsidR="000054A5" w:rsidRPr="00BE15B8">
        <w:rPr>
          <w:rFonts w:asciiTheme="minorHAnsi" w:hAnsiTheme="minorHAnsi" w:cs="Times New Roman"/>
          <w:iCs/>
          <w:sz w:val="24"/>
          <w:szCs w:val="24"/>
          <w:lang w:val="en-GB"/>
        </w:rPr>
        <w:t xml:space="preserve">some </w:t>
      </w:r>
      <w:r w:rsidR="00DE7529" w:rsidRPr="00BE15B8">
        <w:rPr>
          <w:rFonts w:asciiTheme="minorHAnsi" w:hAnsiTheme="minorHAnsi" w:cs="Times New Roman"/>
          <w:iCs/>
          <w:sz w:val="24"/>
          <w:szCs w:val="24"/>
          <w:lang w:val="en-GB"/>
        </w:rPr>
        <w:t xml:space="preserve">conclusions and recommendations are offered. </w:t>
      </w:r>
    </w:p>
    <w:p w:rsidR="007F5178" w:rsidRPr="00BE15B8" w:rsidRDefault="007F5178" w:rsidP="00EA1934">
      <w:pPr>
        <w:pStyle w:val="HTML-forhndsformatert"/>
        <w:shd w:val="clear" w:color="auto" w:fill="FFFFFF"/>
        <w:spacing w:line="276" w:lineRule="auto"/>
        <w:jc w:val="both"/>
        <w:rPr>
          <w:rFonts w:asciiTheme="minorHAnsi" w:hAnsiTheme="minorHAnsi" w:cs="Times New Roman"/>
          <w:iCs/>
          <w:sz w:val="24"/>
          <w:szCs w:val="24"/>
          <w:lang w:val="en-GB"/>
        </w:rPr>
      </w:pPr>
    </w:p>
    <w:p w:rsidR="006F224F" w:rsidRPr="00BE15B8" w:rsidRDefault="006F224F" w:rsidP="00EA1934">
      <w:pPr>
        <w:pStyle w:val="HTML-forhndsformatert"/>
        <w:shd w:val="clear" w:color="auto" w:fill="FFFFFF"/>
        <w:spacing w:line="276" w:lineRule="auto"/>
        <w:jc w:val="both"/>
        <w:rPr>
          <w:rFonts w:asciiTheme="minorHAnsi" w:hAnsiTheme="minorHAnsi" w:cs="Times New Roman"/>
          <w:iCs/>
          <w:sz w:val="24"/>
          <w:szCs w:val="24"/>
          <w:lang w:val="en-GB"/>
        </w:rPr>
      </w:pPr>
    </w:p>
    <w:p w:rsidR="00C93138" w:rsidRPr="00BE15B8" w:rsidRDefault="00C93138" w:rsidP="00C93138">
      <w:pPr>
        <w:spacing w:after="0"/>
        <w:jc w:val="both"/>
        <w:rPr>
          <w:rFonts w:asciiTheme="minorHAnsi" w:hAnsiTheme="minorHAnsi"/>
          <w:b/>
          <w:sz w:val="28"/>
          <w:szCs w:val="28"/>
        </w:rPr>
      </w:pPr>
      <w:r w:rsidRPr="00BE15B8">
        <w:rPr>
          <w:rFonts w:asciiTheme="minorHAnsi" w:hAnsiTheme="minorHAnsi"/>
          <w:b/>
          <w:sz w:val="28"/>
          <w:szCs w:val="28"/>
        </w:rPr>
        <w:t>Defining concepts</w:t>
      </w:r>
    </w:p>
    <w:p w:rsidR="00C93138" w:rsidRPr="00BE15B8" w:rsidRDefault="00C93138" w:rsidP="00EA1934">
      <w:pPr>
        <w:pStyle w:val="HTML-forhndsformatert"/>
        <w:shd w:val="clear" w:color="auto" w:fill="FFFFFF"/>
        <w:spacing w:line="276" w:lineRule="auto"/>
        <w:jc w:val="both"/>
        <w:rPr>
          <w:rFonts w:asciiTheme="minorHAnsi" w:hAnsiTheme="minorHAnsi" w:cs="Times New Roman"/>
          <w:iCs/>
          <w:sz w:val="24"/>
          <w:szCs w:val="24"/>
          <w:lang w:val="en-GB"/>
        </w:rPr>
      </w:pPr>
    </w:p>
    <w:p w:rsidR="00741A77" w:rsidRPr="00BE15B8" w:rsidRDefault="00741A77" w:rsidP="00EA1934">
      <w:pPr>
        <w:autoSpaceDE w:val="0"/>
        <w:autoSpaceDN w:val="0"/>
        <w:adjustRightInd w:val="0"/>
        <w:spacing w:after="0"/>
        <w:jc w:val="both"/>
        <w:rPr>
          <w:rFonts w:asciiTheme="minorHAnsi" w:eastAsia="Times New Roman" w:hAnsiTheme="minorHAnsi"/>
          <w:b/>
          <w:i/>
          <w:iCs/>
          <w:sz w:val="24"/>
          <w:szCs w:val="24"/>
          <w:lang w:eastAsia="hr-HR"/>
        </w:rPr>
      </w:pPr>
      <w:r w:rsidRPr="00BE15B8">
        <w:rPr>
          <w:rFonts w:asciiTheme="minorHAnsi" w:eastAsia="Times New Roman" w:hAnsiTheme="minorHAnsi"/>
          <w:b/>
          <w:i/>
          <w:iCs/>
          <w:sz w:val="24"/>
          <w:szCs w:val="24"/>
          <w:lang w:eastAsia="hr-HR"/>
        </w:rPr>
        <w:t>Public expenditure</w:t>
      </w:r>
      <w:r w:rsidR="00276223" w:rsidRPr="00BE15B8">
        <w:rPr>
          <w:rFonts w:asciiTheme="minorHAnsi" w:eastAsia="Times New Roman" w:hAnsiTheme="minorHAnsi"/>
          <w:b/>
          <w:i/>
          <w:iCs/>
          <w:sz w:val="24"/>
          <w:szCs w:val="24"/>
          <w:lang w:eastAsia="hr-HR"/>
        </w:rPr>
        <w:t>s</w:t>
      </w:r>
    </w:p>
    <w:p w:rsidR="00B02DF5" w:rsidRPr="00865B8C" w:rsidRDefault="00B02DF5" w:rsidP="001D7881">
      <w:pPr>
        <w:jc w:val="both"/>
        <w:rPr>
          <w:rFonts w:asciiTheme="minorHAnsi" w:hAnsiTheme="minorHAnsi"/>
          <w:sz w:val="24"/>
          <w:lang w:eastAsia="hr-HR"/>
        </w:rPr>
      </w:pPr>
      <w:r w:rsidRPr="00865B8C">
        <w:rPr>
          <w:rFonts w:asciiTheme="minorHAnsi" w:hAnsiTheme="minorHAnsi"/>
          <w:sz w:val="24"/>
          <w:lang w:eastAsia="hr-HR"/>
        </w:rPr>
        <w:t xml:space="preserve">The term ‘public expenditure’ refers to the value of goods and services purchased by </w:t>
      </w:r>
      <w:r w:rsidR="007F1362" w:rsidRPr="00865B8C">
        <w:rPr>
          <w:rFonts w:asciiTheme="minorHAnsi" w:hAnsiTheme="minorHAnsi"/>
          <w:sz w:val="24"/>
          <w:lang w:eastAsia="hr-HR"/>
        </w:rPr>
        <w:t xml:space="preserve">a </w:t>
      </w:r>
      <w:r w:rsidRPr="00865B8C">
        <w:rPr>
          <w:rFonts w:asciiTheme="minorHAnsi" w:hAnsiTheme="minorHAnsi"/>
          <w:sz w:val="24"/>
          <w:lang w:eastAsia="hr-HR"/>
        </w:rPr>
        <w:t xml:space="preserve">general government (at central, regional </w:t>
      </w:r>
      <w:r w:rsidR="007A2B04" w:rsidRPr="00865B8C">
        <w:rPr>
          <w:rFonts w:asciiTheme="minorHAnsi" w:hAnsiTheme="minorHAnsi"/>
          <w:sz w:val="24"/>
          <w:lang w:eastAsia="hr-HR"/>
        </w:rPr>
        <w:t>and</w:t>
      </w:r>
      <w:r w:rsidRPr="00865B8C">
        <w:rPr>
          <w:rFonts w:asciiTheme="minorHAnsi" w:hAnsiTheme="minorHAnsi"/>
          <w:sz w:val="24"/>
          <w:lang w:eastAsia="hr-HR"/>
        </w:rPr>
        <w:t xml:space="preserve"> local level) in order to</w:t>
      </w:r>
      <w:r w:rsidR="00114B16" w:rsidRPr="00865B8C">
        <w:rPr>
          <w:rFonts w:asciiTheme="minorHAnsi" w:hAnsiTheme="minorHAnsi"/>
          <w:sz w:val="24"/>
          <w:lang w:eastAsia="hr-HR"/>
        </w:rPr>
        <w:t xml:space="preserve"> perform each of its functions</w:t>
      </w:r>
      <w:r w:rsidR="00A811A5" w:rsidRPr="00865B8C">
        <w:rPr>
          <w:rFonts w:asciiTheme="minorHAnsi" w:hAnsiTheme="minorHAnsi"/>
          <w:sz w:val="24"/>
          <w:lang w:eastAsia="hr-HR"/>
        </w:rPr>
        <w:t>.</w:t>
      </w:r>
      <w:r w:rsidR="00114B16" w:rsidRPr="00865B8C">
        <w:rPr>
          <w:rFonts w:asciiTheme="minorHAnsi" w:hAnsiTheme="minorHAnsi"/>
          <w:sz w:val="24"/>
          <w:lang w:eastAsia="hr-HR"/>
        </w:rPr>
        <w:t xml:space="preserve"> </w:t>
      </w:r>
      <w:r w:rsidR="00A811A5" w:rsidRPr="00865B8C">
        <w:rPr>
          <w:rFonts w:asciiTheme="minorHAnsi" w:hAnsiTheme="minorHAnsi"/>
          <w:sz w:val="24"/>
          <w:lang w:eastAsia="hr-HR"/>
        </w:rPr>
        <w:t>F</w:t>
      </w:r>
      <w:r w:rsidR="00114B16" w:rsidRPr="00865B8C">
        <w:rPr>
          <w:rFonts w:asciiTheme="minorHAnsi" w:hAnsiTheme="minorHAnsi"/>
          <w:sz w:val="24"/>
          <w:lang w:eastAsia="hr-HR"/>
        </w:rPr>
        <w:t>or instance, it refers to</w:t>
      </w:r>
      <w:r w:rsidRPr="00865B8C">
        <w:rPr>
          <w:rFonts w:asciiTheme="minorHAnsi" w:hAnsiTheme="minorHAnsi"/>
          <w:sz w:val="24"/>
          <w:lang w:eastAsia="hr-HR"/>
        </w:rPr>
        <w:t xml:space="preserve"> </w:t>
      </w:r>
      <w:r w:rsidR="000054A5" w:rsidRPr="00865B8C">
        <w:rPr>
          <w:rFonts w:asciiTheme="minorHAnsi" w:hAnsiTheme="minorHAnsi"/>
          <w:sz w:val="24"/>
          <w:lang w:eastAsia="hr-HR"/>
        </w:rPr>
        <w:t xml:space="preserve">resources spent on </w:t>
      </w:r>
      <w:r w:rsidRPr="00865B8C">
        <w:rPr>
          <w:rFonts w:asciiTheme="minorHAnsi" w:hAnsiTheme="minorHAnsi"/>
          <w:sz w:val="24"/>
          <w:lang w:eastAsia="hr-HR"/>
        </w:rPr>
        <w:t xml:space="preserve">healthcare, justice, public order, education, social </w:t>
      </w:r>
      <w:r w:rsidR="00114B16" w:rsidRPr="00865B8C">
        <w:rPr>
          <w:rFonts w:asciiTheme="minorHAnsi" w:hAnsiTheme="minorHAnsi"/>
          <w:sz w:val="24"/>
          <w:lang w:eastAsia="hr-HR"/>
        </w:rPr>
        <w:t>protection</w:t>
      </w:r>
      <w:r w:rsidR="007F1362" w:rsidRPr="00865B8C">
        <w:rPr>
          <w:rFonts w:asciiTheme="minorHAnsi" w:hAnsiTheme="minorHAnsi"/>
          <w:sz w:val="24"/>
          <w:lang w:eastAsia="hr-HR"/>
        </w:rPr>
        <w:t>,</w:t>
      </w:r>
      <w:r w:rsidR="00114B16" w:rsidRPr="00865B8C">
        <w:rPr>
          <w:rFonts w:asciiTheme="minorHAnsi" w:hAnsiTheme="minorHAnsi"/>
          <w:sz w:val="24"/>
          <w:lang w:eastAsia="hr-HR"/>
        </w:rPr>
        <w:t xml:space="preserve"> </w:t>
      </w:r>
      <w:r w:rsidR="000054A5" w:rsidRPr="00865B8C">
        <w:rPr>
          <w:rFonts w:asciiTheme="minorHAnsi" w:hAnsiTheme="minorHAnsi"/>
          <w:sz w:val="24"/>
          <w:lang w:eastAsia="hr-HR"/>
        </w:rPr>
        <w:t xml:space="preserve">etc. </w:t>
      </w:r>
      <w:r w:rsidR="00114B16" w:rsidRPr="00865B8C">
        <w:rPr>
          <w:rFonts w:asciiTheme="minorHAnsi" w:hAnsiTheme="minorHAnsi"/>
          <w:sz w:val="24"/>
          <w:lang w:eastAsia="hr-HR"/>
        </w:rPr>
        <w:t>(Eurostat, 2011</w:t>
      </w:r>
      <w:r w:rsidRPr="00865B8C">
        <w:rPr>
          <w:rFonts w:asciiTheme="minorHAnsi" w:hAnsiTheme="minorHAnsi"/>
          <w:sz w:val="24"/>
          <w:lang w:eastAsia="hr-HR"/>
        </w:rPr>
        <w:t>)</w:t>
      </w:r>
      <w:r w:rsidR="007A2B04" w:rsidRPr="00865B8C">
        <w:rPr>
          <w:rFonts w:asciiTheme="minorHAnsi" w:hAnsiTheme="minorHAnsi"/>
          <w:sz w:val="24"/>
          <w:lang w:eastAsia="hr-HR"/>
        </w:rPr>
        <w:t>,</w:t>
      </w:r>
      <w:r w:rsidR="00A811A5" w:rsidRPr="00865B8C">
        <w:rPr>
          <w:rFonts w:asciiTheme="minorHAnsi" w:hAnsiTheme="minorHAnsi"/>
          <w:sz w:val="24"/>
          <w:lang w:eastAsia="hr-HR"/>
        </w:rPr>
        <w:t xml:space="preserve"> and i</w:t>
      </w:r>
      <w:r w:rsidRPr="00865B8C">
        <w:rPr>
          <w:rFonts w:asciiTheme="minorHAnsi" w:hAnsiTheme="minorHAnsi"/>
          <w:sz w:val="24"/>
          <w:lang w:eastAsia="hr-HR"/>
        </w:rPr>
        <w:t>ts quantification is a costing exercise undertaken from the government’s perspective</w:t>
      </w:r>
      <w:r w:rsidR="00F82E0D" w:rsidRPr="00865B8C">
        <w:rPr>
          <w:rFonts w:asciiTheme="minorHAnsi" w:hAnsiTheme="minorHAnsi"/>
          <w:sz w:val="24"/>
          <w:lang w:eastAsia="hr-HR"/>
        </w:rPr>
        <w:t xml:space="preserve"> </w:t>
      </w:r>
      <w:r w:rsidR="00F82E0D" w:rsidRPr="00865B8C">
        <w:rPr>
          <w:rFonts w:asciiTheme="minorHAnsi" w:hAnsiTheme="minorHAnsi"/>
          <w:sz w:val="24"/>
        </w:rPr>
        <w:t>(</w:t>
      </w:r>
      <w:r w:rsidR="009467E7" w:rsidRPr="00865B8C">
        <w:rPr>
          <w:rFonts w:asciiTheme="minorHAnsi" w:hAnsiTheme="minorHAnsi"/>
          <w:sz w:val="24"/>
        </w:rPr>
        <w:t>EMCDDA 2008</w:t>
      </w:r>
      <w:r w:rsidR="00F82E0D" w:rsidRPr="00865B8C">
        <w:rPr>
          <w:rFonts w:asciiTheme="minorHAnsi" w:hAnsiTheme="minorHAnsi"/>
          <w:sz w:val="24"/>
        </w:rPr>
        <w:t>).</w:t>
      </w:r>
      <w:r w:rsidR="00E611EA" w:rsidRPr="00865B8C">
        <w:rPr>
          <w:rFonts w:asciiTheme="minorHAnsi" w:hAnsiTheme="minorHAnsi"/>
          <w:sz w:val="24"/>
        </w:rPr>
        <w:t xml:space="preserve"> The role of private expenditures in drug policy vary across nations, time and policy areas. In many countries, drug treatment is partly financed by </w:t>
      </w:r>
      <w:r w:rsidR="00865B8C" w:rsidRPr="00865B8C">
        <w:rPr>
          <w:rFonts w:asciiTheme="minorHAnsi" w:hAnsiTheme="minorHAnsi"/>
          <w:sz w:val="24"/>
        </w:rPr>
        <w:t xml:space="preserve">the private sector (insurance companies, the drug users or their employers, relatives etc.). For supply reduction policies, however, private funding usually plays a </w:t>
      </w:r>
    </w:p>
    <w:p w:rsidR="00741A77" w:rsidRPr="00BE15B8" w:rsidRDefault="00741A77" w:rsidP="00EA1934">
      <w:pPr>
        <w:pStyle w:val="HTML-forhndsformatert"/>
        <w:shd w:val="clear" w:color="auto" w:fill="FFFFFF"/>
        <w:spacing w:line="276" w:lineRule="auto"/>
        <w:jc w:val="both"/>
        <w:rPr>
          <w:rFonts w:asciiTheme="minorHAnsi" w:hAnsiTheme="minorHAnsi" w:cs="Times New Roman"/>
          <w:b/>
          <w:iCs/>
          <w:sz w:val="24"/>
          <w:szCs w:val="24"/>
          <w:lang w:val="en-GB"/>
        </w:rPr>
      </w:pPr>
    </w:p>
    <w:p w:rsidR="00013858" w:rsidRPr="00BE15B8" w:rsidRDefault="00013858" w:rsidP="00013858">
      <w:pPr>
        <w:pStyle w:val="HTML-forhndsformatert"/>
        <w:shd w:val="clear" w:color="auto" w:fill="FFFFFF"/>
        <w:spacing w:line="276" w:lineRule="auto"/>
        <w:jc w:val="both"/>
        <w:rPr>
          <w:rFonts w:asciiTheme="minorHAnsi" w:hAnsiTheme="minorHAnsi" w:cs="Times New Roman"/>
          <w:b/>
          <w:i/>
          <w:iCs/>
          <w:sz w:val="24"/>
          <w:szCs w:val="24"/>
          <w:lang w:val="en-GB"/>
        </w:rPr>
      </w:pPr>
      <w:r w:rsidRPr="00BE15B8">
        <w:rPr>
          <w:rFonts w:asciiTheme="minorHAnsi" w:hAnsiTheme="minorHAnsi" w:cs="Times New Roman"/>
          <w:b/>
          <w:i/>
          <w:iCs/>
          <w:sz w:val="24"/>
          <w:szCs w:val="24"/>
          <w:lang w:val="en-GB"/>
        </w:rPr>
        <w:t xml:space="preserve">Drug-related </w:t>
      </w:r>
      <w:r w:rsidR="00A811A5" w:rsidRPr="00BE15B8">
        <w:rPr>
          <w:rFonts w:asciiTheme="minorHAnsi" w:hAnsiTheme="minorHAnsi" w:cs="Times New Roman"/>
          <w:b/>
          <w:i/>
          <w:iCs/>
          <w:sz w:val="24"/>
          <w:szCs w:val="24"/>
          <w:lang w:val="en-GB"/>
        </w:rPr>
        <w:t xml:space="preserve">public </w:t>
      </w:r>
      <w:r w:rsidRPr="00BE15B8">
        <w:rPr>
          <w:rFonts w:asciiTheme="minorHAnsi" w:hAnsiTheme="minorHAnsi" w:cs="Times New Roman"/>
          <w:b/>
          <w:i/>
          <w:iCs/>
          <w:sz w:val="24"/>
          <w:szCs w:val="24"/>
          <w:lang w:val="en-GB"/>
        </w:rPr>
        <w:t>expenditure</w:t>
      </w:r>
    </w:p>
    <w:p w:rsidR="00387728" w:rsidRPr="00BE15B8" w:rsidRDefault="00013858" w:rsidP="00387728">
      <w:pPr>
        <w:jc w:val="both"/>
        <w:rPr>
          <w:rFonts w:asciiTheme="minorHAnsi" w:hAnsiTheme="minorHAnsi"/>
          <w:sz w:val="24"/>
          <w:szCs w:val="24"/>
        </w:rPr>
      </w:pPr>
      <w:r w:rsidRPr="00BE15B8">
        <w:rPr>
          <w:rFonts w:asciiTheme="minorHAnsi" w:eastAsia="Times New Roman" w:hAnsiTheme="minorHAnsi"/>
          <w:iCs/>
          <w:sz w:val="24"/>
          <w:szCs w:val="24"/>
        </w:rPr>
        <w:t>Drug-related public expenditure is the value spent by governments in goods and services with the aim of tackling the illegal drug phenomena. A</w:t>
      </w:r>
      <w:r w:rsidRPr="00BE15B8">
        <w:rPr>
          <w:rFonts w:asciiTheme="minorHAnsi" w:hAnsiTheme="minorHAnsi"/>
          <w:iCs/>
          <w:sz w:val="24"/>
          <w:szCs w:val="24"/>
        </w:rPr>
        <w:t xml:space="preserve">lthough drug policy expenditure studies are deemed useful, relevant analyses </w:t>
      </w:r>
      <w:r w:rsidR="00CC6811" w:rsidRPr="00BE15B8">
        <w:rPr>
          <w:rFonts w:asciiTheme="minorHAnsi" w:hAnsiTheme="minorHAnsi"/>
          <w:iCs/>
          <w:sz w:val="24"/>
          <w:szCs w:val="24"/>
        </w:rPr>
        <w:t>and estimations are complicated since several inter-ministerial and cross-governmental sectors are involved in the drug control programs including education, health, justice, policing and border control</w:t>
      </w:r>
      <w:r w:rsidR="00435097" w:rsidRPr="00BE15B8">
        <w:rPr>
          <w:rFonts w:asciiTheme="minorHAnsi" w:hAnsiTheme="minorHAnsi"/>
          <w:iCs/>
          <w:sz w:val="24"/>
          <w:szCs w:val="24"/>
        </w:rPr>
        <w:t>, social protection, among others</w:t>
      </w:r>
      <w:r w:rsidR="00CC6811" w:rsidRPr="00BE15B8">
        <w:rPr>
          <w:rFonts w:asciiTheme="minorHAnsi" w:hAnsiTheme="minorHAnsi"/>
          <w:iCs/>
          <w:sz w:val="24"/>
          <w:szCs w:val="24"/>
        </w:rPr>
        <w:t>. Disentangling drug policy expenditures across governmental departments and inter-sectoral policies remain a scientific challenge.</w:t>
      </w:r>
      <w:r w:rsidR="00190E07" w:rsidRPr="00BE15B8">
        <w:rPr>
          <w:rFonts w:asciiTheme="minorHAnsi" w:hAnsiTheme="minorHAnsi"/>
          <w:sz w:val="24"/>
          <w:szCs w:val="24"/>
        </w:rPr>
        <w:t xml:space="preserve"> </w:t>
      </w:r>
      <w:r w:rsidR="00387728" w:rsidRPr="00BE15B8">
        <w:rPr>
          <w:rFonts w:asciiTheme="minorHAnsi" w:hAnsiTheme="minorHAnsi"/>
          <w:iCs/>
          <w:sz w:val="24"/>
          <w:szCs w:val="24"/>
        </w:rPr>
        <w:t xml:space="preserve">Changes in the structure of public </w:t>
      </w:r>
      <w:r w:rsidR="00387728" w:rsidRPr="00BE15B8">
        <w:rPr>
          <w:rFonts w:asciiTheme="minorHAnsi" w:hAnsiTheme="minorHAnsi"/>
          <w:iCs/>
          <w:sz w:val="24"/>
          <w:szCs w:val="24"/>
        </w:rPr>
        <w:lastRenderedPageBreak/>
        <w:t>administration and member states’ legislation can further hamper the comparability across time.</w:t>
      </w:r>
    </w:p>
    <w:p w:rsidR="005D3518" w:rsidRPr="00BE15B8" w:rsidRDefault="005D3518" w:rsidP="007A2B04">
      <w:pPr>
        <w:jc w:val="both"/>
        <w:rPr>
          <w:rFonts w:asciiTheme="minorHAnsi" w:hAnsiTheme="minorHAnsi"/>
          <w:sz w:val="24"/>
          <w:szCs w:val="24"/>
        </w:rPr>
      </w:pPr>
      <w:r w:rsidRPr="00BE15B8">
        <w:rPr>
          <w:rFonts w:asciiTheme="minorHAnsi" w:hAnsiTheme="minorHAnsi"/>
          <w:sz w:val="24"/>
          <w:szCs w:val="24"/>
        </w:rPr>
        <w:t>M</w:t>
      </w:r>
      <w:r w:rsidR="00013858" w:rsidRPr="00BE15B8">
        <w:rPr>
          <w:rFonts w:asciiTheme="minorHAnsi" w:eastAsia="Times New Roman" w:hAnsiTheme="minorHAnsi"/>
          <w:iCs/>
          <w:sz w:val="24"/>
          <w:szCs w:val="24"/>
        </w:rPr>
        <w:t xml:space="preserve">ost countries do not produce separate drug-related budgets (with planned and executed expenditures) as part of their ordinary budget routines and </w:t>
      </w:r>
      <w:r w:rsidR="00013858" w:rsidRPr="00BE15B8">
        <w:rPr>
          <w:rFonts w:asciiTheme="minorHAnsi" w:hAnsiTheme="minorHAnsi"/>
          <w:iCs/>
          <w:sz w:val="24"/>
          <w:szCs w:val="24"/>
        </w:rPr>
        <w:t xml:space="preserve">drug-related programmes and activities </w:t>
      </w:r>
      <w:r w:rsidRPr="00BE15B8">
        <w:rPr>
          <w:rFonts w:asciiTheme="minorHAnsi" w:hAnsiTheme="minorHAnsi"/>
          <w:iCs/>
          <w:sz w:val="24"/>
          <w:szCs w:val="24"/>
        </w:rPr>
        <w:t>may therefore</w:t>
      </w:r>
      <w:r w:rsidR="00013858" w:rsidRPr="00BE15B8">
        <w:rPr>
          <w:rFonts w:asciiTheme="minorHAnsi" w:hAnsiTheme="minorHAnsi"/>
          <w:iCs/>
          <w:sz w:val="24"/>
          <w:szCs w:val="24"/>
        </w:rPr>
        <w:t xml:space="preserve"> be found at many different levels of the public administration.</w:t>
      </w:r>
      <w:r w:rsidR="00013858" w:rsidRPr="00BE15B8">
        <w:rPr>
          <w:rFonts w:asciiTheme="minorHAnsi" w:eastAsia="Times New Roman" w:hAnsiTheme="minorHAnsi"/>
          <w:iCs/>
          <w:sz w:val="24"/>
          <w:szCs w:val="24"/>
        </w:rPr>
        <w:t xml:space="preserve"> F</w:t>
      </w:r>
      <w:r w:rsidR="00013858" w:rsidRPr="00BE15B8">
        <w:rPr>
          <w:rFonts w:asciiTheme="minorHAnsi" w:hAnsiTheme="minorHAnsi"/>
          <w:iCs/>
          <w:sz w:val="24"/>
          <w:szCs w:val="24"/>
        </w:rPr>
        <w:t xml:space="preserve">or instance, the funding of prisons to drug law offenders is </w:t>
      </w:r>
      <w:r w:rsidR="007A2B04" w:rsidRPr="00BE15B8">
        <w:rPr>
          <w:rFonts w:asciiTheme="minorHAnsi" w:hAnsiTheme="minorHAnsi"/>
          <w:iCs/>
          <w:sz w:val="24"/>
          <w:szCs w:val="24"/>
        </w:rPr>
        <w:t>usually</w:t>
      </w:r>
      <w:r w:rsidR="00013858" w:rsidRPr="00BE15B8">
        <w:rPr>
          <w:rFonts w:asciiTheme="minorHAnsi" w:hAnsiTheme="minorHAnsi"/>
          <w:iCs/>
          <w:sz w:val="24"/>
          <w:szCs w:val="24"/>
        </w:rPr>
        <w:t xml:space="preserve"> provided by the central government, while drug-prevention </w:t>
      </w:r>
      <w:r w:rsidR="007A2B04" w:rsidRPr="00BE15B8">
        <w:rPr>
          <w:rFonts w:asciiTheme="minorHAnsi" w:hAnsiTheme="minorHAnsi"/>
          <w:iCs/>
          <w:sz w:val="24"/>
          <w:szCs w:val="24"/>
        </w:rPr>
        <w:t xml:space="preserve">(e.g. </w:t>
      </w:r>
      <w:r w:rsidR="00013858" w:rsidRPr="00BE15B8">
        <w:rPr>
          <w:rFonts w:asciiTheme="minorHAnsi" w:hAnsiTheme="minorHAnsi"/>
          <w:iCs/>
          <w:sz w:val="24"/>
          <w:szCs w:val="24"/>
        </w:rPr>
        <w:t>to deprived children in marginalized neighbourhoods</w:t>
      </w:r>
      <w:r w:rsidR="007A2B04" w:rsidRPr="00BE15B8">
        <w:rPr>
          <w:rFonts w:asciiTheme="minorHAnsi" w:hAnsiTheme="minorHAnsi"/>
          <w:iCs/>
          <w:sz w:val="24"/>
          <w:szCs w:val="24"/>
        </w:rPr>
        <w:t>) or social reintegration programmes for drug users</w:t>
      </w:r>
      <w:r w:rsidR="00013858" w:rsidRPr="00BE15B8">
        <w:rPr>
          <w:rFonts w:asciiTheme="minorHAnsi" w:hAnsiTheme="minorHAnsi"/>
          <w:iCs/>
          <w:sz w:val="24"/>
          <w:szCs w:val="24"/>
        </w:rPr>
        <w:t xml:space="preserve"> are frequently </w:t>
      </w:r>
      <w:r w:rsidR="00A811A5" w:rsidRPr="00BE15B8">
        <w:rPr>
          <w:rFonts w:asciiTheme="minorHAnsi" w:hAnsiTheme="minorHAnsi"/>
          <w:iCs/>
          <w:sz w:val="24"/>
          <w:szCs w:val="24"/>
        </w:rPr>
        <w:t>financed</w:t>
      </w:r>
      <w:r w:rsidR="00013858" w:rsidRPr="00BE15B8">
        <w:rPr>
          <w:rFonts w:asciiTheme="minorHAnsi" w:hAnsiTheme="minorHAnsi"/>
          <w:iCs/>
          <w:sz w:val="24"/>
          <w:szCs w:val="24"/>
        </w:rPr>
        <w:t xml:space="preserve"> by local authorities. </w:t>
      </w:r>
      <w:r w:rsidRPr="00BE15B8">
        <w:rPr>
          <w:rFonts w:asciiTheme="minorHAnsi" w:hAnsiTheme="minorHAnsi"/>
          <w:iCs/>
          <w:sz w:val="24"/>
          <w:szCs w:val="24"/>
        </w:rPr>
        <w:t>This makes it</w:t>
      </w:r>
      <w:r w:rsidR="00013858" w:rsidRPr="00BE15B8">
        <w:rPr>
          <w:rFonts w:asciiTheme="minorHAnsi" w:hAnsiTheme="minorHAnsi"/>
          <w:iCs/>
          <w:sz w:val="24"/>
          <w:szCs w:val="24"/>
        </w:rPr>
        <w:t xml:space="preserve"> necessary to compile data at different administrative levels, </w:t>
      </w:r>
      <w:r w:rsidR="00A811A5" w:rsidRPr="00BE15B8">
        <w:rPr>
          <w:rFonts w:asciiTheme="minorHAnsi" w:hAnsiTheme="minorHAnsi"/>
          <w:iCs/>
          <w:sz w:val="24"/>
          <w:szCs w:val="24"/>
        </w:rPr>
        <w:t xml:space="preserve">which </w:t>
      </w:r>
      <w:r w:rsidR="00435097" w:rsidRPr="00BE15B8">
        <w:rPr>
          <w:rFonts w:asciiTheme="minorHAnsi" w:hAnsiTheme="minorHAnsi"/>
          <w:iCs/>
          <w:sz w:val="24"/>
          <w:szCs w:val="24"/>
        </w:rPr>
        <w:t>can be</w:t>
      </w:r>
      <w:r w:rsidR="00387728" w:rsidRPr="00BE15B8">
        <w:rPr>
          <w:rFonts w:asciiTheme="minorHAnsi" w:hAnsiTheme="minorHAnsi"/>
          <w:iCs/>
          <w:sz w:val="24"/>
          <w:szCs w:val="24"/>
        </w:rPr>
        <w:t xml:space="preserve"> </w:t>
      </w:r>
      <w:r w:rsidR="00013858" w:rsidRPr="00BE15B8">
        <w:rPr>
          <w:rFonts w:asciiTheme="minorHAnsi" w:hAnsiTheme="minorHAnsi"/>
          <w:iCs/>
          <w:sz w:val="24"/>
          <w:szCs w:val="24"/>
        </w:rPr>
        <w:t>demanding</w:t>
      </w:r>
      <w:r w:rsidR="00435097" w:rsidRPr="00BE15B8">
        <w:rPr>
          <w:rFonts w:asciiTheme="minorHAnsi" w:hAnsiTheme="minorHAnsi"/>
          <w:iCs/>
          <w:sz w:val="24"/>
          <w:szCs w:val="24"/>
        </w:rPr>
        <w:t>.</w:t>
      </w:r>
      <w:r w:rsidRPr="00BE15B8">
        <w:rPr>
          <w:rFonts w:asciiTheme="minorHAnsi" w:hAnsiTheme="minorHAnsi"/>
          <w:iCs/>
          <w:sz w:val="24"/>
          <w:szCs w:val="24"/>
        </w:rPr>
        <w:t xml:space="preserve"> </w:t>
      </w:r>
    </w:p>
    <w:p w:rsidR="007563F1" w:rsidRPr="00BE15B8" w:rsidRDefault="00EE3681" w:rsidP="007563F1">
      <w:pPr>
        <w:autoSpaceDE w:val="0"/>
        <w:autoSpaceDN w:val="0"/>
        <w:adjustRightInd w:val="0"/>
        <w:jc w:val="both"/>
        <w:rPr>
          <w:rFonts w:asciiTheme="minorHAnsi" w:hAnsiTheme="minorHAnsi"/>
          <w:iCs/>
          <w:sz w:val="24"/>
          <w:szCs w:val="24"/>
        </w:rPr>
      </w:pPr>
      <w:r w:rsidRPr="00BE15B8">
        <w:rPr>
          <w:rFonts w:asciiTheme="minorHAnsi" w:eastAsia="Times New Roman" w:hAnsiTheme="minorHAnsi"/>
          <w:iCs/>
          <w:sz w:val="24"/>
          <w:szCs w:val="24"/>
        </w:rPr>
        <w:t xml:space="preserve">Often, </w:t>
      </w:r>
      <w:r w:rsidRPr="00BE15B8">
        <w:rPr>
          <w:rFonts w:asciiTheme="minorHAnsi" w:hAnsiTheme="minorHAnsi"/>
          <w:iCs/>
          <w:sz w:val="24"/>
          <w:szCs w:val="24"/>
        </w:rPr>
        <w:t xml:space="preserve">only a small </w:t>
      </w:r>
      <w:r w:rsidR="00190E07" w:rsidRPr="00BE15B8">
        <w:rPr>
          <w:rFonts w:asciiTheme="minorHAnsi" w:hAnsiTheme="minorHAnsi"/>
          <w:iCs/>
          <w:sz w:val="24"/>
          <w:szCs w:val="24"/>
        </w:rPr>
        <w:t>fraction</w:t>
      </w:r>
      <w:r w:rsidRPr="00BE15B8">
        <w:rPr>
          <w:rFonts w:asciiTheme="minorHAnsi" w:hAnsiTheme="minorHAnsi"/>
          <w:iCs/>
          <w:sz w:val="24"/>
          <w:szCs w:val="24"/>
        </w:rPr>
        <w:t xml:space="preserve"> of drug-related public expenditure can be traced back directly to governments’ documents or single budget lines. </w:t>
      </w:r>
      <w:r w:rsidR="00D947D6" w:rsidRPr="00BE15B8">
        <w:rPr>
          <w:rFonts w:asciiTheme="minorHAnsi" w:eastAsia="Times New Roman" w:hAnsiTheme="minorHAnsi"/>
          <w:iCs/>
          <w:sz w:val="24"/>
          <w:szCs w:val="24"/>
        </w:rPr>
        <w:t xml:space="preserve">The required data </w:t>
      </w:r>
      <w:r w:rsidRPr="00BE15B8">
        <w:rPr>
          <w:rFonts w:asciiTheme="minorHAnsi" w:eastAsia="Times New Roman" w:hAnsiTheme="minorHAnsi"/>
          <w:iCs/>
          <w:sz w:val="24"/>
          <w:szCs w:val="24"/>
        </w:rPr>
        <w:t>are</w:t>
      </w:r>
      <w:r w:rsidR="00D947D6" w:rsidRPr="00BE15B8">
        <w:rPr>
          <w:rFonts w:asciiTheme="minorHAnsi" w:eastAsia="Times New Roman" w:hAnsiTheme="minorHAnsi"/>
          <w:iCs/>
          <w:sz w:val="24"/>
          <w:szCs w:val="24"/>
        </w:rPr>
        <w:t xml:space="preserve"> </w:t>
      </w:r>
      <w:r w:rsidRPr="00BE15B8">
        <w:rPr>
          <w:rFonts w:asciiTheme="minorHAnsi" w:eastAsia="Times New Roman" w:hAnsiTheme="minorHAnsi"/>
          <w:iCs/>
          <w:sz w:val="24"/>
          <w:szCs w:val="24"/>
        </w:rPr>
        <w:t xml:space="preserve">instead </w:t>
      </w:r>
      <w:r w:rsidR="00D947D6" w:rsidRPr="00BE15B8">
        <w:rPr>
          <w:rFonts w:asciiTheme="minorHAnsi" w:eastAsia="Times New Roman" w:hAnsiTheme="minorHAnsi"/>
          <w:iCs/>
          <w:sz w:val="24"/>
          <w:szCs w:val="24"/>
        </w:rPr>
        <w:t xml:space="preserve">embedded in </w:t>
      </w:r>
      <w:r w:rsidR="003979C2" w:rsidRPr="00BE15B8">
        <w:rPr>
          <w:rFonts w:asciiTheme="minorHAnsi" w:eastAsia="Times New Roman" w:hAnsiTheme="minorHAnsi"/>
          <w:iCs/>
          <w:sz w:val="24"/>
          <w:szCs w:val="24"/>
        </w:rPr>
        <w:t>budget</w:t>
      </w:r>
      <w:r w:rsidR="009170F0" w:rsidRPr="00BE15B8">
        <w:rPr>
          <w:rFonts w:asciiTheme="minorHAnsi" w:eastAsia="Times New Roman" w:hAnsiTheme="minorHAnsi"/>
          <w:iCs/>
          <w:sz w:val="24"/>
          <w:szCs w:val="24"/>
        </w:rPr>
        <w:t>s</w:t>
      </w:r>
      <w:r w:rsidR="003979C2" w:rsidRPr="00BE15B8">
        <w:rPr>
          <w:rFonts w:asciiTheme="minorHAnsi" w:eastAsia="Times New Roman" w:hAnsiTheme="minorHAnsi"/>
          <w:iCs/>
          <w:sz w:val="24"/>
          <w:szCs w:val="24"/>
        </w:rPr>
        <w:t xml:space="preserve"> for larger sectors or programmes, which implies that closer </w:t>
      </w:r>
      <w:r w:rsidR="00561AC6" w:rsidRPr="00BE15B8">
        <w:rPr>
          <w:rFonts w:asciiTheme="minorHAnsi" w:eastAsia="Times New Roman" w:hAnsiTheme="minorHAnsi"/>
          <w:iCs/>
          <w:sz w:val="24"/>
          <w:szCs w:val="24"/>
        </w:rPr>
        <w:t xml:space="preserve">modelling </w:t>
      </w:r>
      <w:r w:rsidR="003979C2" w:rsidRPr="00BE15B8">
        <w:rPr>
          <w:rFonts w:asciiTheme="minorHAnsi" w:eastAsia="Times New Roman" w:hAnsiTheme="minorHAnsi"/>
          <w:iCs/>
          <w:sz w:val="24"/>
          <w:szCs w:val="24"/>
        </w:rPr>
        <w:t>and estimations are needed</w:t>
      </w:r>
      <w:r w:rsidR="007563F1" w:rsidRPr="00BE15B8">
        <w:rPr>
          <w:rFonts w:asciiTheme="minorHAnsi" w:eastAsia="Times New Roman" w:hAnsiTheme="minorHAnsi"/>
          <w:iCs/>
          <w:sz w:val="24"/>
          <w:szCs w:val="24"/>
        </w:rPr>
        <w:t xml:space="preserve">. </w:t>
      </w:r>
      <w:r w:rsidR="007563F1" w:rsidRPr="00BE15B8">
        <w:rPr>
          <w:rFonts w:asciiTheme="minorHAnsi" w:hAnsiTheme="minorHAnsi"/>
          <w:iCs/>
          <w:sz w:val="24"/>
          <w:szCs w:val="24"/>
        </w:rPr>
        <w:t xml:space="preserve">For instance, it is common that </w:t>
      </w:r>
      <w:r w:rsidR="00561AC6" w:rsidRPr="00BE15B8">
        <w:rPr>
          <w:rFonts w:asciiTheme="minorHAnsi" w:hAnsiTheme="minorHAnsi"/>
          <w:iCs/>
          <w:sz w:val="24"/>
          <w:szCs w:val="24"/>
        </w:rPr>
        <w:t>p</w:t>
      </w:r>
      <w:r w:rsidR="00121652" w:rsidRPr="00BE15B8">
        <w:rPr>
          <w:rFonts w:asciiTheme="minorHAnsi" w:hAnsiTheme="minorHAnsi"/>
          <w:iCs/>
          <w:sz w:val="24"/>
          <w:szCs w:val="24"/>
        </w:rPr>
        <w:t>ris</w:t>
      </w:r>
      <w:r w:rsidR="00561AC6" w:rsidRPr="00BE15B8">
        <w:rPr>
          <w:rFonts w:asciiTheme="minorHAnsi" w:hAnsiTheme="minorHAnsi"/>
          <w:iCs/>
          <w:sz w:val="24"/>
          <w:szCs w:val="24"/>
        </w:rPr>
        <w:t>ons</w:t>
      </w:r>
      <w:r w:rsidR="007563F1" w:rsidRPr="00BE15B8">
        <w:rPr>
          <w:rFonts w:asciiTheme="minorHAnsi" w:hAnsiTheme="minorHAnsi"/>
          <w:iCs/>
          <w:sz w:val="24"/>
          <w:szCs w:val="24"/>
        </w:rPr>
        <w:t xml:space="preserve"> do not have a </w:t>
      </w:r>
      <w:r w:rsidR="00A811A5" w:rsidRPr="00BE15B8">
        <w:rPr>
          <w:rFonts w:asciiTheme="minorHAnsi" w:hAnsiTheme="minorHAnsi"/>
          <w:iCs/>
          <w:sz w:val="24"/>
          <w:szCs w:val="24"/>
        </w:rPr>
        <w:t>separate</w:t>
      </w:r>
      <w:r w:rsidR="007563F1" w:rsidRPr="00BE15B8">
        <w:rPr>
          <w:rFonts w:asciiTheme="minorHAnsi" w:hAnsiTheme="minorHAnsi"/>
          <w:iCs/>
          <w:sz w:val="24"/>
          <w:szCs w:val="24"/>
        </w:rPr>
        <w:t xml:space="preserve"> budget </w:t>
      </w:r>
      <w:r w:rsidR="00A811A5" w:rsidRPr="00BE15B8">
        <w:rPr>
          <w:rFonts w:asciiTheme="minorHAnsi" w:hAnsiTheme="minorHAnsi"/>
          <w:iCs/>
          <w:sz w:val="24"/>
          <w:szCs w:val="24"/>
        </w:rPr>
        <w:t>for</w:t>
      </w:r>
      <w:r w:rsidR="007563F1" w:rsidRPr="00BE15B8">
        <w:rPr>
          <w:rFonts w:asciiTheme="minorHAnsi" w:hAnsiTheme="minorHAnsi"/>
          <w:iCs/>
          <w:sz w:val="24"/>
          <w:szCs w:val="24"/>
        </w:rPr>
        <w:t xml:space="preserve"> drug</w:t>
      </w:r>
      <w:r w:rsidR="00121652" w:rsidRPr="00BE15B8">
        <w:rPr>
          <w:rFonts w:asciiTheme="minorHAnsi" w:hAnsiTheme="minorHAnsi"/>
          <w:iCs/>
          <w:sz w:val="24"/>
          <w:szCs w:val="24"/>
        </w:rPr>
        <w:t>-law offenders</w:t>
      </w:r>
      <w:r w:rsidR="007563F1" w:rsidRPr="00BE15B8">
        <w:rPr>
          <w:rFonts w:asciiTheme="minorHAnsi" w:hAnsiTheme="minorHAnsi"/>
          <w:iCs/>
          <w:sz w:val="24"/>
          <w:szCs w:val="24"/>
        </w:rPr>
        <w:t xml:space="preserve">, because </w:t>
      </w:r>
      <w:r w:rsidR="00561AC6" w:rsidRPr="00BE15B8">
        <w:rPr>
          <w:rFonts w:asciiTheme="minorHAnsi" w:hAnsiTheme="minorHAnsi"/>
          <w:iCs/>
          <w:sz w:val="24"/>
          <w:szCs w:val="24"/>
        </w:rPr>
        <w:t xml:space="preserve">they </w:t>
      </w:r>
      <w:r w:rsidR="007563F1" w:rsidRPr="00BE15B8">
        <w:rPr>
          <w:rFonts w:asciiTheme="minorHAnsi" w:hAnsiTheme="minorHAnsi"/>
          <w:iCs/>
          <w:sz w:val="24"/>
          <w:szCs w:val="24"/>
        </w:rPr>
        <w:t xml:space="preserve">have usually one unique budget </w:t>
      </w:r>
      <w:r w:rsidR="009170F0" w:rsidRPr="00BE15B8">
        <w:rPr>
          <w:rFonts w:asciiTheme="minorHAnsi" w:hAnsiTheme="minorHAnsi"/>
          <w:iCs/>
          <w:sz w:val="24"/>
          <w:szCs w:val="24"/>
        </w:rPr>
        <w:t>for</w:t>
      </w:r>
      <w:r w:rsidR="007563F1" w:rsidRPr="00BE15B8">
        <w:rPr>
          <w:rFonts w:asciiTheme="minorHAnsi" w:hAnsiTheme="minorHAnsi"/>
          <w:iCs/>
          <w:sz w:val="24"/>
          <w:szCs w:val="24"/>
        </w:rPr>
        <w:t xml:space="preserve"> their entire activity. Therefore, the values of this embedded expenditure can only be estimated through modelling approaches (EMCDDA, </w:t>
      </w:r>
      <w:r w:rsidR="00561AC6" w:rsidRPr="00BE15B8">
        <w:rPr>
          <w:rFonts w:asciiTheme="minorHAnsi" w:hAnsiTheme="minorHAnsi"/>
          <w:iCs/>
          <w:sz w:val="24"/>
          <w:szCs w:val="24"/>
        </w:rPr>
        <w:t>2014</w:t>
      </w:r>
      <w:r w:rsidR="007563F1" w:rsidRPr="00BE15B8">
        <w:rPr>
          <w:rFonts w:asciiTheme="minorHAnsi" w:hAnsiTheme="minorHAnsi"/>
          <w:iCs/>
          <w:sz w:val="24"/>
          <w:szCs w:val="24"/>
        </w:rPr>
        <w:t>). This requires skills, modelling tools and techniques.</w:t>
      </w:r>
      <w:r w:rsidR="00030150" w:rsidRPr="00BE15B8">
        <w:rPr>
          <w:rFonts w:asciiTheme="minorHAnsi" w:hAnsiTheme="minorHAnsi"/>
          <w:iCs/>
          <w:sz w:val="24"/>
          <w:szCs w:val="24"/>
        </w:rPr>
        <w:t xml:space="preserve"> </w:t>
      </w:r>
    </w:p>
    <w:p w:rsidR="00480E8B" w:rsidRPr="00BE15B8" w:rsidRDefault="00422FEF" w:rsidP="00C93138">
      <w:pPr>
        <w:autoSpaceDE w:val="0"/>
        <w:autoSpaceDN w:val="0"/>
        <w:adjustRightInd w:val="0"/>
        <w:jc w:val="both"/>
        <w:rPr>
          <w:rFonts w:asciiTheme="minorHAnsi" w:hAnsiTheme="minorHAnsi"/>
          <w:iCs/>
          <w:sz w:val="24"/>
          <w:szCs w:val="24"/>
        </w:rPr>
      </w:pPr>
      <w:r w:rsidRPr="00BE15B8">
        <w:rPr>
          <w:rFonts w:asciiTheme="minorHAnsi" w:eastAsia="Times New Roman" w:hAnsiTheme="minorHAnsi"/>
          <w:iCs/>
          <w:sz w:val="24"/>
          <w:szCs w:val="24"/>
          <w:lang w:eastAsia="hr-HR"/>
        </w:rPr>
        <w:t xml:space="preserve">Irrespective of the factors which may challenge the robustness of </w:t>
      </w:r>
      <w:r w:rsidR="000054A5" w:rsidRPr="00BE15B8">
        <w:rPr>
          <w:rFonts w:asciiTheme="minorHAnsi" w:eastAsia="Times New Roman" w:hAnsiTheme="minorHAnsi"/>
          <w:iCs/>
          <w:sz w:val="24"/>
          <w:szCs w:val="24"/>
          <w:lang w:eastAsia="hr-HR"/>
        </w:rPr>
        <w:t>estimation</w:t>
      </w:r>
      <w:r w:rsidRPr="00BE15B8">
        <w:rPr>
          <w:rFonts w:asciiTheme="minorHAnsi" w:eastAsia="Times New Roman" w:hAnsiTheme="minorHAnsi"/>
          <w:iCs/>
          <w:sz w:val="24"/>
          <w:szCs w:val="24"/>
          <w:lang w:eastAsia="hr-HR"/>
        </w:rPr>
        <w:t xml:space="preserve"> </w:t>
      </w:r>
      <w:r w:rsidR="000054A5" w:rsidRPr="00BE15B8">
        <w:rPr>
          <w:rFonts w:asciiTheme="minorHAnsi" w:eastAsia="Times New Roman" w:hAnsiTheme="minorHAnsi"/>
          <w:iCs/>
          <w:sz w:val="24"/>
          <w:szCs w:val="24"/>
          <w:lang w:eastAsia="hr-HR"/>
        </w:rPr>
        <w:t>results</w:t>
      </w:r>
      <w:r w:rsidRPr="00BE15B8">
        <w:rPr>
          <w:rFonts w:asciiTheme="minorHAnsi" w:eastAsia="Times New Roman" w:hAnsiTheme="minorHAnsi"/>
          <w:iCs/>
          <w:sz w:val="24"/>
          <w:szCs w:val="24"/>
          <w:lang w:eastAsia="hr-HR"/>
        </w:rPr>
        <w:t xml:space="preserve"> (limited data availability, layering of assumptions, changes in the crime evidence, etc.), </w:t>
      </w:r>
      <w:r w:rsidR="000054A5" w:rsidRPr="00BE15B8">
        <w:rPr>
          <w:rFonts w:asciiTheme="minorHAnsi" w:eastAsia="Times New Roman" w:hAnsiTheme="minorHAnsi"/>
          <w:iCs/>
          <w:sz w:val="24"/>
          <w:szCs w:val="24"/>
          <w:lang w:eastAsia="hr-HR"/>
        </w:rPr>
        <w:t>the application of existing models can provide useful insights, as the experiences from various countries show (see examples below).</w:t>
      </w:r>
      <w:r w:rsidRPr="00BE15B8">
        <w:rPr>
          <w:rFonts w:asciiTheme="minorHAnsi" w:eastAsia="Times New Roman" w:hAnsiTheme="minorHAnsi"/>
          <w:iCs/>
          <w:sz w:val="24"/>
          <w:szCs w:val="24"/>
          <w:lang w:eastAsia="hr-HR"/>
        </w:rPr>
        <w:t xml:space="preserve"> </w:t>
      </w:r>
    </w:p>
    <w:p w:rsidR="00C93138" w:rsidRPr="00BE15B8" w:rsidRDefault="00C93138" w:rsidP="00C93138">
      <w:pPr>
        <w:autoSpaceDE w:val="0"/>
        <w:autoSpaceDN w:val="0"/>
        <w:adjustRightInd w:val="0"/>
        <w:jc w:val="both"/>
        <w:rPr>
          <w:rFonts w:asciiTheme="minorHAnsi" w:hAnsiTheme="minorHAnsi"/>
          <w:iCs/>
          <w:sz w:val="24"/>
          <w:szCs w:val="24"/>
        </w:rPr>
      </w:pPr>
      <w:r w:rsidRPr="00BE15B8">
        <w:rPr>
          <w:rFonts w:asciiTheme="minorHAnsi" w:hAnsiTheme="minorHAnsi"/>
          <w:b/>
          <w:i/>
          <w:iCs/>
          <w:sz w:val="24"/>
          <w:szCs w:val="24"/>
        </w:rPr>
        <w:t>Drug-related expenditure on supply reduction initiatives</w:t>
      </w:r>
    </w:p>
    <w:p w:rsidR="00C93138" w:rsidRPr="00BE15B8" w:rsidRDefault="0005556B" w:rsidP="0005556B">
      <w:pPr>
        <w:autoSpaceDE w:val="0"/>
        <w:autoSpaceDN w:val="0"/>
        <w:adjustRightInd w:val="0"/>
        <w:spacing w:after="0"/>
        <w:jc w:val="both"/>
        <w:rPr>
          <w:rFonts w:asciiTheme="minorHAnsi" w:eastAsiaTheme="majorEastAsia" w:hAnsiTheme="minorHAnsi"/>
          <w:sz w:val="24"/>
          <w:szCs w:val="24"/>
        </w:rPr>
      </w:pPr>
      <w:r w:rsidRPr="00BE15B8">
        <w:rPr>
          <w:rFonts w:asciiTheme="minorHAnsi" w:hAnsiTheme="minorHAnsi"/>
          <w:color w:val="000000" w:themeColor="text1"/>
          <w:sz w:val="24"/>
          <w:szCs w:val="24"/>
        </w:rPr>
        <w:t xml:space="preserve">We define </w:t>
      </w:r>
      <w:r w:rsidR="00857CFC" w:rsidRPr="00BE15B8">
        <w:rPr>
          <w:rFonts w:asciiTheme="minorHAnsi" w:hAnsiTheme="minorHAnsi"/>
          <w:color w:val="000000" w:themeColor="text1"/>
          <w:sz w:val="24"/>
          <w:szCs w:val="24"/>
        </w:rPr>
        <w:t xml:space="preserve">public </w:t>
      </w:r>
      <w:r w:rsidRPr="00BE15B8">
        <w:rPr>
          <w:rFonts w:asciiTheme="minorHAnsi" w:hAnsiTheme="minorHAnsi"/>
          <w:color w:val="000000" w:themeColor="text1"/>
          <w:sz w:val="24"/>
          <w:szCs w:val="24"/>
        </w:rPr>
        <w:t xml:space="preserve">expenditure on drug supply reduction to </w:t>
      </w:r>
      <w:r w:rsidRPr="00BE15B8">
        <w:rPr>
          <w:rFonts w:asciiTheme="minorHAnsi" w:hAnsiTheme="minorHAnsi"/>
          <w:iCs/>
          <w:sz w:val="24"/>
          <w:szCs w:val="24"/>
        </w:rPr>
        <w:t>comprises the funds spend by the general government to provide police, law courts and prisons services geared towards the combat of the illegal drug phenomena.</w:t>
      </w:r>
      <w:r w:rsidR="00A811A5" w:rsidRPr="00BE15B8">
        <w:rPr>
          <w:rFonts w:asciiTheme="minorHAnsi" w:hAnsiTheme="minorHAnsi"/>
          <w:color w:val="000000" w:themeColor="text1"/>
          <w:sz w:val="24"/>
          <w:szCs w:val="24"/>
        </w:rPr>
        <w:t xml:space="preserve"> </w:t>
      </w:r>
      <w:r w:rsidR="00857CFC" w:rsidRPr="00BE15B8">
        <w:rPr>
          <w:rFonts w:asciiTheme="minorHAnsi" w:hAnsiTheme="minorHAnsi"/>
          <w:color w:val="000000" w:themeColor="text1"/>
          <w:sz w:val="24"/>
          <w:szCs w:val="24"/>
        </w:rPr>
        <w:t xml:space="preserve">In general, </w:t>
      </w:r>
      <w:r w:rsidR="00857CFC" w:rsidRPr="00BE15B8">
        <w:rPr>
          <w:rFonts w:asciiTheme="minorHAnsi" w:eastAsiaTheme="majorEastAsia" w:hAnsiTheme="minorHAnsi"/>
          <w:sz w:val="24"/>
          <w:szCs w:val="24"/>
        </w:rPr>
        <w:t>p</w:t>
      </w:r>
      <w:r w:rsidR="00C93138" w:rsidRPr="00BE15B8">
        <w:rPr>
          <w:rFonts w:asciiTheme="minorHAnsi" w:eastAsiaTheme="majorEastAsia" w:hAnsiTheme="minorHAnsi"/>
          <w:sz w:val="24"/>
          <w:szCs w:val="24"/>
        </w:rPr>
        <w:t>olice services comprise, among other, the operation of regu</w:t>
      </w:r>
      <w:r w:rsidR="008A3FC8" w:rsidRPr="00BE15B8">
        <w:rPr>
          <w:rFonts w:asciiTheme="minorHAnsi" w:eastAsiaTheme="majorEastAsia" w:hAnsiTheme="minorHAnsi"/>
          <w:sz w:val="24"/>
          <w:szCs w:val="24"/>
        </w:rPr>
        <w:t>lar and auxiliary police forces</w:t>
      </w:r>
      <w:r w:rsidR="00C93138" w:rsidRPr="00BE15B8">
        <w:rPr>
          <w:rFonts w:asciiTheme="minorHAnsi" w:eastAsiaTheme="majorEastAsia" w:hAnsiTheme="minorHAnsi"/>
          <w:sz w:val="24"/>
          <w:szCs w:val="24"/>
        </w:rPr>
        <w:t xml:space="preserve"> of port</w:t>
      </w:r>
      <w:r w:rsidR="0064289D" w:rsidRPr="00BE15B8">
        <w:rPr>
          <w:rFonts w:asciiTheme="minorHAnsi" w:eastAsiaTheme="majorEastAsia" w:hAnsiTheme="minorHAnsi"/>
          <w:sz w:val="24"/>
          <w:szCs w:val="24"/>
        </w:rPr>
        <w:t xml:space="preserve">s and </w:t>
      </w:r>
      <w:r w:rsidR="00C93138" w:rsidRPr="00BE15B8">
        <w:rPr>
          <w:rFonts w:asciiTheme="minorHAnsi" w:eastAsiaTheme="majorEastAsia" w:hAnsiTheme="minorHAnsi"/>
          <w:sz w:val="24"/>
          <w:szCs w:val="24"/>
        </w:rPr>
        <w:t>border</w:t>
      </w:r>
      <w:r w:rsidR="0064289D" w:rsidRPr="00BE15B8">
        <w:rPr>
          <w:rFonts w:asciiTheme="minorHAnsi" w:eastAsiaTheme="majorEastAsia" w:hAnsiTheme="minorHAnsi"/>
          <w:sz w:val="24"/>
          <w:szCs w:val="24"/>
        </w:rPr>
        <w:t>s</w:t>
      </w:r>
      <w:r w:rsidR="00C93138" w:rsidRPr="00BE15B8">
        <w:rPr>
          <w:rFonts w:asciiTheme="minorHAnsi" w:eastAsiaTheme="majorEastAsia" w:hAnsiTheme="minorHAnsi"/>
          <w:sz w:val="24"/>
          <w:szCs w:val="24"/>
        </w:rPr>
        <w:t>, coast guards and customs, as well as road traffic regulations and supervision</w:t>
      </w:r>
      <w:r w:rsidR="008A3FC8" w:rsidRPr="00BE15B8">
        <w:rPr>
          <w:rFonts w:asciiTheme="minorHAnsi" w:eastAsiaTheme="majorEastAsia" w:hAnsiTheme="minorHAnsi"/>
          <w:sz w:val="24"/>
          <w:szCs w:val="24"/>
        </w:rPr>
        <w:t xml:space="preserve">. The </w:t>
      </w:r>
      <w:r w:rsidR="00857CFC" w:rsidRPr="00BE15B8">
        <w:rPr>
          <w:rFonts w:asciiTheme="minorHAnsi" w:eastAsiaTheme="majorEastAsia" w:hAnsiTheme="minorHAnsi"/>
          <w:sz w:val="24"/>
          <w:szCs w:val="24"/>
        </w:rPr>
        <w:t xml:space="preserve">services </w:t>
      </w:r>
      <w:r w:rsidR="00C93138" w:rsidRPr="00BE15B8">
        <w:rPr>
          <w:rFonts w:asciiTheme="minorHAnsi" w:eastAsiaTheme="majorEastAsia" w:hAnsiTheme="minorHAnsi"/>
          <w:sz w:val="24"/>
          <w:szCs w:val="24"/>
        </w:rPr>
        <w:t xml:space="preserve">provided by law courts are the operation or support of civil and criminal </w:t>
      </w:r>
      <w:r w:rsidR="008A3FC8" w:rsidRPr="00BE15B8">
        <w:rPr>
          <w:rFonts w:asciiTheme="minorHAnsi" w:eastAsiaTheme="majorEastAsia" w:hAnsiTheme="minorHAnsi"/>
          <w:sz w:val="24"/>
          <w:szCs w:val="24"/>
        </w:rPr>
        <w:t>law courts and judicial systems,</w:t>
      </w:r>
      <w:r w:rsidR="00C93138" w:rsidRPr="00BE15B8">
        <w:rPr>
          <w:rFonts w:asciiTheme="minorHAnsi" w:eastAsiaTheme="majorEastAsia" w:hAnsiTheme="minorHAnsi"/>
          <w:sz w:val="24"/>
          <w:szCs w:val="24"/>
        </w:rPr>
        <w:t xml:space="preserve"> the service of prosecution </w:t>
      </w:r>
      <w:r w:rsidR="008A3FC8" w:rsidRPr="00BE15B8">
        <w:rPr>
          <w:rFonts w:asciiTheme="minorHAnsi" w:eastAsiaTheme="majorEastAsia" w:hAnsiTheme="minorHAnsi"/>
          <w:sz w:val="24"/>
          <w:szCs w:val="24"/>
        </w:rPr>
        <w:t>and</w:t>
      </w:r>
      <w:r w:rsidR="00C93138" w:rsidRPr="00BE15B8">
        <w:rPr>
          <w:rFonts w:asciiTheme="minorHAnsi" w:eastAsiaTheme="majorEastAsia" w:hAnsiTheme="minorHAnsi"/>
          <w:sz w:val="24"/>
          <w:szCs w:val="24"/>
        </w:rPr>
        <w:t xml:space="preserve"> the enforcement of fines and probation systems</w:t>
      </w:r>
      <w:r w:rsidR="008A3FC8" w:rsidRPr="00BE15B8">
        <w:rPr>
          <w:rFonts w:asciiTheme="minorHAnsi" w:eastAsiaTheme="majorEastAsia" w:hAnsiTheme="minorHAnsi"/>
          <w:sz w:val="24"/>
          <w:szCs w:val="24"/>
        </w:rPr>
        <w:t>.</w:t>
      </w:r>
      <w:r w:rsidR="00C93138" w:rsidRPr="00BE15B8">
        <w:rPr>
          <w:rFonts w:asciiTheme="minorHAnsi" w:eastAsiaTheme="majorEastAsia" w:hAnsiTheme="minorHAnsi"/>
          <w:sz w:val="24"/>
          <w:szCs w:val="24"/>
        </w:rPr>
        <w:t xml:space="preserve"> </w:t>
      </w:r>
      <w:r w:rsidR="008A3FC8" w:rsidRPr="00BE15B8">
        <w:rPr>
          <w:rFonts w:asciiTheme="minorHAnsi" w:eastAsiaTheme="majorEastAsia" w:hAnsiTheme="minorHAnsi"/>
          <w:sz w:val="24"/>
          <w:szCs w:val="24"/>
        </w:rPr>
        <w:t>P</w:t>
      </w:r>
      <w:r w:rsidR="00C93138" w:rsidRPr="00BE15B8">
        <w:rPr>
          <w:rFonts w:asciiTheme="minorHAnsi" w:eastAsiaTheme="majorEastAsia" w:hAnsiTheme="minorHAnsi"/>
          <w:sz w:val="24"/>
          <w:szCs w:val="24"/>
        </w:rPr>
        <w:t xml:space="preserve">rison </w:t>
      </w:r>
      <w:r w:rsidR="008A3FC8" w:rsidRPr="00BE15B8">
        <w:rPr>
          <w:rFonts w:asciiTheme="minorHAnsi" w:eastAsiaTheme="majorEastAsia" w:hAnsiTheme="minorHAnsi"/>
          <w:sz w:val="24"/>
          <w:szCs w:val="24"/>
        </w:rPr>
        <w:t xml:space="preserve">services </w:t>
      </w:r>
      <w:r w:rsidR="00C93138" w:rsidRPr="00BE15B8">
        <w:rPr>
          <w:rFonts w:asciiTheme="minorHAnsi" w:eastAsiaTheme="majorEastAsia" w:hAnsiTheme="minorHAnsi"/>
          <w:sz w:val="24"/>
          <w:szCs w:val="24"/>
        </w:rPr>
        <w:t>comprise the a</w:t>
      </w:r>
      <w:r w:rsidR="0064289D" w:rsidRPr="00BE15B8">
        <w:rPr>
          <w:rFonts w:asciiTheme="minorHAnsi" w:eastAsiaTheme="majorEastAsia" w:hAnsiTheme="minorHAnsi"/>
          <w:sz w:val="24"/>
          <w:szCs w:val="24"/>
        </w:rPr>
        <w:t>ctivities of administer prisons and the</w:t>
      </w:r>
      <w:r w:rsidR="00C93138" w:rsidRPr="00BE15B8">
        <w:rPr>
          <w:rFonts w:asciiTheme="minorHAnsi" w:eastAsiaTheme="majorEastAsia" w:hAnsiTheme="minorHAnsi"/>
          <w:sz w:val="24"/>
          <w:szCs w:val="24"/>
        </w:rPr>
        <w:t xml:space="preserve"> operation or support of prisons and other places for the detention or rehabilitation of criminal</w:t>
      </w:r>
      <w:r w:rsidR="0064289D" w:rsidRPr="00BE15B8">
        <w:rPr>
          <w:rFonts w:asciiTheme="minorHAnsi" w:eastAsiaTheme="majorEastAsia" w:hAnsiTheme="minorHAnsi"/>
          <w:sz w:val="24"/>
          <w:szCs w:val="24"/>
        </w:rPr>
        <w:t>s,</w:t>
      </w:r>
      <w:r w:rsidR="00C93138" w:rsidRPr="00BE15B8">
        <w:rPr>
          <w:rFonts w:asciiTheme="minorHAnsi" w:eastAsiaTheme="majorEastAsia" w:hAnsiTheme="minorHAnsi"/>
          <w:sz w:val="24"/>
          <w:szCs w:val="24"/>
        </w:rPr>
        <w:t xml:space="preserve"> such as prisons farms, workhouses, reformatories, borstals, asylums for the criminal insane, etc. (Eurostat, 2011)</w:t>
      </w:r>
      <w:r w:rsidR="00A811A5" w:rsidRPr="00BE15B8">
        <w:rPr>
          <w:rFonts w:asciiTheme="minorHAnsi" w:eastAsiaTheme="majorEastAsia" w:hAnsiTheme="minorHAnsi"/>
          <w:sz w:val="24"/>
          <w:szCs w:val="24"/>
        </w:rPr>
        <w:t>.</w:t>
      </w:r>
      <w:r w:rsidR="00A811A5" w:rsidRPr="00BE15B8">
        <w:rPr>
          <w:rFonts w:asciiTheme="minorHAnsi" w:hAnsiTheme="minorHAnsi"/>
          <w:color w:val="000000" w:themeColor="text1"/>
          <w:sz w:val="24"/>
          <w:szCs w:val="24"/>
        </w:rPr>
        <w:t xml:space="preserve"> </w:t>
      </w:r>
      <w:r w:rsidR="00857CFC" w:rsidRPr="00BE15B8">
        <w:rPr>
          <w:rFonts w:asciiTheme="minorHAnsi" w:hAnsiTheme="minorHAnsi"/>
          <w:color w:val="000000" w:themeColor="text1"/>
          <w:sz w:val="24"/>
          <w:szCs w:val="24"/>
        </w:rPr>
        <w:t xml:space="preserve">Supply reduction public spending comprises the public spending on </w:t>
      </w:r>
      <w:r w:rsidR="009A2C22" w:rsidRPr="00BE15B8">
        <w:rPr>
          <w:rFonts w:asciiTheme="minorHAnsi" w:hAnsiTheme="minorHAnsi"/>
          <w:color w:val="000000" w:themeColor="text1"/>
          <w:sz w:val="24"/>
          <w:szCs w:val="24"/>
        </w:rPr>
        <w:t xml:space="preserve">these </w:t>
      </w:r>
      <w:r w:rsidR="00857CFC" w:rsidRPr="00BE15B8">
        <w:rPr>
          <w:rFonts w:asciiTheme="minorHAnsi" w:hAnsiTheme="minorHAnsi"/>
          <w:color w:val="000000" w:themeColor="text1"/>
          <w:sz w:val="24"/>
          <w:szCs w:val="24"/>
        </w:rPr>
        <w:t>police services</w:t>
      </w:r>
      <w:r w:rsidR="009A2C22" w:rsidRPr="00BE15B8">
        <w:rPr>
          <w:rFonts w:asciiTheme="minorHAnsi" w:hAnsiTheme="minorHAnsi"/>
          <w:color w:val="000000" w:themeColor="text1"/>
          <w:sz w:val="24"/>
          <w:szCs w:val="24"/>
        </w:rPr>
        <w:t xml:space="preserve">, law courts and prisons which are specifically allocated to the combat of the illegal drug phenomena. </w:t>
      </w:r>
      <w:r w:rsidR="00A811A5" w:rsidRPr="00BE15B8">
        <w:rPr>
          <w:rFonts w:asciiTheme="minorHAnsi" w:hAnsiTheme="minorHAnsi"/>
          <w:color w:val="000000" w:themeColor="text1"/>
          <w:sz w:val="24"/>
          <w:szCs w:val="24"/>
        </w:rPr>
        <w:t>The vast majority of these resources will be spent on enforcement towards producers and dealers, but it also include legal actions toward drug users.</w:t>
      </w:r>
    </w:p>
    <w:p w:rsidR="00C93138" w:rsidRPr="00BE15B8" w:rsidRDefault="00C93138" w:rsidP="00C93138">
      <w:pPr>
        <w:autoSpaceDE w:val="0"/>
        <w:autoSpaceDN w:val="0"/>
        <w:adjustRightInd w:val="0"/>
        <w:spacing w:after="0"/>
        <w:jc w:val="both"/>
        <w:rPr>
          <w:rFonts w:asciiTheme="minorHAnsi" w:eastAsia="Times New Roman" w:hAnsiTheme="minorHAnsi"/>
          <w:iCs/>
          <w:sz w:val="24"/>
          <w:szCs w:val="24"/>
          <w:lang w:eastAsia="hr-HR"/>
        </w:rPr>
      </w:pPr>
    </w:p>
    <w:p w:rsidR="00DE7529" w:rsidRPr="00BE15B8" w:rsidRDefault="00DE7529" w:rsidP="00EA1934">
      <w:pPr>
        <w:pStyle w:val="HTML-forhndsformatert"/>
        <w:shd w:val="clear" w:color="auto" w:fill="FFFFFF"/>
        <w:spacing w:line="276" w:lineRule="auto"/>
        <w:jc w:val="both"/>
        <w:rPr>
          <w:rFonts w:asciiTheme="minorHAnsi" w:hAnsiTheme="minorHAnsi" w:cs="Times New Roman"/>
          <w:b/>
          <w:iCs/>
          <w:sz w:val="28"/>
          <w:szCs w:val="28"/>
          <w:lang w:val="en-GB"/>
        </w:rPr>
      </w:pPr>
    </w:p>
    <w:p w:rsidR="00711219" w:rsidRPr="00BE15B8" w:rsidRDefault="00DB1E7A" w:rsidP="00EA1934">
      <w:pPr>
        <w:pStyle w:val="HTML-forhndsformatert"/>
        <w:shd w:val="clear" w:color="auto" w:fill="FFFFFF"/>
        <w:spacing w:line="276" w:lineRule="auto"/>
        <w:jc w:val="both"/>
        <w:rPr>
          <w:rFonts w:asciiTheme="minorHAnsi" w:hAnsiTheme="minorHAnsi" w:cs="Times New Roman"/>
          <w:b/>
          <w:iCs/>
          <w:sz w:val="28"/>
          <w:szCs w:val="28"/>
          <w:lang w:val="en-GB"/>
        </w:rPr>
      </w:pPr>
      <w:r w:rsidRPr="00BE15B8">
        <w:rPr>
          <w:rFonts w:asciiTheme="minorHAnsi" w:hAnsiTheme="minorHAnsi" w:cs="Times New Roman"/>
          <w:b/>
          <w:iCs/>
          <w:sz w:val="28"/>
          <w:szCs w:val="28"/>
          <w:lang w:val="en-GB"/>
        </w:rPr>
        <w:lastRenderedPageBreak/>
        <w:t>E</w:t>
      </w:r>
      <w:r w:rsidR="00422FEF" w:rsidRPr="00BE15B8">
        <w:rPr>
          <w:rFonts w:asciiTheme="minorHAnsi" w:hAnsiTheme="minorHAnsi" w:cs="Times New Roman"/>
          <w:b/>
          <w:iCs/>
          <w:sz w:val="28"/>
          <w:szCs w:val="28"/>
          <w:lang w:val="en-GB"/>
        </w:rPr>
        <w:t>mpirical e</w:t>
      </w:r>
      <w:r w:rsidRPr="00BE15B8">
        <w:rPr>
          <w:rFonts w:asciiTheme="minorHAnsi" w:hAnsiTheme="minorHAnsi" w:cs="Times New Roman"/>
          <w:b/>
          <w:iCs/>
          <w:sz w:val="28"/>
          <w:szCs w:val="28"/>
          <w:lang w:val="en-GB"/>
        </w:rPr>
        <w:t>stimat</w:t>
      </w:r>
      <w:r w:rsidR="00422FEF" w:rsidRPr="00BE15B8">
        <w:rPr>
          <w:rFonts w:asciiTheme="minorHAnsi" w:hAnsiTheme="minorHAnsi" w:cs="Times New Roman"/>
          <w:b/>
          <w:iCs/>
          <w:sz w:val="28"/>
          <w:szCs w:val="28"/>
          <w:lang w:val="en-GB"/>
        </w:rPr>
        <w:t>es of</w:t>
      </w:r>
      <w:r w:rsidRPr="00BE15B8">
        <w:rPr>
          <w:rFonts w:asciiTheme="minorHAnsi" w:hAnsiTheme="minorHAnsi" w:cs="Times New Roman"/>
          <w:b/>
          <w:iCs/>
          <w:sz w:val="28"/>
          <w:szCs w:val="28"/>
          <w:lang w:val="en-GB"/>
        </w:rPr>
        <w:t xml:space="preserve"> </w:t>
      </w:r>
      <w:r w:rsidR="00861714" w:rsidRPr="00BE15B8">
        <w:rPr>
          <w:rFonts w:asciiTheme="minorHAnsi" w:hAnsiTheme="minorHAnsi" w:cs="Times New Roman"/>
          <w:b/>
          <w:iCs/>
          <w:sz w:val="28"/>
          <w:szCs w:val="28"/>
          <w:lang w:val="en-GB"/>
        </w:rPr>
        <w:t>demand and supply</w:t>
      </w:r>
      <w:r w:rsidRPr="00BE15B8">
        <w:rPr>
          <w:rFonts w:asciiTheme="minorHAnsi" w:hAnsiTheme="minorHAnsi" w:cs="Times New Roman"/>
          <w:b/>
          <w:iCs/>
          <w:sz w:val="28"/>
          <w:szCs w:val="28"/>
          <w:lang w:val="en-GB"/>
        </w:rPr>
        <w:t xml:space="preserve"> policy expenditure</w:t>
      </w:r>
    </w:p>
    <w:p w:rsidR="007941AF" w:rsidRPr="00BE15B8" w:rsidRDefault="005D11C8" w:rsidP="00422FEF">
      <w:pPr>
        <w:pStyle w:val="HTML-forhndsformatert"/>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iCs/>
          <w:sz w:val="24"/>
          <w:szCs w:val="24"/>
          <w:lang w:val="en-GB"/>
        </w:rPr>
        <w:t>Over</w:t>
      </w:r>
      <w:r w:rsidR="00BC1A0C" w:rsidRPr="00BE15B8">
        <w:rPr>
          <w:rFonts w:asciiTheme="minorHAnsi" w:hAnsiTheme="minorHAnsi" w:cs="Times New Roman"/>
          <w:iCs/>
          <w:sz w:val="24"/>
          <w:szCs w:val="24"/>
          <w:lang w:val="en-GB"/>
        </w:rPr>
        <w:t xml:space="preserve"> the last decade</w:t>
      </w:r>
      <w:r w:rsidR="00BB752B" w:rsidRPr="00BE15B8">
        <w:rPr>
          <w:rFonts w:asciiTheme="minorHAnsi" w:hAnsiTheme="minorHAnsi" w:cs="Times New Roman"/>
          <w:iCs/>
          <w:sz w:val="24"/>
          <w:szCs w:val="24"/>
          <w:lang w:val="en-GB"/>
        </w:rPr>
        <w:t>,</w:t>
      </w:r>
      <w:r w:rsidR="00BC1A0C" w:rsidRPr="00BE15B8">
        <w:rPr>
          <w:rFonts w:asciiTheme="minorHAnsi" w:hAnsiTheme="minorHAnsi" w:cs="Times New Roman"/>
          <w:iCs/>
          <w:sz w:val="24"/>
          <w:szCs w:val="24"/>
          <w:lang w:val="en-GB"/>
        </w:rPr>
        <w:t xml:space="preserve"> </w:t>
      </w:r>
      <w:r w:rsidR="00422FEF" w:rsidRPr="00BE15B8">
        <w:rPr>
          <w:rFonts w:asciiTheme="minorHAnsi" w:hAnsiTheme="minorHAnsi" w:cs="Times New Roman"/>
          <w:iCs/>
          <w:sz w:val="24"/>
          <w:szCs w:val="24"/>
          <w:lang w:val="en-GB"/>
        </w:rPr>
        <w:t xml:space="preserve">16 European countries have provided comprehensive estimates of drug-related public expenditure (EMCDDA, 2014b). </w:t>
      </w:r>
      <w:r w:rsidR="003939DA" w:rsidRPr="00BE15B8">
        <w:rPr>
          <w:rFonts w:asciiTheme="minorHAnsi" w:hAnsiTheme="minorHAnsi" w:cs="Times New Roman"/>
          <w:iCs/>
          <w:sz w:val="24"/>
          <w:szCs w:val="24"/>
          <w:lang w:val="en-GB"/>
        </w:rPr>
        <w:t>C</w:t>
      </w:r>
      <w:r w:rsidR="00422FEF" w:rsidRPr="00BE15B8">
        <w:rPr>
          <w:rFonts w:asciiTheme="minorHAnsi" w:hAnsiTheme="minorHAnsi" w:cs="Times New Roman"/>
          <w:iCs/>
          <w:sz w:val="24"/>
          <w:szCs w:val="24"/>
          <w:lang w:val="en-GB"/>
        </w:rPr>
        <w:t xml:space="preserve">ountry estimates suggest that drug-related expenditure ranged from 0.01 % to 0.5 % of </w:t>
      </w:r>
      <w:r w:rsidR="00F80CA4" w:rsidRPr="00BE15B8">
        <w:rPr>
          <w:rFonts w:asciiTheme="minorHAnsi" w:hAnsiTheme="minorHAnsi" w:cs="Times New Roman"/>
          <w:iCs/>
          <w:sz w:val="24"/>
          <w:szCs w:val="24"/>
          <w:lang w:val="en-GB"/>
        </w:rPr>
        <w:t>the gross domestic product (</w:t>
      </w:r>
      <w:r w:rsidR="00422FEF" w:rsidRPr="00BE15B8">
        <w:rPr>
          <w:rFonts w:asciiTheme="minorHAnsi" w:hAnsiTheme="minorHAnsi" w:cs="Times New Roman"/>
          <w:iCs/>
          <w:sz w:val="24"/>
          <w:szCs w:val="24"/>
          <w:lang w:val="en-GB"/>
        </w:rPr>
        <w:t>GDP</w:t>
      </w:r>
      <w:r w:rsidR="00F80CA4" w:rsidRPr="00BE15B8">
        <w:rPr>
          <w:rFonts w:asciiTheme="minorHAnsi" w:hAnsiTheme="minorHAnsi" w:cs="Times New Roman"/>
          <w:iCs/>
          <w:sz w:val="24"/>
          <w:szCs w:val="24"/>
          <w:lang w:val="en-GB"/>
        </w:rPr>
        <w:t>)</w:t>
      </w:r>
      <w:r w:rsidR="00422FEF" w:rsidRPr="00BE15B8">
        <w:rPr>
          <w:rFonts w:asciiTheme="minorHAnsi" w:hAnsiTheme="minorHAnsi" w:cs="Times New Roman"/>
          <w:iCs/>
          <w:sz w:val="24"/>
          <w:szCs w:val="24"/>
          <w:lang w:val="en-GB"/>
        </w:rPr>
        <w:t xml:space="preserve">. As the studies may not have applied the same expenditure classifications or the same estimation methods, caution is required when making cross-country comparisons (EMCDDA, 2014b). </w:t>
      </w:r>
    </w:p>
    <w:p w:rsidR="007941AF" w:rsidRPr="00BE15B8" w:rsidRDefault="007941AF" w:rsidP="00422FEF">
      <w:pPr>
        <w:pStyle w:val="HTML-forhndsformatert"/>
        <w:shd w:val="clear" w:color="auto" w:fill="FFFFFF"/>
        <w:spacing w:line="276" w:lineRule="auto"/>
        <w:jc w:val="both"/>
        <w:rPr>
          <w:rFonts w:asciiTheme="minorHAnsi" w:hAnsiTheme="minorHAnsi" w:cs="Times New Roman"/>
          <w:iCs/>
          <w:sz w:val="24"/>
          <w:szCs w:val="24"/>
          <w:lang w:val="en-GB"/>
        </w:rPr>
      </w:pPr>
    </w:p>
    <w:p w:rsidR="00DE7529" w:rsidRPr="00BE15B8" w:rsidRDefault="001D6143" w:rsidP="00DE7529">
      <w:pPr>
        <w:pStyle w:val="HTML-forhndsformatert"/>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iCs/>
          <w:sz w:val="24"/>
          <w:szCs w:val="24"/>
          <w:lang w:val="en-GB"/>
        </w:rPr>
        <w:t>However, interestingly and regardless the estimation methodologies and modelling techniques</w:t>
      </w:r>
      <w:r w:rsidR="00DE7529" w:rsidRPr="00BE15B8">
        <w:rPr>
          <w:rFonts w:asciiTheme="minorHAnsi" w:hAnsiTheme="minorHAnsi" w:cs="Times New Roman"/>
          <w:iCs/>
          <w:sz w:val="24"/>
          <w:szCs w:val="24"/>
          <w:lang w:val="en-GB"/>
        </w:rPr>
        <w:t xml:space="preserve">, </w:t>
      </w:r>
      <w:r w:rsidR="00F80CA4" w:rsidRPr="00BE15B8">
        <w:rPr>
          <w:rFonts w:asciiTheme="minorHAnsi" w:hAnsiTheme="minorHAnsi" w:cs="Times New Roman"/>
          <w:iCs/>
          <w:sz w:val="24"/>
          <w:szCs w:val="24"/>
          <w:lang w:val="en-GB"/>
        </w:rPr>
        <w:t xml:space="preserve">the information available shows that </w:t>
      </w:r>
      <w:r w:rsidR="00DE7529" w:rsidRPr="00BE15B8">
        <w:rPr>
          <w:rFonts w:asciiTheme="minorHAnsi" w:hAnsiTheme="minorHAnsi" w:cs="Times New Roman"/>
          <w:iCs/>
          <w:sz w:val="24"/>
          <w:szCs w:val="24"/>
          <w:lang w:val="en-GB"/>
        </w:rPr>
        <w:t>supply reduction activities accounted for the largest share of the drug-related public expenditures in most countries</w:t>
      </w:r>
      <w:r w:rsidR="00DE7529" w:rsidRPr="00BE15B8">
        <w:rPr>
          <w:rFonts w:asciiTheme="minorHAnsi" w:eastAsiaTheme="majorEastAsia" w:hAnsiTheme="minorHAnsi" w:cs="Times New Roman"/>
          <w:sz w:val="24"/>
          <w:szCs w:val="24"/>
          <w:lang w:val="en-GB"/>
        </w:rPr>
        <w:t xml:space="preserve">. </w:t>
      </w:r>
      <w:r w:rsidR="00DE7529" w:rsidRPr="00BE15B8">
        <w:rPr>
          <w:rFonts w:asciiTheme="minorHAnsi" w:hAnsiTheme="minorHAnsi" w:cs="Times New Roman"/>
          <w:iCs/>
          <w:sz w:val="24"/>
          <w:szCs w:val="24"/>
          <w:lang w:val="en-GB"/>
        </w:rPr>
        <w:t xml:space="preserve">Out of the 16 countries presenting complete estimates </w:t>
      </w:r>
      <w:r w:rsidR="00DE7529" w:rsidRPr="00BE15B8">
        <w:rPr>
          <w:rFonts w:asciiTheme="minorHAnsi" w:eastAsiaTheme="majorEastAsia" w:hAnsiTheme="minorHAnsi" w:cs="Times New Roman"/>
          <w:sz w:val="24"/>
          <w:szCs w:val="24"/>
          <w:lang w:val="en-GB"/>
        </w:rPr>
        <w:t>in the last decade</w:t>
      </w:r>
      <w:r w:rsidR="00FA166A" w:rsidRPr="00BE15B8">
        <w:rPr>
          <w:rFonts w:asciiTheme="minorHAnsi" w:eastAsiaTheme="majorEastAsia" w:hAnsiTheme="minorHAnsi" w:cs="Times New Roman"/>
          <w:sz w:val="24"/>
          <w:szCs w:val="24"/>
          <w:lang w:val="en-GB"/>
        </w:rPr>
        <w:t>,</w:t>
      </w:r>
      <w:r w:rsidR="00DE7529" w:rsidRPr="00BE15B8">
        <w:rPr>
          <w:rFonts w:asciiTheme="minorHAnsi" w:hAnsiTheme="minorHAnsi" w:cs="Times New Roman"/>
          <w:iCs/>
          <w:sz w:val="24"/>
          <w:szCs w:val="24"/>
          <w:lang w:val="en-GB"/>
        </w:rPr>
        <w:t xml:space="preserve"> only four countries spent less than 50% of their total drug-budget on supply reduction, while five countries spent 70% or more. The other countries spent between 50% and 70% of their drug-related expenditures on supply reduction. </w:t>
      </w:r>
    </w:p>
    <w:p w:rsidR="00DE7529" w:rsidRPr="00BE15B8" w:rsidRDefault="00DE7529" w:rsidP="00DE7529">
      <w:pPr>
        <w:pStyle w:val="HTML-forhndsformatert"/>
        <w:shd w:val="clear" w:color="auto" w:fill="FFFFFF"/>
        <w:spacing w:line="276" w:lineRule="auto"/>
        <w:jc w:val="both"/>
        <w:rPr>
          <w:rFonts w:asciiTheme="minorHAnsi" w:hAnsiTheme="minorHAnsi" w:cs="Times New Roman"/>
          <w:iCs/>
          <w:sz w:val="24"/>
          <w:szCs w:val="24"/>
          <w:lang w:val="en-GB"/>
        </w:rPr>
      </w:pPr>
    </w:p>
    <w:p w:rsidR="00DE7529" w:rsidRPr="00BE15B8" w:rsidRDefault="00DE7529" w:rsidP="00DE7529">
      <w:pPr>
        <w:pStyle w:val="HTML-forhndsformatert"/>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noProof/>
          <w:lang w:val="nb-NO" w:eastAsia="nb-NO"/>
        </w:rPr>
        <w:drawing>
          <wp:inline distT="0" distB="0" distL="0" distR="0" wp14:anchorId="6B2BE9EB" wp14:editId="0203953F">
            <wp:extent cx="5600700" cy="418061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7721" t="5413" r="5963" b="29088"/>
                    <a:stretch/>
                  </pic:blipFill>
                  <pic:spPr bwMode="auto">
                    <a:xfrm>
                      <a:off x="0" y="0"/>
                      <a:ext cx="5698099" cy="4253317"/>
                    </a:xfrm>
                    <a:prstGeom prst="rect">
                      <a:avLst/>
                    </a:prstGeom>
                    <a:ln>
                      <a:noFill/>
                    </a:ln>
                    <a:extLst>
                      <a:ext uri="{53640926-AAD7-44D8-BBD7-CCE9431645EC}">
                        <a14:shadowObscured xmlns:a14="http://schemas.microsoft.com/office/drawing/2010/main"/>
                      </a:ext>
                    </a:extLst>
                  </pic:spPr>
                </pic:pic>
              </a:graphicData>
            </a:graphic>
          </wp:inline>
        </w:drawing>
      </w:r>
    </w:p>
    <w:p w:rsidR="00DE7529" w:rsidRPr="00BE15B8" w:rsidRDefault="00DE7529" w:rsidP="00DE7529">
      <w:pPr>
        <w:pStyle w:val="HTML-forhndsformatert"/>
        <w:shd w:val="clear" w:color="auto" w:fill="FFFFFF"/>
        <w:spacing w:line="276" w:lineRule="auto"/>
        <w:jc w:val="both"/>
        <w:rPr>
          <w:rFonts w:asciiTheme="minorHAnsi" w:hAnsiTheme="minorHAnsi" w:cs="Times New Roman"/>
          <w:b/>
          <w:iCs/>
          <w:sz w:val="22"/>
          <w:szCs w:val="24"/>
          <w:lang w:val="en-GB"/>
        </w:rPr>
      </w:pPr>
      <w:r w:rsidRPr="00BE15B8">
        <w:rPr>
          <w:rFonts w:asciiTheme="minorHAnsi" w:hAnsiTheme="minorHAnsi" w:cs="Times New Roman"/>
          <w:b/>
          <w:iCs/>
          <w:sz w:val="22"/>
          <w:szCs w:val="24"/>
          <w:lang w:val="en-GB"/>
        </w:rPr>
        <w:t xml:space="preserve">Figure 1 Breakdown of drug-related expenditure between demand and supply reduction. </w:t>
      </w:r>
    </w:p>
    <w:p w:rsidR="00DE7529" w:rsidRPr="00BE15B8" w:rsidRDefault="00DE7529" w:rsidP="00DE7529">
      <w:pPr>
        <w:pStyle w:val="HTML-forhndsformatert"/>
        <w:shd w:val="clear" w:color="auto" w:fill="FFFFFF"/>
        <w:spacing w:line="276" w:lineRule="auto"/>
        <w:jc w:val="both"/>
        <w:rPr>
          <w:rFonts w:asciiTheme="minorHAnsi" w:hAnsiTheme="minorHAnsi" w:cs="Times New Roman"/>
          <w:b/>
          <w:iCs/>
          <w:sz w:val="22"/>
          <w:szCs w:val="24"/>
          <w:lang w:val="en-GB"/>
        </w:rPr>
      </w:pPr>
      <w:r w:rsidRPr="00BE15B8">
        <w:rPr>
          <w:rFonts w:asciiTheme="minorHAnsi" w:hAnsiTheme="minorHAnsi" w:cs="Times New Roman"/>
          <w:iCs/>
          <w:sz w:val="18"/>
          <w:szCs w:val="18"/>
          <w:lang w:val="en-GB"/>
        </w:rPr>
        <w:t>Source: EMCDDA, 2014b</w:t>
      </w:r>
    </w:p>
    <w:p w:rsidR="00DE7529" w:rsidRPr="00BE15B8" w:rsidRDefault="00DE7529" w:rsidP="00DE7529">
      <w:pPr>
        <w:pStyle w:val="HTML-forhndsformatert"/>
        <w:shd w:val="clear" w:color="auto" w:fill="FFFFFF"/>
        <w:spacing w:line="276" w:lineRule="auto"/>
        <w:jc w:val="both"/>
        <w:rPr>
          <w:rFonts w:asciiTheme="minorHAnsi" w:hAnsiTheme="minorHAnsi" w:cs="Times New Roman"/>
          <w:iCs/>
          <w:sz w:val="24"/>
          <w:szCs w:val="24"/>
          <w:lang w:val="en-GB"/>
        </w:rPr>
      </w:pPr>
    </w:p>
    <w:p w:rsidR="00DE7529" w:rsidRPr="00BE15B8" w:rsidRDefault="00861714" w:rsidP="00DE7529">
      <w:pPr>
        <w:pStyle w:val="HTML-forhndsformatert"/>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iCs/>
          <w:sz w:val="24"/>
          <w:szCs w:val="24"/>
          <w:lang w:val="en-GB"/>
        </w:rPr>
        <w:t>The total expenditures for drug policy may further be divided into</w:t>
      </w:r>
      <w:r w:rsidR="00DE7529" w:rsidRPr="00BE15B8">
        <w:rPr>
          <w:rFonts w:asciiTheme="minorHAnsi" w:hAnsiTheme="minorHAnsi" w:cs="Times New Roman"/>
          <w:iCs/>
          <w:sz w:val="24"/>
          <w:szCs w:val="24"/>
          <w:lang w:val="en-GB"/>
        </w:rPr>
        <w:t xml:space="preserve"> </w:t>
      </w:r>
      <w:r w:rsidRPr="00BE15B8">
        <w:rPr>
          <w:rFonts w:asciiTheme="minorHAnsi" w:hAnsiTheme="minorHAnsi" w:cs="Times New Roman"/>
          <w:iCs/>
          <w:sz w:val="24"/>
          <w:szCs w:val="24"/>
          <w:lang w:val="en-GB"/>
        </w:rPr>
        <w:t>subsectors of governmental spending. Analysis has shown that f</w:t>
      </w:r>
      <w:r w:rsidR="00DE7529" w:rsidRPr="00BE15B8">
        <w:rPr>
          <w:rFonts w:asciiTheme="minorHAnsi" w:hAnsiTheme="minorHAnsi" w:cs="Times New Roman"/>
          <w:iCs/>
          <w:sz w:val="24"/>
          <w:szCs w:val="24"/>
          <w:lang w:val="en-GB"/>
        </w:rPr>
        <w:t>unds allocated to drug-related initiatives only account for a small proportion of the overall public expenditure for the sector of “public order and safety”</w:t>
      </w:r>
      <w:r w:rsidR="003732F1" w:rsidRPr="00BE15B8">
        <w:rPr>
          <w:rFonts w:asciiTheme="minorHAnsi" w:hAnsiTheme="minorHAnsi" w:cs="Times New Roman"/>
          <w:iCs/>
          <w:sz w:val="24"/>
          <w:szCs w:val="24"/>
          <w:lang w:val="en-GB"/>
        </w:rPr>
        <w:t>. F</w:t>
      </w:r>
      <w:r w:rsidR="00DE7529" w:rsidRPr="00BE15B8">
        <w:rPr>
          <w:rFonts w:asciiTheme="minorHAnsi" w:hAnsiTheme="minorHAnsi" w:cs="Times New Roman"/>
          <w:iCs/>
          <w:sz w:val="24"/>
          <w:szCs w:val="24"/>
          <w:lang w:val="en-GB"/>
        </w:rPr>
        <w:t xml:space="preserve">or instance, in </w:t>
      </w:r>
      <w:r w:rsidR="00AD58DC" w:rsidRPr="00BE15B8">
        <w:rPr>
          <w:rFonts w:asciiTheme="minorHAnsi" w:hAnsiTheme="minorHAnsi" w:cs="Times New Roman"/>
          <w:iCs/>
          <w:sz w:val="24"/>
          <w:szCs w:val="24"/>
          <w:lang w:val="en-GB"/>
        </w:rPr>
        <w:t xml:space="preserve">2008 </w:t>
      </w:r>
      <w:r w:rsidR="00C41DFE" w:rsidRPr="00BE15B8">
        <w:rPr>
          <w:rFonts w:asciiTheme="minorHAnsi" w:hAnsiTheme="minorHAnsi" w:cs="Times New Roman"/>
          <w:iCs/>
          <w:sz w:val="24"/>
          <w:szCs w:val="24"/>
          <w:lang w:val="en-GB"/>
        </w:rPr>
        <w:t xml:space="preserve">(the only year this exercise was </w:t>
      </w:r>
      <w:r w:rsidR="00AD58DC" w:rsidRPr="00BE15B8">
        <w:rPr>
          <w:rFonts w:asciiTheme="minorHAnsi" w:hAnsiTheme="minorHAnsi" w:cs="Times New Roman"/>
          <w:iCs/>
          <w:sz w:val="24"/>
          <w:szCs w:val="24"/>
          <w:lang w:val="en-GB"/>
        </w:rPr>
        <w:t xml:space="preserve">systematically </w:t>
      </w:r>
      <w:r w:rsidR="00C41DFE" w:rsidRPr="00BE15B8">
        <w:rPr>
          <w:rFonts w:asciiTheme="minorHAnsi" w:hAnsiTheme="minorHAnsi" w:cs="Times New Roman"/>
          <w:iCs/>
          <w:sz w:val="24"/>
          <w:szCs w:val="24"/>
          <w:lang w:val="en-GB"/>
        </w:rPr>
        <w:t>conducted</w:t>
      </w:r>
      <w:r w:rsidR="00AD58DC" w:rsidRPr="00BE15B8">
        <w:rPr>
          <w:rFonts w:asciiTheme="minorHAnsi" w:hAnsiTheme="minorHAnsi" w:cs="Times New Roman"/>
          <w:iCs/>
          <w:sz w:val="24"/>
          <w:szCs w:val="24"/>
          <w:lang w:val="en-GB"/>
        </w:rPr>
        <w:t xml:space="preserve"> in European </w:t>
      </w:r>
      <w:r w:rsidR="00AD58DC" w:rsidRPr="00BE15B8">
        <w:rPr>
          <w:rFonts w:asciiTheme="minorHAnsi" w:hAnsiTheme="minorHAnsi" w:cs="Times New Roman"/>
          <w:iCs/>
          <w:sz w:val="24"/>
          <w:szCs w:val="24"/>
          <w:lang w:val="en-GB"/>
        </w:rPr>
        <w:lastRenderedPageBreak/>
        <w:t>Union countries)</w:t>
      </w:r>
      <w:r w:rsidR="00DE7529" w:rsidRPr="00BE15B8">
        <w:rPr>
          <w:rFonts w:asciiTheme="minorHAnsi" w:hAnsiTheme="minorHAnsi" w:cs="Times New Roman"/>
          <w:iCs/>
          <w:sz w:val="24"/>
          <w:szCs w:val="24"/>
          <w:lang w:val="en-GB"/>
        </w:rPr>
        <w:t xml:space="preserve">, supply reduction expenditure represented between 2 % and 12 % of the total public expenditures in this sector. This compares to the proportion of drug-related spending on </w:t>
      </w:r>
      <w:r w:rsidR="00A75669" w:rsidRPr="00BE15B8">
        <w:rPr>
          <w:rFonts w:asciiTheme="minorHAnsi" w:hAnsiTheme="minorHAnsi" w:cs="Times New Roman"/>
          <w:iCs/>
          <w:sz w:val="24"/>
          <w:szCs w:val="24"/>
          <w:lang w:val="en-GB"/>
        </w:rPr>
        <w:t>“</w:t>
      </w:r>
      <w:r w:rsidR="00DE7529" w:rsidRPr="00BE15B8">
        <w:rPr>
          <w:rFonts w:asciiTheme="minorHAnsi" w:hAnsiTheme="minorHAnsi" w:cs="Times New Roman"/>
          <w:iCs/>
          <w:sz w:val="24"/>
          <w:szCs w:val="24"/>
          <w:lang w:val="en-GB"/>
        </w:rPr>
        <w:t>health</w:t>
      </w:r>
      <w:r w:rsidR="00A75669" w:rsidRPr="00BE15B8">
        <w:rPr>
          <w:rFonts w:asciiTheme="minorHAnsi" w:hAnsiTheme="minorHAnsi" w:cs="Times New Roman"/>
          <w:iCs/>
          <w:sz w:val="24"/>
          <w:szCs w:val="24"/>
          <w:lang w:val="en-GB"/>
        </w:rPr>
        <w:t>”</w:t>
      </w:r>
      <w:r w:rsidR="00DE7529" w:rsidRPr="00BE15B8">
        <w:rPr>
          <w:rFonts w:asciiTheme="minorHAnsi" w:hAnsiTheme="minorHAnsi" w:cs="Times New Roman"/>
          <w:iCs/>
          <w:sz w:val="24"/>
          <w:szCs w:val="24"/>
          <w:lang w:val="en-GB"/>
        </w:rPr>
        <w:t xml:space="preserve"> and </w:t>
      </w:r>
      <w:r w:rsidR="00A75669" w:rsidRPr="00BE15B8">
        <w:rPr>
          <w:rFonts w:asciiTheme="minorHAnsi" w:hAnsiTheme="minorHAnsi" w:cs="Times New Roman"/>
          <w:iCs/>
          <w:sz w:val="24"/>
          <w:szCs w:val="24"/>
          <w:lang w:val="en-GB"/>
        </w:rPr>
        <w:t>“</w:t>
      </w:r>
      <w:r w:rsidR="00DE7529" w:rsidRPr="00BE15B8">
        <w:rPr>
          <w:rFonts w:asciiTheme="minorHAnsi" w:hAnsiTheme="minorHAnsi" w:cs="Times New Roman"/>
          <w:iCs/>
          <w:sz w:val="24"/>
          <w:szCs w:val="24"/>
          <w:lang w:val="en-GB"/>
        </w:rPr>
        <w:t>social protection</w:t>
      </w:r>
      <w:r w:rsidR="00A75669" w:rsidRPr="00BE15B8">
        <w:rPr>
          <w:rFonts w:asciiTheme="minorHAnsi" w:hAnsiTheme="minorHAnsi" w:cs="Times New Roman"/>
          <w:iCs/>
          <w:sz w:val="24"/>
          <w:szCs w:val="24"/>
          <w:lang w:val="en-GB"/>
        </w:rPr>
        <w:t>”</w:t>
      </w:r>
      <w:r w:rsidR="00DE7529" w:rsidRPr="00BE15B8">
        <w:rPr>
          <w:rFonts w:asciiTheme="minorHAnsi" w:hAnsiTheme="minorHAnsi" w:cs="Times New Roman"/>
          <w:iCs/>
          <w:sz w:val="24"/>
          <w:szCs w:val="24"/>
          <w:lang w:val="en-GB"/>
        </w:rPr>
        <w:t xml:space="preserve"> </w:t>
      </w:r>
      <w:r w:rsidR="00A75669" w:rsidRPr="00BE15B8">
        <w:rPr>
          <w:rFonts w:asciiTheme="minorHAnsi" w:hAnsiTheme="minorHAnsi" w:cs="Times New Roman"/>
          <w:iCs/>
          <w:sz w:val="24"/>
          <w:szCs w:val="24"/>
          <w:lang w:val="en-GB"/>
        </w:rPr>
        <w:t>sectors</w:t>
      </w:r>
      <w:r w:rsidR="00DE7529" w:rsidRPr="00BE15B8">
        <w:rPr>
          <w:rFonts w:asciiTheme="minorHAnsi" w:hAnsiTheme="minorHAnsi" w:cs="Times New Roman"/>
          <w:iCs/>
          <w:sz w:val="24"/>
          <w:szCs w:val="24"/>
          <w:lang w:val="en-GB"/>
        </w:rPr>
        <w:t xml:space="preserve">, </w:t>
      </w:r>
      <w:r w:rsidR="003732F1" w:rsidRPr="00BE15B8">
        <w:rPr>
          <w:rFonts w:asciiTheme="minorHAnsi" w:hAnsiTheme="minorHAnsi" w:cs="Times New Roman"/>
          <w:iCs/>
          <w:sz w:val="24"/>
          <w:szCs w:val="24"/>
          <w:lang w:val="en-GB"/>
        </w:rPr>
        <w:t xml:space="preserve">for </w:t>
      </w:r>
      <w:r w:rsidR="00DE7529" w:rsidRPr="00BE15B8">
        <w:rPr>
          <w:rFonts w:asciiTheme="minorHAnsi" w:hAnsiTheme="minorHAnsi" w:cs="Times New Roman"/>
          <w:iCs/>
          <w:sz w:val="24"/>
          <w:szCs w:val="24"/>
          <w:lang w:val="en-GB"/>
        </w:rPr>
        <w:t xml:space="preserve">which </w:t>
      </w:r>
      <w:r w:rsidR="003732F1" w:rsidRPr="00BE15B8">
        <w:rPr>
          <w:rFonts w:asciiTheme="minorHAnsi" w:hAnsiTheme="minorHAnsi" w:cs="Times New Roman"/>
          <w:iCs/>
          <w:sz w:val="24"/>
          <w:szCs w:val="24"/>
          <w:lang w:val="en-GB"/>
        </w:rPr>
        <w:t>drug-related expenditures</w:t>
      </w:r>
      <w:r w:rsidR="00DE7529" w:rsidRPr="00BE15B8">
        <w:rPr>
          <w:rFonts w:asciiTheme="minorHAnsi" w:hAnsiTheme="minorHAnsi" w:cs="Times New Roman"/>
          <w:iCs/>
          <w:sz w:val="24"/>
          <w:szCs w:val="24"/>
          <w:lang w:val="en-GB"/>
        </w:rPr>
        <w:t xml:space="preserve"> accounted for less than 1 % of the total public expenditure. Since most public spending on demand reduction initiatives is </w:t>
      </w:r>
      <w:r w:rsidR="003732F1" w:rsidRPr="00BE15B8">
        <w:rPr>
          <w:rFonts w:asciiTheme="minorHAnsi" w:hAnsiTheme="minorHAnsi" w:cs="Times New Roman"/>
          <w:iCs/>
          <w:sz w:val="24"/>
          <w:szCs w:val="24"/>
          <w:lang w:val="en-GB"/>
        </w:rPr>
        <w:t>classified under</w:t>
      </w:r>
      <w:r w:rsidR="00DE7529" w:rsidRPr="00BE15B8">
        <w:rPr>
          <w:rFonts w:asciiTheme="minorHAnsi" w:hAnsiTheme="minorHAnsi" w:cs="Times New Roman"/>
          <w:iCs/>
          <w:sz w:val="24"/>
          <w:szCs w:val="24"/>
          <w:lang w:val="en-GB"/>
        </w:rPr>
        <w:t xml:space="preserve"> ‘health’ and ‘social protection’, this </w:t>
      </w:r>
      <w:r w:rsidR="00F80CA4" w:rsidRPr="00BE15B8">
        <w:rPr>
          <w:rFonts w:asciiTheme="minorHAnsi" w:hAnsiTheme="minorHAnsi" w:cs="Times New Roman"/>
          <w:iCs/>
          <w:sz w:val="24"/>
          <w:szCs w:val="24"/>
          <w:lang w:val="en-GB"/>
        </w:rPr>
        <w:t>may further suggest</w:t>
      </w:r>
      <w:r w:rsidR="00DE7529" w:rsidRPr="00BE15B8">
        <w:rPr>
          <w:rFonts w:asciiTheme="minorHAnsi" w:hAnsiTheme="minorHAnsi" w:cs="Times New Roman"/>
          <w:iCs/>
          <w:sz w:val="24"/>
          <w:szCs w:val="24"/>
          <w:lang w:val="en-GB"/>
        </w:rPr>
        <w:t xml:space="preserve"> that European countries tend to allocate more funds </w:t>
      </w:r>
      <w:r w:rsidR="00C41DFE" w:rsidRPr="00BE15B8">
        <w:rPr>
          <w:rFonts w:asciiTheme="minorHAnsi" w:hAnsiTheme="minorHAnsi" w:cs="Times New Roman"/>
          <w:iCs/>
          <w:sz w:val="24"/>
          <w:szCs w:val="24"/>
          <w:lang w:val="en-GB"/>
        </w:rPr>
        <w:t>to</w:t>
      </w:r>
      <w:r w:rsidR="00DE7529" w:rsidRPr="00BE15B8">
        <w:rPr>
          <w:rFonts w:asciiTheme="minorHAnsi" w:hAnsiTheme="minorHAnsi" w:cs="Times New Roman"/>
          <w:iCs/>
          <w:sz w:val="24"/>
          <w:szCs w:val="24"/>
          <w:lang w:val="en-GB"/>
        </w:rPr>
        <w:t xml:space="preserve"> supply reduction than </w:t>
      </w:r>
      <w:r w:rsidR="00C41DFE" w:rsidRPr="00BE15B8">
        <w:rPr>
          <w:rFonts w:asciiTheme="minorHAnsi" w:hAnsiTheme="minorHAnsi" w:cs="Times New Roman"/>
          <w:iCs/>
          <w:sz w:val="24"/>
          <w:szCs w:val="24"/>
          <w:lang w:val="en-GB"/>
        </w:rPr>
        <w:t>to</w:t>
      </w:r>
      <w:r w:rsidR="00DE7529" w:rsidRPr="00BE15B8">
        <w:rPr>
          <w:rFonts w:asciiTheme="minorHAnsi" w:hAnsiTheme="minorHAnsi" w:cs="Times New Roman"/>
          <w:iCs/>
          <w:sz w:val="24"/>
          <w:szCs w:val="24"/>
          <w:lang w:val="en-GB"/>
        </w:rPr>
        <w:t xml:space="preserve"> demand reduction init</w:t>
      </w:r>
      <w:r w:rsidR="00A75669" w:rsidRPr="00BE15B8">
        <w:rPr>
          <w:rFonts w:asciiTheme="minorHAnsi" w:hAnsiTheme="minorHAnsi" w:cs="Times New Roman"/>
          <w:iCs/>
          <w:sz w:val="24"/>
          <w:szCs w:val="24"/>
          <w:lang w:val="en-GB"/>
        </w:rPr>
        <w:t>iatives</w:t>
      </w:r>
      <w:r w:rsidR="00DE7529" w:rsidRPr="00BE15B8">
        <w:rPr>
          <w:rFonts w:asciiTheme="minorHAnsi" w:hAnsiTheme="minorHAnsi" w:cs="Times New Roman"/>
          <w:iCs/>
          <w:sz w:val="24"/>
          <w:szCs w:val="24"/>
          <w:lang w:val="en-GB"/>
        </w:rPr>
        <w:t xml:space="preserve"> (EMCDDA, 2008)</w:t>
      </w:r>
      <w:r w:rsidR="00C41DFE" w:rsidRPr="00BE15B8">
        <w:rPr>
          <w:rFonts w:asciiTheme="minorHAnsi" w:hAnsiTheme="minorHAnsi" w:cs="Times New Roman"/>
          <w:iCs/>
          <w:sz w:val="24"/>
          <w:szCs w:val="24"/>
          <w:lang w:val="en-GB"/>
        </w:rPr>
        <w:t>.</w:t>
      </w:r>
    </w:p>
    <w:p w:rsidR="00DE7529" w:rsidRPr="00BE15B8" w:rsidRDefault="00DE7529" w:rsidP="00DE7529">
      <w:pPr>
        <w:pStyle w:val="HTML-forhndsformatert"/>
        <w:shd w:val="clear" w:color="auto" w:fill="FFFFFF"/>
        <w:spacing w:line="276" w:lineRule="auto"/>
        <w:jc w:val="both"/>
        <w:rPr>
          <w:rFonts w:asciiTheme="minorHAnsi" w:hAnsiTheme="minorHAnsi" w:cs="Times New Roman"/>
          <w:iCs/>
          <w:sz w:val="24"/>
          <w:szCs w:val="24"/>
          <w:lang w:val="en-GB"/>
        </w:rPr>
      </w:pPr>
    </w:p>
    <w:p w:rsidR="00DE7529" w:rsidRPr="00BE15B8" w:rsidRDefault="00DE7529" w:rsidP="00422FEF">
      <w:pPr>
        <w:pStyle w:val="HTML-forhndsformatert"/>
        <w:shd w:val="clear" w:color="auto" w:fill="FFFFFF"/>
        <w:spacing w:line="276" w:lineRule="auto"/>
        <w:jc w:val="both"/>
        <w:rPr>
          <w:rFonts w:asciiTheme="minorHAnsi" w:hAnsiTheme="minorHAnsi" w:cs="Times New Roman"/>
          <w:iCs/>
          <w:sz w:val="24"/>
          <w:szCs w:val="24"/>
          <w:lang w:val="en-GB"/>
        </w:rPr>
      </w:pPr>
    </w:p>
    <w:p w:rsidR="009F4DAC" w:rsidRPr="00BE15B8" w:rsidRDefault="006B65F6" w:rsidP="00EA1934">
      <w:pPr>
        <w:pStyle w:val="HTML-forhndsformatert"/>
        <w:shd w:val="clear" w:color="auto" w:fill="FFFFFF"/>
        <w:spacing w:line="276" w:lineRule="auto"/>
        <w:jc w:val="both"/>
        <w:rPr>
          <w:rFonts w:asciiTheme="minorHAnsi" w:hAnsiTheme="minorHAnsi" w:cs="Times New Roman"/>
          <w:b/>
          <w:iCs/>
          <w:sz w:val="28"/>
          <w:szCs w:val="28"/>
          <w:lang w:val="en-GB"/>
        </w:rPr>
      </w:pPr>
      <w:r w:rsidRPr="00BE15B8">
        <w:rPr>
          <w:rFonts w:asciiTheme="minorHAnsi" w:hAnsiTheme="minorHAnsi" w:cs="Times New Roman"/>
          <w:b/>
          <w:iCs/>
          <w:sz w:val="28"/>
          <w:szCs w:val="28"/>
          <w:lang w:val="en-GB"/>
        </w:rPr>
        <w:t>Methodologies</w:t>
      </w:r>
      <w:r w:rsidR="009F4DAC" w:rsidRPr="00BE15B8">
        <w:rPr>
          <w:rFonts w:asciiTheme="minorHAnsi" w:hAnsiTheme="minorHAnsi" w:cs="Times New Roman"/>
          <w:b/>
          <w:iCs/>
          <w:sz w:val="28"/>
          <w:szCs w:val="28"/>
          <w:lang w:val="en-GB"/>
        </w:rPr>
        <w:t xml:space="preserve"> for estimation</w:t>
      </w:r>
    </w:p>
    <w:p w:rsidR="00513390" w:rsidRPr="00BE15B8" w:rsidRDefault="003939DA" w:rsidP="00EA1934">
      <w:pPr>
        <w:pStyle w:val="HTML-forhndsformatert"/>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sz w:val="24"/>
          <w:szCs w:val="24"/>
          <w:lang w:val="en-GB"/>
        </w:rPr>
        <w:t>Improving</w:t>
      </w:r>
      <w:r w:rsidR="007941AF" w:rsidRPr="00BE15B8">
        <w:rPr>
          <w:rFonts w:asciiTheme="minorHAnsi" w:hAnsiTheme="minorHAnsi" w:cs="Times New Roman"/>
          <w:sz w:val="24"/>
          <w:szCs w:val="24"/>
          <w:lang w:val="en-GB"/>
        </w:rPr>
        <w:t xml:space="preserve"> </w:t>
      </w:r>
      <w:r w:rsidR="008033AF" w:rsidRPr="00BE15B8">
        <w:rPr>
          <w:rFonts w:asciiTheme="minorHAnsi" w:hAnsiTheme="minorHAnsi" w:cs="Times New Roman"/>
          <w:sz w:val="24"/>
          <w:szCs w:val="24"/>
          <w:lang w:val="en-GB"/>
        </w:rPr>
        <w:t xml:space="preserve">estimation </w:t>
      </w:r>
      <w:r w:rsidR="007941AF" w:rsidRPr="00BE15B8">
        <w:rPr>
          <w:rFonts w:asciiTheme="minorHAnsi" w:hAnsiTheme="minorHAnsi" w:cs="Times New Roman"/>
          <w:sz w:val="24"/>
          <w:szCs w:val="24"/>
          <w:lang w:val="en-GB"/>
        </w:rPr>
        <w:t>methods</w:t>
      </w:r>
      <w:r w:rsidRPr="00BE15B8">
        <w:rPr>
          <w:rFonts w:asciiTheme="minorHAnsi" w:hAnsiTheme="minorHAnsi" w:cs="Times New Roman"/>
          <w:sz w:val="24"/>
          <w:szCs w:val="24"/>
          <w:lang w:val="en-GB"/>
        </w:rPr>
        <w:t>,</w:t>
      </w:r>
      <w:r w:rsidR="007941AF" w:rsidRPr="00BE15B8">
        <w:rPr>
          <w:rFonts w:asciiTheme="minorHAnsi" w:hAnsiTheme="minorHAnsi" w:cs="Times New Roman"/>
          <w:sz w:val="24"/>
          <w:szCs w:val="24"/>
          <w:lang w:val="en-GB"/>
        </w:rPr>
        <w:t xml:space="preserve"> </w:t>
      </w:r>
      <w:r w:rsidRPr="00BE15B8">
        <w:rPr>
          <w:rFonts w:asciiTheme="minorHAnsi" w:hAnsiTheme="minorHAnsi" w:cs="Times New Roman"/>
          <w:sz w:val="24"/>
          <w:szCs w:val="24"/>
          <w:lang w:val="en-GB"/>
        </w:rPr>
        <w:t xml:space="preserve">agreeing </w:t>
      </w:r>
      <w:r w:rsidR="00F80CA4" w:rsidRPr="00BE15B8">
        <w:rPr>
          <w:rFonts w:asciiTheme="minorHAnsi" w:hAnsiTheme="minorHAnsi" w:cs="Times New Roman"/>
          <w:sz w:val="24"/>
          <w:szCs w:val="24"/>
          <w:lang w:val="en-GB"/>
        </w:rPr>
        <w:t>on</w:t>
      </w:r>
      <w:r w:rsidRPr="00BE15B8">
        <w:rPr>
          <w:rFonts w:asciiTheme="minorHAnsi" w:hAnsiTheme="minorHAnsi" w:cs="Times New Roman"/>
          <w:sz w:val="24"/>
          <w:szCs w:val="24"/>
          <w:lang w:val="en-GB"/>
        </w:rPr>
        <w:t xml:space="preserve"> </w:t>
      </w:r>
      <w:r w:rsidR="00D90BAB" w:rsidRPr="00BE15B8">
        <w:rPr>
          <w:rFonts w:asciiTheme="minorHAnsi" w:hAnsiTheme="minorHAnsi" w:cs="Times New Roman"/>
          <w:sz w:val="24"/>
          <w:szCs w:val="24"/>
          <w:lang w:val="en-GB"/>
        </w:rPr>
        <w:t xml:space="preserve">best </w:t>
      </w:r>
      <w:r w:rsidRPr="00BE15B8">
        <w:rPr>
          <w:rFonts w:asciiTheme="minorHAnsi" w:hAnsiTheme="minorHAnsi" w:cs="Times New Roman"/>
          <w:sz w:val="24"/>
          <w:szCs w:val="24"/>
          <w:lang w:val="en-GB"/>
        </w:rPr>
        <w:t xml:space="preserve">practices and finding reliable standardized data </w:t>
      </w:r>
      <w:r w:rsidR="008033AF" w:rsidRPr="00BE15B8">
        <w:rPr>
          <w:rFonts w:asciiTheme="minorHAnsi" w:hAnsiTheme="minorHAnsi" w:cs="Times New Roman"/>
          <w:sz w:val="24"/>
          <w:szCs w:val="24"/>
          <w:lang w:val="en-GB"/>
        </w:rPr>
        <w:t xml:space="preserve">will increase and expand the </w:t>
      </w:r>
      <w:r w:rsidR="00084DB6" w:rsidRPr="00BE15B8">
        <w:rPr>
          <w:rFonts w:asciiTheme="minorHAnsi" w:hAnsiTheme="minorHAnsi" w:cs="Times New Roman"/>
          <w:sz w:val="24"/>
          <w:szCs w:val="24"/>
          <w:lang w:val="en-GB"/>
        </w:rPr>
        <w:t>utility</w:t>
      </w:r>
      <w:r w:rsidR="008033AF" w:rsidRPr="00BE15B8">
        <w:rPr>
          <w:rFonts w:asciiTheme="minorHAnsi" w:hAnsiTheme="minorHAnsi" w:cs="Times New Roman"/>
          <w:sz w:val="24"/>
          <w:szCs w:val="24"/>
          <w:lang w:val="en-GB"/>
        </w:rPr>
        <w:t xml:space="preserve"> of </w:t>
      </w:r>
      <w:r w:rsidR="00D90BAB" w:rsidRPr="00BE15B8">
        <w:rPr>
          <w:rFonts w:asciiTheme="minorHAnsi" w:hAnsiTheme="minorHAnsi" w:cs="Times New Roman"/>
          <w:sz w:val="24"/>
          <w:szCs w:val="24"/>
          <w:lang w:val="en-GB"/>
        </w:rPr>
        <w:t xml:space="preserve">public </w:t>
      </w:r>
      <w:r w:rsidR="008033AF" w:rsidRPr="00BE15B8">
        <w:rPr>
          <w:rFonts w:asciiTheme="minorHAnsi" w:hAnsiTheme="minorHAnsi" w:cs="Times New Roman"/>
          <w:sz w:val="24"/>
          <w:szCs w:val="24"/>
          <w:lang w:val="en-GB"/>
        </w:rPr>
        <w:t>expenditure estimates</w:t>
      </w:r>
      <w:r w:rsidR="00A75669" w:rsidRPr="00BE15B8">
        <w:rPr>
          <w:rFonts w:asciiTheme="minorHAnsi" w:hAnsiTheme="minorHAnsi" w:cs="Times New Roman"/>
          <w:sz w:val="24"/>
          <w:szCs w:val="24"/>
          <w:lang w:val="en-GB"/>
        </w:rPr>
        <w:t>,</w:t>
      </w:r>
      <w:r w:rsidR="008033AF" w:rsidRPr="00BE15B8">
        <w:rPr>
          <w:rFonts w:asciiTheme="minorHAnsi" w:hAnsiTheme="minorHAnsi" w:cs="Times New Roman"/>
          <w:sz w:val="24"/>
          <w:szCs w:val="24"/>
          <w:lang w:val="en-GB"/>
        </w:rPr>
        <w:t xml:space="preserve"> as analysis over time and across policy areas and countries can be made.</w:t>
      </w:r>
      <w:r w:rsidRPr="00BE15B8">
        <w:rPr>
          <w:rFonts w:asciiTheme="minorHAnsi" w:hAnsiTheme="minorHAnsi" w:cs="Times New Roman"/>
          <w:sz w:val="24"/>
          <w:szCs w:val="24"/>
          <w:lang w:val="en-GB"/>
        </w:rPr>
        <w:t xml:space="preserve"> </w:t>
      </w:r>
      <w:r w:rsidR="008033AF" w:rsidRPr="00BE15B8">
        <w:rPr>
          <w:rFonts w:asciiTheme="minorHAnsi" w:hAnsiTheme="minorHAnsi" w:cs="Times New Roman"/>
          <w:sz w:val="24"/>
          <w:szCs w:val="24"/>
          <w:lang w:val="en-GB"/>
        </w:rPr>
        <w:t xml:space="preserve">Improved data </w:t>
      </w:r>
      <w:r w:rsidR="00084DB6" w:rsidRPr="00BE15B8">
        <w:rPr>
          <w:rFonts w:asciiTheme="minorHAnsi" w:hAnsiTheme="minorHAnsi" w:cs="Times New Roman"/>
          <w:sz w:val="24"/>
          <w:szCs w:val="24"/>
          <w:lang w:val="en-GB"/>
        </w:rPr>
        <w:t>quality</w:t>
      </w:r>
      <w:r w:rsidR="008033AF" w:rsidRPr="00BE15B8">
        <w:rPr>
          <w:rFonts w:asciiTheme="minorHAnsi" w:hAnsiTheme="minorHAnsi" w:cs="Times New Roman"/>
          <w:sz w:val="24"/>
          <w:szCs w:val="24"/>
          <w:lang w:val="en-GB"/>
        </w:rPr>
        <w:t xml:space="preserve"> and further methodological developments are needed to achieve this. </w:t>
      </w:r>
      <w:r w:rsidR="00B55F5C" w:rsidRPr="00BE15B8">
        <w:rPr>
          <w:rFonts w:asciiTheme="minorHAnsi" w:hAnsiTheme="minorHAnsi" w:cs="Times New Roman"/>
          <w:sz w:val="24"/>
          <w:szCs w:val="24"/>
          <w:lang w:val="en-GB"/>
        </w:rPr>
        <w:t>To this end</w:t>
      </w:r>
      <w:r w:rsidR="00246EA5" w:rsidRPr="00BE15B8">
        <w:rPr>
          <w:rFonts w:asciiTheme="minorHAnsi" w:hAnsiTheme="minorHAnsi" w:cs="Times New Roman"/>
          <w:sz w:val="24"/>
          <w:szCs w:val="24"/>
          <w:lang w:val="en-GB"/>
        </w:rPr>
        <w:t xml:space="preserve">, </w:t>
      </w:r>
      <w:r w:rsidR="008033AF" w:rsidRPr="00BE15B8">
        <w:rPr>
          <w:rFonts w:asciiTheme="minorHAnsi" w:hAnsiTheme="minorHAnsi" w:cs="Times New Roman"/>
          <w:sz w:val="24"/>
          <w:szCs w:val="24"/>
          <w:lang w:val="en-GB"/>
        </w:rPr>
        <w:t xml:space="preserve">we list below </w:t>
      </w:r>
      <w:r w:rsidR="006837EF" w:rsidRPr="00BE15B8">
        <w:rPr>
          <w:rFonts w:asciiTheme="minorHAnsi" w:hAnsiTheme="minorHAnsi" w:cs="Times New Roman"/>
          <w:sz w:val="24"/>
          <w:szCs w:val="24"/>
          <w:lang w:val="en-GB"/>
        </w:rPr>
        <w:t xml:space="preserve">some recommended, general </w:t>
      </w:r>
      <w:r w:rsidR="00B93430" w:rsidRPr="00BE15B8">
        <w:rPr>
          <w:rFonts w:asciiTheme="minorHAnsi" w:hAnsiTheme="minorHAnsi" w:cs="Times New Roman"/>
          <w:sz w:val="24"/>
          <w:szCs w:val="24"/>
          <w:lang w:val="en-GB"/>
        </w:rPr>
        <w:t xml:space="preserve">methodological steps </w:t>
      </w:r>
      <w:r w:rsidR="006837EF" w:rsidRPr="00BE15B8">
        <w:rPr>
          <w:rFonts w:asciiTheme="minorHAnsi" w:hAnsiTheme="minorHAnsi" w:cs="Times New Roman"/>
          <w:sz w:val="24"/>
          <w:szCs w:val="24"/>
          <w:lang w:val="en-GB"/>
        </w:rPr>
        <w:t xml:space="preserve">in cost estimation and analyses </w:t>
      </w:r>
      <w:r w:rsidR="002323BB" w:rsidRPr="00BE15B8">
        <w:rPr>
          <w:rFonts w:asciiTheme="minorHAnsi" w:hAnsiTheme="minorHAnsi" w:cs="Times New Roman"/>
          <w:sz w:val="24"/>
          <w:szCs w:val="24"/>
          <w:lang w:val="en-GB"/>
        </w:rPr>
        <w:t>(</w:t>
      </w:r>
      <w:r w:rsidR="00270DF2" w:rsidRPr="00BE15B8">
        <w:rPr>
          <w:rFonts w:asciiTheme="minorHAnsi" w:hAnsiTheme="minorHAnsi" w:cs="Times New Roman"/>
          <w:sz w:val="24"/>
          <w:szCs w:val="24"/>
          <w:lang w:val="en-GB"/>
        </w:rPr>
        <w:t>Single, 2003)</w:t>
      </w:r>
      <w:r w:rsidR="00513390" w:rsidRPr="00BE15B8">
        <w:rPr>
          <w:rFonts w:asciiTheme="minorHAnsi" w:hAnsiTheme="minorHAnsi" w:cs="Times New Roman"/>
          <w:sz w:val="24"/>
          <w:szCs w:val="24"/>
          <w:lang w:val="en-GB"/>
        </w:rPr>
        <w:t xml:space="preserve">. </w:t>
      </w:r>
    </w:p>
    <w:p w:rsidR="00513390" w:rsidRPr="00BE15B8" w:rsidRDefault="00513390" w:rsidP="00EA1934">
      <w:pPr>
        <w:spacing w:after="0"/>
        <w:jc w:val="both"/>
        <w:rPr>
          <w:rFonts w:asciiTheme="minorHAnsi" w:hAnsiTheme="minorHAnsi"/>
          <w:b/>
          <w:i/>
          <w:sz w:val="24"/>
          <w:szCs w:val="24"/>
        </w:rPr>
      </w:pPr>
    </w:p>
    <w:p w:rsidR="006944FA" w:rsidRPr="00BE15B8" w:rsidRDefault="006944FA" w:rsidP="006944FA">
      <w:pPr>
        <w:spacing w:after="0"/>
        <w:jc w:val="both"/>
        <w:rPr>
          <w:rFonts w:asciiTheme="minorHAnsi" w:hAnsiTheme="minorHAnsi"/>
          <w:b/>
          <w:i/>
          <w:sz w:val="24"/>
          <w:szCs w:val="24"/>
        </w:rPr>
      </w:pPr>
      <w:r w:rsidRPr="00BE15B8">
        <w:rPr>
          <w:rFonts w:asciiTheme="minorHAnsi" w:hAnsiTheme="minorHAnsi"/>
          <w:b/>
          <w:i/>
          <w:sz w:val="24"/>
          <w:szCs w:val="24"/>
        </w:rPr>
        <w:t>Defining the scope and objects</w:t>
      </w: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 xml:space="preserve">Globally speaking, </w:t>
      </w:r>
      <w:r w:rsidR="00A75669" w:rsidRPr="00BE15B8">
        <w:rPr>
          <w:rFonts w:asciiTheme="minorHAnsi" w:hAnsiTheme="minorHAnsi"/>
          <w:sz w:val="24"/>
          <w:szCs w:val="24"/>
        </w:rPr>
        <w:t xml:space="preserve">a first step </w:t>
      </w:r>
      <w:r w:rsidRPr="00BE15B8">
        <w:rPr>
          <w:rFonts w:asciiTheme="minorHAnsi" w:hAnsiTheme="minorHAnsi"/>
          <w:sz w:val="24"/>
          <w:szCs w:val="24"/>
        </w:rPr>
        <w:t xml:space="preserve">for a viable estimate is defining the scope of the public expenditure considered. </w:t>
      </w:r>
      <w:r w:rsidR="00F80CA4" w:rsidRPr="00BE15B8">
        <w:rPr>
          <w:rFonts w:asciiTheme="minorHAnsi" w:hAnsiTheme="minorHAnsi"/>
          <w:sz w:val="24"/>
          <w:szCs w:val="24"/>
        </w:rPr>
        <w:t>Further, a</w:t>
      </w:r>
      <w:r w:rsidRPr="00BE15B8">
        <w:rPr>
          <w:rFonts w:asciiTheme="minorHAnsi" w:hAnsiTheme="minorHAnsi"/>
          <w:sz w:val="24"/>
          <w:szCs w:val="24"/>
        </w:rPr>
        <w:t xml:space="preserve"> clear specification of the geographical area, the types of substances targeted (drugs, alcohol and tobacco) and which function of public provision the estimates cover is needed. </w:t>
      </w:r>
    </w:p>
    <w:p w:rsidR="006944FA" w:rsidRPr="00BE15B8" w:rsidRDefault="006944FA"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b/>
          <w:i/>
          <w:sz w:val="24"/>
          <w:szCs w:val="24"/>
        </w:rPr>
      </w:pPr>
      <w:r w:rsidRPr="00BE15B8">
        <w:rPr>
          <w:rFonts w:asciiTheme="minorHAnsi" w:hAnsiTheme="minorHAnsi"/>
          <w:b/>
          <w:i/>
          <w:sz w:val="24"/>
          <w:szCs w:val="24"/>
        </w:rPr>
        <w:t>Inventorying service providers</w:t>
      </w: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 xml:space="preserve">Second, it is necessary to identify the public entity or institutions responsible for provision of </w:t>
      </w:r>
      <w:r w:rsidR="00BD7639" w:rsidRPr="00BE15B8">
        <w:rPr>
          <w:rFonts w:asciiTheme="minorHAnsi" w:hAnsiTheme="minorHAnsi"/>
          <w:sz w:val="24"/>
          <w:szCs w:val="24"/>
        </w:rPr>
        <w:t xml:space="preserve">the </w:t>
      </w:r>
      <w:r w:rsidRPr="00BE15B8">
        <w:rPr>
          <w:rFonts w:asciiTheme="minorHAnsi" w:hAnsiTheme="minorHAnsi"/>
          <w:sz w:val="24"/>
          <w:szCs w:val="24"/>
        </w:rPr>
        <w:t>drug</w:t>
      </w:r>
      <w:r w:rsidR="00D90BAB" w:rsidRPr="00BE15B8">
        <w:rPr>
          <w:rFonts w:asciiTheme="minorHAnsi" w:hAnsiTheme="minorHAnsi"/>
          <w:sz w:val="24"/>
          <w:szCs w:val="24"/>
        </w:rPr>
        <w:t>-related</w:t>
      </w:r>
      <w:r w:rsidRPr="00BE15B8">
        <w:rPr>
          <w:rFonts w:asciiTheme="minorHAnsi" w:hAnsiTheme="minorHAnsi"/>
          <w:sz w:val="24"/>
          <w:szCs w:val="24"/>
        </w:rPr>
        <w:t xml:space="preserve"> </w:t>
      </w:r>
      <w:r w:rsidR="00BD7639" w:rsidRPr="00BE15B8">
        <w:rPr>
          <w:rFonts w:asciiTheme="minorHAnsi" w:hAnsiTheme="minorHAnsi"/>
          <w:sz w:val="24"/>
          <w:szCs w:val="24"/>
        </w:rPr>
        <w:t>services</w:t>
      </w:r>
      <w:r w:rsidR="00D90BAB" w:rsidRPr="00BE15B8">
        <w:rPr>
          <w:rFonts w:asciiTheme="minorHAnsi" w:hAnsiTheme="minorHAnsi"/>
          <w:sz w:val="24"/>
          <w:szCs w:val="24"/>
        </w:rPr>
        <w:t xml:space="preserve"> </w:t>
      </w:r>
      <w:r w:rsidRPr="00BE15B8">
        <w:rPr>
          <w:rFonts w:asciiTheme="minorHAnsi" w:hAnsiTheme="minorHAnsi"/>
          <w:sz w:val="24"/>
          <w:szCs w:val="24"/>
        </w:rPr>
        <w:t xml:space="preserve">– in the scope of this report; supply reduction measures and interventions. The government authorities, public institutions and services, as well as government funded private actors (NGO’s, service providers, etc.) responsible for the implementation of the drug policy initiatives on the different competency levels have to be inventoried. </w:t>
      </w:r>
    </w:p>
    <w:p w:rsidR="006944FA" w:rsidRPr="00BE15B8" w:rsidRDefault="006944FA"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b/>
          <w:i/>
          <w:sz w:val="24"/>
          <w:szCs w:val="24"/>
        </w:rPr>
      </w:pPr>
      <w:r w:rsidRPr="00BE15B8">
        <w:rPr>
          <w:rFonts w:asciiTheme="minorHAnsi" w:hAnsiTheme="minorHAnsi"/>
          <w:b/>
          <w:i/>
          <w:sz w:val="24"/>
          <w:szCs w:val="24"/>
        </w:rPr>
        <w:t>Mapping financing entities</w:t>
      </w: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 xml:space="preserve">Then, the third step is to identify who finances the providers of supply reduction </w:t>
      </w:r>
      <w:r w:rsidR="00BD7639" w:rsidRPr="00BE15B8">
        <w:rPr>
          <w:rFonts w:asciiTheme="minorHAnsi" w:hAnsiTheme="minorHAnsi"/>
          <w:sz w:val="24"/>
          <w:szCs w:val="24"/>
        </w:rPr>
        <w:t>services</w:t>
      </w:r>
      <w:r w:rsidRPr="00BE15B8">
        <w:rPr>
          <w:rFonts w:asciiTheme="minorHAnsi" w:hAnsiTheme="minorHAnsi"/>
          <w:sz w:val="24"/>
          <w:szCs w:val="24"/>
        </w:rPr>
        <w:t xml:space="preserve">. This implies that a public expenditure analysis proceeds from the perspective of the different public authorities who are responsible for the respective aspects of the drug policy. </w:t>
      </w:r>
      <w:r w:rsidR="00F80CA4" w:rsidRPr="00BE15B8">
        <w:rPr>
          <w:rFonts w:asciiTheme="minorHAnsi" w:hAnsiTheme="minorHAnsi"/>
          <w:sz w:val="24"/>
          <w:szCs w:val="24"/>
        </w:rPr>
        <w:t>Irrespective of the governmental</w:t>
      </w:r>
      <w:r w:rsidRPr="00BE15B8">
        <w:rPr>
          <w:rFonts w:asciiTheme="minorHAnsi" w:hAnsiTheme="minorHAnsi"/>
          <w:sz w:val="24"/>
          <w:szCs w:val="24"/>
        </w:rPr>
        <w:t xml:space="preserve"> structure, expenditure from all relevant national, regional or local government institutions directly or indirectly associated with drug policy should always be included.</w:t>
      </w:r>
    </w:p>
    <w:p w:rsidR="006944FA" w:rsidRPr="00BE15B8" w:rsidRDefault="006944FA"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Matching stakeholders responsible for providing drug policy services with their financing entities might be challenging</w:t>
      </w:r>
      <w:r w:rsidR="00F80CA4" w:rsidRPr="00BE15B8">
        <w:rPr>
          <w:rFonts w:asciiTheme="minorHAnsi" w:hAnsiTheme="minorHAnsi"/>
          <w:sz w:val="24"/>
          <w:szCs w:val="24"/>
        </w:rPr>
        <w:t>, as</w:t>
      </w:r>
      <w:r w:rsidRPr="00BE15B8">
        <w:rPr>
          <w:rFonts w:asciiTheme="minorHAnsi" w:hAnsiTheme="minorHAnsi"/>
          <w:sz w:val="24"/>
          <w:szCs w:val="24"/>
        </w:rPr>
        <w:t xml:space="preserve"> the entities in charge of providing public services are not always obvious and easy to identify. For instance, when there are drug treatment services </w:t>
      </w:r>
      <w:r w:rsidRPr="00BE15B8">
        <w:rPr>
          <w:rFonts w:asciiTheme="minorHAnsi" w:hAnsiTheme="minorHAnsi"/>
          <w:sz w:val="24"/>
          <w:szCs w:val="24"/>
        </w:rPr>
        <w:lastRenderedPageBreak/>
        <w:t xml:space="preserve">provided within prisons, the entity in charge has </w:t>
      </w:r>
      <w:r w:rsidR="00DE27DA" w:rsidRPr="00BE15B8">
        <w:rPr>
          <w:rFonts w:asciiTheme="minorHAnsi" w:hAnsiTheme="minorHAnsi"/>
          <w:iCs/>
          <w:sz w:val="24"/>
          <w:szCs w:val="24"/>
        </w:rPr>
        <w:t>“public order and safety”</w:t>
      </w:r>
      <w:r w:rsidRPr="00BE15B8">
        <w:rPr>
          <w:rFonts w:asciiTheme="minorHAnsi" w:hAnsiTheme="minorHAnsi"/>
          <w:sz w:val="24"/>
          <w:szCs w:val="24"/>
        </w:rPr>
        <w:t xml:space="preserve"> as its first function</w:t>
      </w:r>
      <w:r w:rsidR="00D90BAB" w:rsidRPr="00BE15B8">
        <w:rPr>
          <w:rFonts w:asciiTheme="minorHAnsi" w:hAnsiTheme="minorHAnsi"/>
          <w:sz w:val="24"/>
          <w:szCs w:val="24"/>
        </w:rPr>
        <w:t xml:space="preserve"> but </w:t>
      </w:r>
      <w:r w:rsidR="00DE27DA" w:rsidRPr="00BE15B8">
        <w:rPr>
          <w:rFonts w:asciiTheme="minorHAnsi" w:hAnsiTheme="minorHAnsi"/>
          <w:sz w:val="24"/>
          <w:szCs w:val="24"/>
        </w:rPr>
        <w:t>“</w:t>
      </w:r>
      <w:r w:rsidR="00D90BAB" w:rsidRPr="00BE15B8">
        <w:rPr>
          <w:rFonts w:asciiTheme="minorHAnsi" w:hAnsiTheme="minorHAnsi"/>
          <w:sz w:val="24"/>
          <w:szCs w:val="24"/>
        </w:rPr>
        <w:t>health</w:t>
      </w:r>
      <w:r w:rsidR="00DE27DA" w:rsidRPr="00BE15B8">
        <w:rPr>
          <w:rFonts w:asciiTheme="minorHAnsi" w:hAnsiTheme="minorHAnsi"/>
          <w:sz w:val="24"/>
          <w:szCs w:val="24"/>
        </w:rPr>
        <w:t>”</w:t>
      </w:r>
      <w:r w:rsidR="00D90BAB" w:rsidRPr="00BE15B8">
        <w:rPr>
          <w:rFonts w:asciiTheme="minorHAnsi" w:hAnsiTheme="minorHAnsi"/>
          <w:sz w:val="24"/>
          <w:szCs w:val="24"/>
        </w:rPr>
        <w:t xml:space="preserve"> as </w:t>
      </w:r>
      <w:r w:rsidR="00BD7639" w:rsidRPr="00BE15B8">
        <w:rPr>
          <w:rFonts w:asciiTheme="minorHAnsi" w:hAnsiTheme="minorHAnsi"/>
          <w:sz w:val="24"/>
          <w:szCs w:val="24"/>
        </w:rPr>
        <w:t xml:space="preserve">its </w:t>
      </w:r>
      <w:r w:rsidR="00D90BAB" w:rsidRPr="00BE15B8">
        <w:rPr>
          <w:rFonts w:asciiTheme="minorHAnsi" w:hAnsiTheme="minorHAnsi"/>
          <w:sz w:val="24"/>
          <w:szCs w:val="24"/>
        </w:rPr>
        <w:t>‘real’ goal</w:t>
      </w:r>
      <w:r w:rsidRPr="00BE15B8">
        <w:rPr>
          <w:rFonts w:asciiTheme="minorHAnsi" w:hAnsiTheme="minorHAnsi"/>
          <w:sz w:val="24"/>
          <w:szCs w:val="24"/>
        </w:rPr>
        <w:t xml:space="preserve">. Therefore, analysts must consider whether to include the costs of these activities as supply reduction or </w:t>
      </w:r>
      <w:r w:rsidR="00DE27DA" w:rsidRPr="00BE15B8">
        <w:rPr>
          <w:rFonts w:asciiTheme="minorHAnsi" w:hAnsiTheme="minorHAnsi"/>
          <w:sz w:val="24"/>
          <w:szCs w:val="24"/>
        </w:rPr>
        <w:t xml:space="preserve">demand reduction </w:t>
      </w:r>
      <w:r w:rsidRPr="00BE15B8">
        <w:rPr>
          <w:rFonts w:asciiTheme="minorHAnsi" w:hAnsiTheme="minorHAnsi"/>
          <w:sz w:val="24"/>
          <w:szCs w:val="24"/>
        </w:rPr>
        <w:t xml:space="preserve">initiatives. </w:t>
      </w:r>
      <w:r w:rsidR="00DE27DA" w:rsidRPr="00BE15B8">
        <w:rPr>
          <w:rFonts w:asciiTheme="minorHAnsi" w:hAnsiTheme="minorHAnsi"/>
          <w:sz w:val="24"/>
          <w:szCs w:val="24"/>
        </w:rPr>
        <w:t>Eurostat</w:t>
      </w:r>
      <w:r w:rsidR="00BD7639" w:rsidRPr="00BE15B8">
        <w:rPr>
          <w:rFonts w:asciiTheme="minorHAnsi" w:hAnsiTheme="minorHAnsi"/>
          <w:sz w:val="24"/>
          <w:szCs w:val="24"/>
        </w:rPr>
        <w:t>,</w:t>
      </w:r>
      <w:r w:rsidR="00DE27DA" w:rsidRPr="00BE15B8">
        <w:rPr>
          <w:rFonts w:asciiTheme="minorHAnsi" w:hAnsiTheme="minorHAnsi"/>
          <w:sz w:val="24"/>
          <w:szCs w:val="24"/>
        </w:rPr>
        <w:t xml:space="preserve"> and m</w:t>
      </w:r>
      <w:r w:rsidRPr="00BE15B8">
        <w:rPr>
          <w:rFonts w:asciiTheme="minorHAnsi" w:hAnsiTheme="minorHAnsi"/>
          <w:sz w:val="24"/>
          <w:szCs w:val="24"/>
        </w:rPr>
        <w:t xml:space="preserve">ost </w:t>
      </w:r>
      <w:r w:rsidR="00DE27DA" w:rsidRPr="00BE15B8">
        <w:rPr>
          <w:rFonts w:asciiTheme="minorHAnsi" w:hAnsiTheme="minorHAnsi"/>
          <w:sz w:val="24"/>
          <w:szCs w:val="24"/>
        </w:rPr>
        <w:t xml:space="preserve">international </w:t>
      </w:r>
      <w:r w:rsidR="00945F44" w:rsidRPr="00BE15B8">
        <w:rPr>
          <w:rFonts w:asciiTheme="minorHAnsi" w:hAnsiTheme="minorHAnsi"/>
          <w:sz w:val="24"/>
          <w:szCs w:val="24"/>
        </w:rPr>
        <w:t>organizations</w:t>
      </w:r>
      <w:r w:rsidR="00DE27DA" w:rsidRPr="00BE15B8">
        <w:rPr>
          <w:rFonts w:asciiTheme="minorHAnsi" w:hAnsiTheme="minorHAnsi"/>
          <w:sz w:val="24"/>
          <w:szCs w:val="24"/>
        </w:rPr>
        <w:t xml:space="preserve"> concerned with policy evaluation</w:t>
      </w:r>
      <w:r w:rsidR="00BD7639" w:rsidRPr="00BE15B8">
        <w:rPr>
          <w:rFonts w:asciiTheme="minorHAnsi" w:hAnsiTheme="minorHAnsi"/>
          <w:sz w:val="24"/>
          <w:szCs w:val="24"/>
        </w:rPr>
        <w:t>,</w:t>
      </w:r>
      <w:r w:rsidR="00DE27DA" w:rsidRPr="00BE15B8">
        <w:rPr>
          <w:rFonts w:asciiTheme="minorHAnsi" w:hAnsiTheme="minorHAnsi"/>
          <w:sz w:val="24"/>
          <w:szCs w:val="24"/>
        </w:rPr>
        <w:t xml:space="preserve"> </w:t>
      </w:r>
      <w:r w:rsidRPr="00BE15B8">
        <w:rPr>
          <w:rFonts w:asciiTheme="minorHAnsi" w:hAnsiTheme="minorHAnsi"/>
          <w:sz w:val="24"/>
          <w:szCs w:val="24"/>
        </w:rPr>
        <w:t xml:space="preserve">tend to include the provision of drug-related services in the main function </w:t>
      </w:r>
      <w:r w:rsidR="00BD7639" w:rsidRPr="00BE15B8">
        <w:rPr>
          <w:rFonts w:asciiTheme="minorHAnsi" w:hAnsiTheme="minorHAnsi"/>
          <w:sz w:val="24"/>
          <w:szCs w:val="24"/>
        </w:rPr>
        <w:t xml:space="preserve">which the </w:t>
      </w:r>
      <w:r w:rsidR="00DE27DA" w:rsidRPr="00BE15B8">
        <w:rPr>
          <w:rFonts w:asciiTheme="minorHAnsi" w:hAnsiTheme="minorHAnsi"/>
          <w:sz w:val="24"/>
          <w:szCs w:val="24"/>
        </w:rPr>
        <w:t>funds</w:t>
      </w:r>
      <w:r w:rsidRPr="00BE15B8">
        <w:rPr>
          <w:rFonts w:asciiTheme="minorHAnsi" w:hAnsiTheme="minorHAnsi"/>
          <w:sz w:val="24"/>
          <w:szCs w:val="24"/>
        </w:rPr>
        <w:t xml:space="preserve"> </w:t>
      </w:r>
      <w:r w:rsidR="00945F44" w:rsidRPr="00BE15B8">
        <w:rPr>
          <w:rFonts w:asciiTheme="minorHAnsi" w:hAnsiTheme="minorHAnsi"/>
          <w:sz w:val="24"/>
          <w:szCs w:val="24"/>
        </w:rPr>
        <w:t xml:space="preserve">are used </w:t>
      </w:r>
      <w:r w:rsidRPr="00BE15B8">
        <w:rPr>
          <w:rFonts w:asciiTheme="minorHAnsi" w:hAnsiTheme="minorHAnsi"/>
          <w:sz w:val="24"/>
          <w:szCs w:val="24"/>
        </w:rPr>
        <w:t xml:space="preserve">for, even if provided by less obvious entities. In this case, public expenditure on drug treatment provided in prisons should be excluded from expenditure estimates of supply reduction </w:t>
      </w:r>
      <w:r w:rsidR="00BD7639" w:rsidRPr="00BE15B8">
        <w:rPr>
          <w:rFonts w:asciiTheme="minorHAnsi" w:hAnsiTheme="minorHAnsi"/>
          <w:sz w:val="24"/>
          <w:szCs w:val="24"/>
        </w:rPr>
        <w:t>services</w:t>
      </w:r>
      <w:r w:rsidRPr="00BE15B8">
        <w:rPr>
          <w:rFonts w:asciiTheme="minorHAnsi" w:hAnsiTheme="minorHAnsi"/>
          <w:sz w:val="24"/>
          <w:szCs w:val="24"/>
        </w:rPr>
        <w:t xml:space="preserve">. </w:t>
      </w:r>
      <w:r w:rsidR="00F80CA4" w:rsidRPr="00BE15B8">
        <w:rPr>
          <w:rFonts w:asciiTheme="minorHAnsi" w:hAnsiTheme="minorHAnsi"/>
          <w:sz w:val="24"/>
          <w:szCs w:val="24"/>
        </w:rPr>
        <w:t xml:space="preserve">Sometimes, provision will be under the responsibility of private agents while the financing is under the responsibility of the government. </w:t>
      </w:r>
      <w:r w:rsidRPr="00BE15B8">
        <w:rPr>
          <w:rFonts w:asciiTheme="minorHAnsi" w:hAnsiTheme="minorHAnsi"/>
          <w:sz w:val="24"/>
          <w:szCs w:val="24"/>
        </w:rPr>
        <w:t>It should be noted, however, that the same service may serve multiple policy purposes and double counting should be avoided.</w:t>
      </w:r>
    </w:p>
    <w:p w:rsidR="006944FA" w:rsidRPr="00BE15B8" w:rsidRDefault="006944FA"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b/>
          <w:i/>
          <w:sz w:val="24"/>
          <w:szCs w:val="24"/>
        </w:rPr>
      </w:pPr>
      <w:r w:rsidRPr="00BE15B8">
        <w:rPr>
          <w:rFonts w:asciiTheme="minorHAnsi" w:hAnsiTheme="minorHAnsi"/>
          <w:b/>
          <w:i/>
          <w:sz w:val="24"/>
          <w:szCs w:val="24"/>
        </w:rPr>
        <w:t>Data collection</w:t>
      </w: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 xml:space="preserve">The fourth step is to define a strategy to collect the required data on public expenditure. In order to obtain relevant information, analysts will have to examine policy documents and accountancy data. It is also </w:t>
      </w:r>
      <w:r w:rsidR="00F80CA4" w:rsidRPr="00BE15B8">
        <w:rPr>
          <w:rFonts w:asciiTheme="minorHAnsi" w:hAnsiTheme="minorHAnsi"/>
          <w:sz w:val="24"/>
          <w:szCs w:val="24"/>
        </w:rPr>
        <w:t xml:space="preserve">recommended </w:t>
      </w:r>
      <w:r w:rsidRPr="00BE15B8">
        <w:rPr>
          <w:rFonts w:asciiTheme="minorHAnsi" w:hAnsiTheme="minorHAnsi"/>
          <w:sz w:val="24"/>
          <w:szCs w:val="24"/>
        </w:rPr>
        <w:t>to interview the major stakeholders in the field as a way to have better information about where financial data might be available</w:t>
      </w:r>
      <w:r w:rsidR="007C5937" w:rsidRPr="00BE15B8">
        <w:rPr>
          <w:rFonts w:asciiTheme="minorHAnsi" w:hAnsiTheme="minorHAnsi"/>
          <w:sz w:val="24"/>
          <w:szCs w:val="24"/>
        </w:rPr>
        <w:t>, as is a</w:t>
      </w:r>
      <w:r w:rsidRPr="00BE15B8">
        <w:rPr>
          <w:rFonts w:asciiTheme="minorHAnsi" w:hAnsiTheme="minorHAnsi"/>
          <w:sz w:val="24"/>
          <w:szCs w:val="24"/>
        </w:rPr>
        <w:t xml:space="preserve"> search for international datasets. </w:t>
      </w:r>
    </w:p>
    <w:p w:rsidR="006944FA" w:rsidRPr="00BE15B8" w:rsidRDefault="006944FA"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b/>
          <w:i/>
          <w:sz w:val="24"/>
          <w:szCs w:val="24"/>
        </w:rPr>
      </w:pPr>
      <w:r w:rsidRPr="00BE15B8">
        <w:rPr>
          <w:rFonts w:asciiTheme="minorHAnsi" w:hAnsiTheme="minorHAnsi"/>
          <w:b/>
          <w:i/>
          <w:sz w:val="24"/>
          <w:szCs w:val="24"/>
        </w:rPr>
        <w:t>Classifying and identifying data on drug-related spending</w:t>
      </w:r>
    </w:p>
    <w:p w:rsidR="006944FA" w:rsidRPr="00BE15B8" w:rsidRDefault="006944FA" w:rsidP="006944FA">
      <w:pPr>
        <w:autoSpaceDE w:val="0"/>
        <w:autoSpaceDN w:val="0"/>
        <w:adjustRightInd w:val="0"/>
        <w:jc w:val="both"/>
        <w:rPr>
          <w:rFonts w:asciiTheme="minorHAnsi" w:hAnsiTheme="minorHAnsi"/>
          <w:iCs/>
          <w:sz w:val="24"/>
          <w:szCs w:val="24"/>
        </w:rPr>
      </w:pPr>
      <w:r w:rsidRPr="00BE15B8">
        <w:rPr>
          <w:rFonts w:asciiTheme="minorHAnsi" w:hAnsiTheme="minorHAnsi"/>
          <w:sz w:val="24"/>
          <w:szCs w:val="24"/>
        </w:rPr>
        <w:t xml:space="preserve">It is essential to classify public expenditure according to the purpose which the expenditure is intended for (Reuter et al., 2004, Eurostat, 2011), so the next step to consider is how to group drug-related spending to these sub-purposes. Taking into account that </w:t>
      </w:r>
      <w:r w:rsidRPr="00BE15B8">
        <w:rPr>
          <w:rFonts w:asciiTheme="minorHAnsi" w:hAnsiTheme="minorHAnsi"/>
          <w:iCs/>
          <w:sz w:val="24"/>
          <w:szCs w:val="24"/>
        </w:rPr>
        <w:t>drug-related expenditure on supply reduction initiatives comprises funds spent with the aim of combating the illegal drug phenomena with the use of police, law courts and prisons services, the common subgroups used in international comparisons are the following</w:t>
      </w:r>
      <w:r w:rsidRPr="00BE15B8">
        <w:rPr>
          <w:rStyle w:val="Fotnotereferanse"/>
          <w:rFonts w:asciiTheme="minorHAnsi" w:hAnsiTheme="minorHAnsi"/>
          <w:iCs/>
          <w:sz w:val="24"/>
          <w:szCs w:val="24"/>
        </w:rPr>
        <w:footnoteReference w:id="1"/>
      </w:r>
      <w:r w:rsidRPr="00BE15B8">
        <w:rPr>
          <w:rFonts w:asciiTheme="minorHAnsi" w:hAnsiTheme="minorHAnsi"/>
          <w:iCs/>
          <w:sz w:val="24"/>
          <w:szCs w:val="24"/>
        </w:rPr>
        <w:t>:</w:t>
      </w:r>
    </w:p>
    <w:p w:rsidR="006944FA" w:rsidRPr="00BE15B8" w:rsidRDefault="006944FA" w:rsidP="00B53394">
      <w:pPr>
        <w:pStyle w:val="Listeavsnitt"/>
        <w:numPr>
          <w:ilvl w:val="0"/>
          <w:numId w:val="15"/>
        </w:numPr>
        <w:spacing w:after="0"/>
        <w:jc w:val="both"/>
        <w:rPr>
          <w:rFonts w:asciiTheme="minorHAnsi" w:hAnsiTheme="minorHAnsi"/>
          <w:sz w:val="24"/>
          <w:szCs w:val="24"/>
        </w:rPr>
      </w:pPr>
      <w:r w:rsidRPr="00BE15B8">
        <w:rPr>
          <w:rFonts w:asciiTheme="minorHAnsi" w:hAnsiTheme="minorHAnsi"/>
          <w:sz w:val="24"/>
          <w:szCs w:val="24"/>
        </w:rPr>
        <w:t xml:space="preserve">The classification of public functions (COFOG) provides a useful framework to classify public spending according to its purpose. Under COFOG, most drug control policy expenditure is accounted under the “public order and safety” class of expenditure. The most  directly relevant classes are ‘police services’, ‘law courts’, ‘prisons’ and ‘R&amp;D public order and safety’ (EUROSTA, 2011). </w:t>
      </w:r>
    </w:p>
    <w:p w:rsidR="006944FA" w:rsidRPr="00BE15B8" w:rsidRDefault="006944FA" w:rsidP="006944FA">
      <w:pPr>
        <w:spacing w:after="0"/>
        <w:ind w:firstLine="708"/>
        <w:jc w:val="both"/>
        <w:rPr>
          <w:rFonts w:asciiTheme="minorHAnsi" w:hAnsiTheme="minorHAnsi"/>
          <w:sz w:val="24"/>
          <w:szCs w:val="24"/>
        </w:rPr>
      </w:pPr>
    </w:p>
    <w:p w:rsidR="006944FA" w:rsidRPr="00BE15B8" w:rsidRDefault="006944FA" w:rsidP="00B53394">
      <w:pPr>
        <w:pStyle w:val="Listeavsnitt"/>
        <w:numPr>
          <w:ilvl w:val="0"/>
          <w:numId w:val="15"/>
        </w:numPr>
        <w:spacing w:after="0"/>
        <w:jc w:val="both"/>
        <w:rPr>
          <w:rFonts w:asciiTheme="minorHAnsi" w:hAnsiTheme="minorHAnsi"/>
          <w:sz w:val="24"/>
          <w:szCs w:val="24"/>
        </w:rPr>
      </w:pPr>
      <w:r w:rsidRPr="00BE15B8">
        <w:rPr>
          <w:rFonts w:asciiTheme="minorHAnsi" w:hAnsiTheme="minorHAnsi"/>
          <w:sz w:val="24"/>
          <w:szCs w:val="24"/>
        </w:rPr>
        <w:t xml:space="preserve">Reuter (2006) proposes an alternative definition. He defines public spending on supply reduction under the definition of ‘enforcement programmes’ and considers that these are </w:t>
      </w:r>
      <w:r w:rsidRPr="00BE15B8">
        <w:rPr>
          <w:rFonts w:asciiTheme="minorHAnsi" w:hAnsiTheme="minorHAnsi"/>
          <w:i/>
          <w:sz w:val="24"/>
          <w:szCs w:val="24"/>
        </w:rPr>
        <w:t>‘programmes aimed at traffickers and producers to shift up the supply curve for drugs; other things being equal, they should raise the price of drugs and lower quantity. Programmes aimed at users and retailers raise the transaction costs of buying drugs; those efforts shift the demand curve downwards and lower prices and quantities’</w:t>
      </w:r>
      <w:r w:rsidRPr="00BE15B8">
        <w:rPr>
          <w:rFonts w:asciiTheme="minorHAnsi" w:hAnsiTheme="minorHAnsi"/>
          <w:sz w:val="24"/>
          <w:szCs w:val="24"/>
        </w:rPr>
        <w:t xml:space="preserve">. </w:t>
      </w:r>
    </w:p>
    <w:p w:rsidR="006944FA" w:rsidRPr="00BE15B8" w:rsidRDefault="006944FA" w:rsidP="006944FA">
      <w:pPr>
        <w:spacing w:after="0"/>
        <w:jc w:val="both"/>
        <w:rPr>
          <w:rFonts w:asciiTheme="minorHAnsi" w:hAnsiTheme="minorHAnsi"/>
          <w:sz w:val="24"/>
          <w:szCs w:val="24"/>
        </w:rPr>
      </w:pPr>
    </w:p>
    <w:p w:rsidR="006944FA" w:rsidRPr="00BE15B8" w:rsidRDefault="006944FA" w:rsidP="00A6132B">
      <w:pPr>
        <w:spacing w:after="0"/>
        <w:jc w:val="both"/>
        <w:rPr>
          <w:rFonts w:asciiTheme="minorHAnsi" w:hAnsiTheme="minorHAnsi"/>
          <w:sz w:val="24"/>
          <w:szCs w:val="24"/>
        </w:rPr>
      </w:pPr>
      <w:r w:rsidRPr="00BE15B8">
        <w:rPr>
          <w:rFonts w:asciiTheme="minorHAnsi" w:hAnsiTheme="minorHAnsi"/>
          <w:sz w:val="24"/>
          <w:szCs w:val="24"/>
        </w:rPr>
        <w:lastRenderedPageBreak/>
        <w:t>However, data on public expenditure on supply reduction are often embedded in policy projects with broader objectives. Therefore, it is important to look beyond the expenditure exclusively used for drug policy and also include spending intended for broader policy domains that are indirectly</w:t>
      </w:r>
      <w:r w:rsidR="00B53394" w:rsidRPr="00BE15B8">
        <w:rPr>
          <w:rFonts w:asciiTheme="minorHAnsi" w:hAnsiTheme="minorHAnsi"/>
          <w:sz w:val="24"/>
          <w:szCs w:val="24"/>
        </w:rPr>
        <w:t>,</w:t>
      </w:r>
      <w:r w:rsidRPr="00BE15B8">
        <w:rPr>
          <w:rFonts w:asciiTheme="minorHAnsi" w:hAnsiTheme="minorHAnsi"/>
          <w:sz w:val="24"/>
          <w:szCs w:val="24"/>
        </w:rPr>
        <w:t xml:space="preserve"> but significantly</w:t>
      </w:r>
      <w:r w:rsidR="00B53394" w:rsidRPr="00BE15B8">
        <w:rPr>
          <w:rFonts w:asciiTheme="minorHAnsi" w:hAnsiTheme="minorHAnsi"/>
          <w:sz w:val="24"/>
          <w:szCs w:val="24"/>
        </w:rPr>
        <w:t>,</w:t>
      </w:r>
      <w:r w:rsidRPr="00BE15B8">
        <w:rPr>
          <w:rFonts w:asciiTheme="minorHAnsi" w:hAnsiTheme="minorHAnsi"/>
          <w:sz w:val="24"/>
          <w:szCs w:val="24"/>
        </w:rPr>
        <w:t xml:space="preserve"> contributing to drug policy or impacting on it. The proportion of these spending that can be directly allocated to drug-related issues is however </w:t>
      </w:r>
      <w:r w:rsidR="00B53394" w:rsidRPr="00BE15B8">
        <w:rPr>
          <w:rFonts w:asciiTheme="minorHAnsi" w:hAnsiTheme="minorHAnsi"/>
          <w:sz w:val="24"/>
          <w:szCs w:val="24"/>
        </w:rPr>
        <w:t>not readily available</w:t>
      </w:r>
      <w:r w:rsidRPr="00BE15B8">
        <w:rPr>
          <w:rFonts w:asciiTheme="minorHAnsi" w:hAnsiTheme="minorHAnsi"/>
          <w:sz w:val="24"/>
          <w:szCs w:val="24"/>
        </w:rPr>
        <w:t xml:space="preserve"> and requires detailed analysis.</w:t>
      </w:r>
    </w:p>
    <w:p w:rsidR="006944FA" w:rsidRPr="00BE15B8" w:rsidRDefault="006944FA"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sz w:val="24"/>
          <w:szCs w:val="24"/>
        </w:rPr>
      </w:pPr>
      <w:r w:rsidRPr="00BE15B8">
        <w:rPr>
          <w:rFonts w:asciiTheme="minorHAnsi" w:eastAsia="Times New Roman" w:hAnsiTheme="minorHAnsi"/>
          <w:iCs/>
          <w:sz w:val="24"/>
          <w:szCs w:val="24"/>
          <w:lang w:eastAsia="hr-HR"/>
        </w:rPr>
        <w:t xml:space="preserve">In the case that not all required data are available in international datasets, national databases should be mapped. Every country has different structures of drug control services provision and financing. National data mapping can be </w:t>
      </w:r>
      <w:r w:rsidRPr="00BE15B8">
        <w:rPr>
          <w:rFonts w:asciiTheme="minorHAnsi" w:hAnsiTheme="minorHAnsi"/>
          <w:sz w:val="24"/>
          <w:szCs w:val="24"/>
        </w:rPr>
        <w:t xml:space="preserve">determined in different ways: on the basis of information from registration systems, annual reports, interviews with key experts and/or contacts with the work field (De Ruyver et al., 2007). </w:t>
      </w:r>
      <w:r w:rsidRPr="00BE15B8">
        <w:rPr>
          <w:rFonts w:asciiTheme="minorHAnsi" w:eastAsia="Times New Roman" w:hAnsiTheme="minorHAnsi"/>
          <w:iCs/>
          <w:sz w:val="24"/>
          <w:szCs w:val="24"/>
          <w:lang w:eastAsia="hr-HR"/>
        </w:rPr>
        <w:t xml:space="preserve">A detailed mapping of </w:t>
      </w:r>
      <w:r w:rsidR="00F50EE5" w:rsidRPr="00BE15B8">
        <w:rPr>
          <w:rFonts w:asciiTheme="minorHAnsi" w:eastAsia="Times New Roman" w:hAnsiTheme="minorHAnsi"/>
          <w:iCs/>
          <w:sz w:val="24"/>
          <w:szCs w:val="24"/>
          <w:lang w:eastAsia="hr-HR"/>
        </w:rPr>
        <w:t xml:space="preserve">available </w:t>
      </w:r>
      <w:r w:rsidRPr="00BE15B8">
        <w:rPr>
          <w:rFonts w:asciiTheme="minorHAnsi" w:eastAsia="Times New Roman" w:hAnsiTheme="minorHAnsi"/>
          <w:iCs/>
          <w:sz w:val="24"/>
          <w:szCs w:val="24"/>
          <w:lang w:eastAsia="hr-HR"/>
        </w:rPr>
        <w:t>data can be demanding and require an intensive use of resources. However, it is a fundamental milestone for any drug control estimate of public spending.</w:t>
      </w:r>
    </w:p>
    <w:p w:rsidR="006944FA" w:rsidRPr="00BE15B8" w:rsidRDefault="006944FA"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b/>
          <w:i/>
          <w:sz w:val="28"/>
          <w:szCs w:val="24"/>
        </w:rPr>
      </w:pPr>
      <w:r w:rsidRPr="00BE15B8">
        <w:rPr>
          <w:rFonts w:asciiTheme="minorHAnsi" w:hAnsiTheme="minorHAnsi"/>
          <w:b/>
          <w:i/>
          <w:sz w:val="28"/>
          <w:szCs w:val="24"/>
        </w:rPr>
        <w:t>Labelled and unlabelled expenditure</w:t>
      </w: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 xml:space="preserve">Some of the funds allocated by governments for drug-related expenditure are identified as such in the budget (i.e., they are ‘labelled expenditure’). Often, however, the bulk of drug-related expenditure is not identified (‘unlabelled expenditure’) and must be estimated by modelling approaches. The total </w:t>
      </w:r>
      <w:r w:rsidR="001B3E37" w:rsidRPr="00BE15B8">
        <w:rPr>
          <w:rFonts w:asciiTheme="minorHAnsi" w:hAnsiTheme="minorHAnsi"/>
          <w:sz w:val="24"/>
          <w:szCs w:val="24"/>
        </w:rPr>
        <w:t xml:space="preserve">drug-related expenditure </w:t>
      </w:r>
      <w:r w:rsidRPr="00BE15B8">
        <w:rPr>
          <w:rFonts w:asciiTheme="minorHAnsi" w:hAnsiTheme="minorHAnsi"/>
          <w:sz w:val="24"/>
          <w:szCs w:val="24"/>
        </w:rPr>
        <w:t>is the sum of labelled and unlabelled drug-related expenditures (EMCDDA, 2016).</w:t>
      </w:r>
    </w:p>
    <w:p w:rsidR="006944FA" w:rsidRPr="00BE15B8" w:rsidRDefault="006944FA" w:rsidP="006944FA">
      <w:pPr>
        <w:spacing w:after="0"/>
        <w:jc w:val="both"/>
        <w:rPr>
          <w:rFonts w:asciiTheme="minorHAnsi" w:hAnsiTheme="minorHAnsi"/>
          <w:sz w:val="24"/>
          <w:szCs w:val="24"/>
        </w:rPr>
      </w:pPr>
    </w:p>
    <w:p w:rsidR="006944FA" w:rsidRPr="00BE15B8" w:rsidRDefault="006944FA" w:rsidP="006944FA">
      <w:pPr>
        <w:jc w:val="both"/>
        <w:rPr>
          <w:rFonts w:asciiTheme="minorHAnsi" w:hAnsiTheme="minorHAnsi"/>
          <w:sz w:val="24"/>
          <w:szCs w:val="24"/>
        </w:rPr>
      </w:pPr>
      <w:r w:rsidRPr="00BE15B8">
        <w:rPr>
          <w:rFonts w:asciiTheme="minorHAnsi" w:hAnsiTheme="minorHAnsi"/>
          <w:sz w:val="24"/>
          <w:szCs w:val="24"/>
        </w:rPr>
        <w:t xml:space="preserve">Since </w:t>
      </w:r>
      <w:r w:rsidRPr="00BE15B8">
        <w:rPr>
          <w:rFonts w:asciiTheme="minorHAnsi" w:hAnsiTheme="minorHAnsi"/>
          <w:i/>
          <w:sz w:val="24"/>
          <w:szCs w:val="24"/>
        </w:rPr>
        <w:t>labelled expenditures</w:t>
      </w:r>
      <w:r w:rsidRPr="00BE15B8">
        <w:rPr>
          <w:rFonts w:asciiTheme="minorHAnsi" w:hAnsiTheme="minorHAnsi"/>
          <w:sz w:val="24"/>
          <w:szCs w:val="24"/>
        </w:rPr>
        <w:t xml:space="preserve"> are clearly identified in budgets, calculation methods are not required. Time series data for labelled expenditures are often available. The biggest challenge faced when data on labelled expenditure are compiled, is the complete mapping of all entities in charge of providing these services as they can be spread across different levels of the government. Depending on the national structures, expenditure from all relevant national, regional or local government institutions that are directly or indirectly associated with drug policy should always be included.</w:t>
      </w:r>
    </w:p>
    <w:p w:rsidR="006944FA" w:rsidRPr="00BE15B8" w:rsidRDefault="006944FA" w:rsidP="006944FA">
      <w:pPr>
        <w:spacing w:after="0"/>
        <w:jc w:val="both"/>
        <w:rPr>
          <w:rFonts w:asciiTheme="minorHAnsi" w:hAnsiTheme="minorHAnsi"/>
          <w:color w:val="000000"/>
          <w:sz w:val="24"/>
          <w:szCs w:val="24"/>
          <w:shd w:val="clear" w:color="auto" w:fill="FFFFFF"/>
        </w:rPr>
      </w:pPr>
      <w:r w:rsidRPr="00BE15B8">
        <w:rPr>
          <w:rFonts w:asciiTheme="minorHAnsi" w:hAnsiTheme="minorHAnsi"/>
          <w:color w:val="000000"/>
          <w:sz w:val="24"/>
          <w:szCs w:val="24"/>
          <w:shd w:val="clear" w:color="auto" w:fill="FFFFFF"/>
        </w:rPr>
        <w:t xml:space="preserve">For </w:t>
      </w:r>
      <w:r w:rsidRPr="00BE15B8">
        <w:rPr>
          <w:rFonts w:asciiTheme="minorHAnsi" w:hAnsiTheme="minorHAnsi"/>
          <w:i/>
          <w:color w:val="000000"/>
          <w:sz w:val="24"/>
          <w:szCs w:val="24"/>
          <w:shd w:val="clear" w:color="auto" w:fill="FFFFFF"/>
        </w:rPr>
        <w:t>unlabelled expenditure</w:t>
      </w:r>
      <w:r w:rsidR="00B53394" w:rsidRPr="00BE15B8">
        <w:rPr>
          <w:rFonts w:asciiTheme="minorHAnsi" w:hAnsiTheme="minorHAnsi"/>
          <w:color w:val="000000"/>
          <w:sz w:val="24"/>
          <w:szCs w:val="24"/>
          <w:shd w:val="clear" w:color="auto" w:fill="FFFFFF"/>
        </w:rPr>
        <w:t>,</w:t>
      </w:r>
      <w:r w:rsidRPr="00BE15B8">
        <w:rPr>
          <w:rFonts w:asciiTheme="minorHAnsi" w:hAnsiTheme="minorHAnsi"/>
          <w:color w:val="000000"/>
          <w:sz w:val="24"/>
          <w:szCs w:val="24"/>
          <w:shd w:val="clear" w:color="auto" w:fill="FFFFFF"/>
        </w:rPr>
        <w:t xml:space="preserve"> a modelling procedure is required to estimate these expenditures and the modelling is either based on a </w:t>
      </w:r>
      <w:r w:rsidRPr="00BE15B8">
        <w:rPr>
          <w:rFonts w:asciiTheme="minorHAnsi" w:hAnsiTheme="minorHAnsi"/>
          <w:i/>
          <w:color w:val="000000"/>
          <w:sz w:val="24"/>
          <w:szCs w:val="24"/>
          <w:shd w:val="clear" w:color="auto" w:fill="FFFFFF"/>
        </w:rPr>
        <w:t>top down</w:t>
      </w:r>
      <w:r w:rsidRPr="00BE15B8">
        <w:rPr>
          <w:rFonts w:asciiTheme="minorHAnsi" w:hAnsiTheme="minorHAnsi"/>
          <w:color w:val="000000"/>
          <w:sz w:val="24"/>
          <w:szCs w:val="24"/>
          <w:shd w:val="clear" w:color="auto" w:fill="FFFFFF"/>
        </w:rPr>
        <w:t xml:space="preserve"> or </w:t>
      </w:r>
      <w:r w:rsidRPr="00BE15B8">
        <w:rPr>
          <w:rFonts w:asciiTheme="minorHAnsi" w:hAnsiTheme="minorHAnsi"/>
          <w:i/>
          <w:color w:val="000000"/>
          <w:sz w:val="24"/>
          <w:szCs w:val="24"/>
          <w:shd w:val="clear" w:color="auto" w:fill="FFFFFF"/>
        </w:rPr>
        <w:t>bottom up</w:t>
      </w:r>
      <w:r w:rsidRPr="00BE15B8">
        <w:rPr>
          <w:rFonts w:asciiTheme="minorHAnsi" w:hAnsiTheme="minorHAnsi"/>
          <w:color w:val="000000"/>
          <w:sz w:val="24"/>
          <w:szCs w:val="24"/>
          <w:shd w:val="clear" w:color="auto" w:fill="FFFFFF"/>
        </w:rPr>
        <w:t xml:space="preserve"> approach. Frequently, these estimates require the use of activity data to elaborate estimates (ex: number of crime offenses, offenders, criminal cases, prisoners, etc.). </w:t>
      </w:r>
    </w:p>
    <w:p w:rsidR="006944FA" w:rsidRPr="00BE15B8" w:rsidRDefault="006944FA" w:rsidP="006944FA">
      <w:pPr>
        <w:spacing w:after="0"/>
        <w:jc w:val="both"/>
        <w:rPr>
          <w:rFonts w:asciiTheme="minorHAnsi" w:hAnsiTheme="minorHAnsi"/>
          <w:color w:val="000000"/>
          <w:sz w:val="24"/>
          <w:szCs w:val="24"/>
          <w:shd w:val="clear" w:color="auto" w:fill="FFFFFF"/>
        </w:rPr>
      </w:pPr>
    </w:p>
    <w:p w:rsidR="006944FA" w:rsidRPr="00BE15B8" w:rsidRDefault="006944FA" w:rsidP="006944FA">
      <w:pPr>
        <w:spacing w:after="0"/>
        <w:jc w:val="both"/>
        <w:rPr>
          <w:rFonts w:asciiTheme="minorHAnsi" w:hAnsiTheme="minorHAnsi"/>
          <w:color w:val="000000"/>
          <w:sz w:val="24"/>
          <w:szCs w:val="24"/>
          <w:shd w:val="clear" w:color="auto" w:fill="FFFFFF"/>
        </w:rPr>
      </w:pPr>
      <w:r w:rsidRPr="00BE15B8">
        <w:rPr>
          <w:rFonts w:asciiTheme="minorHAnsi" w:hAnsiTheme="minorHAnsi"/>
          <w:b/>
          <w:i/>
          <w:sz w:val="24"/>
          <w:szCs w:val="24"/>
        </w:rPr>
        <w:t>Modelling unlabelled expenditure</w:t>
      </w: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 xml:space="preserve">The </w:t>
      </w:r>
      <w:r w:rsidRPr="00BE15B8">
        <w:rPr>
          <w:rFonts w:asciiTheme="minorHAnsi" w:hAnsiTheme="minorHAnsi"/>
          <w:i/>
          <w:sz w:val="24"/>
          <w:szCs w:val="24"/>
        </w:rPr>
        <w:t>top-down modelling approach</w:t>
      </w:r>
      <w:r w:rsidRPr="00BE15B8">
        <w:rPr>
          <w:rFonts w:asciiTheme="minorHAnsi" w:hAnsiTheme="minorHAnsi"/>
          <w:sz w:val="24"/>
          <w:szCs w:val="24"/>
        </w:rPr>
        <w:t xml:space="preserve"> is mainly used when the data available on drug-related expenditure are embedded in programmes with broader goals and the fraction attributable to drugs is possible to disentangle. In order to identify the amounts spent to finance drug policy, models define objective criteria to </w:t>
      </w:r>
      <w:r w:rsidR="00215D7E" w:rsidRPr="00BE15B8">
        <w:rPr>
          <w:rFonts w:asciiTheme="minorHAnsi" w:hAnsiTheme="minorHAnsi"/>
          <w:sz w:val="24"/>
          <w:szCs w:val="24"/>
        </w:rPr>
        <w:t>estimate these attributable fractions</w:t>
      </w:r>
      <w:r w:rsidRPr="00BE15B8">
        <w:rPr>
          <w:rFonts w:asciiTheme="minorHAnsi" w:hAnsiTheme="minorHAnsi"/>
          <w:sz w:val="24"/>
          <w:szCs w:val="24"/>
        </w:rPr>
        <w:t xml:space="preserve">. These models </w:t>
      </w:r>
      <w:r w:rsidR="00F50EE5" w:rsidRPr="00BE15B8">
        <w:rPr>
          <w:rFonts w:asciiTheme="minorHAnsi" w:hAnsiTheme="minorHAnsi"/>
          <w:sz w:val="24"/>
          <w:szCs w:val="24"/>
        </w:rPr>
        <w:t>estimate</w:t>
      </w:r>
      <w:r w:rsidRPr="00BE15B8">
        <w:rPr>
          <w:rFonts w:asciiTheme="minorHAnsi" w:hAnsiTheme="minorHAnsi"/>
          <w:sz w:val="24"/>
          <w:szCs w:val="24"/>
        </w:rPr>
        <w:t xml:space="preserve"> the fraction </w:t>
      </w:r>
      <w:r w:rsidR="00F50EE5" w:rsidRPr="00BE15B8">
        <w:rPr>
          <w:rFonts w:asciiTheme="minorHAnsi" w:hAnsiTheme="minorHAnsi"/>
          <w:sz w:val="24"/>
          <w:szCs w:val="24"/>
        </w:rPr>
        <w:t>of</w:t>
      </w:r>
      <w:r w:rsidRPr="00BE15B8">
        <w:rPr>
          <w:rFonts w:asciiTheme="minorHAnsi" w:hAnsiTheme="minorHAnsi"/>
          <w:sz w:val="24"/>
          <w:szCs w:val="24"/>
        </w:rPr>
        <w:t xml:space="preserve"> drug-related spending </w:t>
      </w:r>
      <w:r w:rsidR="00F50EE5" w:rsidRPr="00BE15B8">
        <w:rPr>
          <w:rFonts w:asciiTheme="minorHAnsi" w:hAnsiTheme="minorHAnsi"/>
          <w:sz w:val="24"/>
          <w:szCs w:val="24"/>
        </w:rPr>
        <w:t>from</w:t>
      </w:r>
      <w:r w:rsidRPr="00BE15B8">
        <w:rPr>
          <w:rFonts w:asciiTheme="minorHAnsi" w:hAnsiTheme="minorHAnsi"/>
          <w:sz w:val="24"/>
          <w:szCs w:val="24"/>
        </w:rPr>
        <w:t xml:space="preserve"> the broader budget.</w:t>
      </w:r>
    </w:p>
    <w:p w:rsidR="006944FA" w:rsidRPr="00BE15B8" w:rsidRDefault="006944FA" w:rsidP="006944FA">
      <w:pPr>
        <w:spacing w:after="0"/>
        <w:jc w:val="both"/>
        <w:rPr>
          <w:rFonts w:asciiTheme="minorHAnsi" w:hAnsiTheme="minorHAnsi"/>
          <w:color w:val="000000"/>
          <w:sz w:val="24"/>
          <w:szCs w:val="24"/>
          <w:shd w:val="clear" w:color="auto" w:fill="FFFFFF"/>
        </w:rPr>
      </w:pPr>
    </w:p>
    <w:p w:rsidR="006944FA" w:rsidRPr="00BE15B8" w:rsidRDefault="006944FA" w:rsidP="006944FA">
      <w:pPr>
        <w:spacing w:after="0"/>
        <w:jc w:val="center"/>
        <w:rPr>
          <w:rFonts w:asciiTheme="minorHAnsi" w:hAnsiTheme="minorHAnsi"/>
          <w:i/>
        </w:rPr>
      </w:pPr>
      <w:r w:rsidRPr="00BE15B8">
        <w:rPr>
          <w:rFonts w:asciiTheme="minorHAnsi" w:hAnsiTheme="minorHAnsi"/>
          <w:i/>
          <w:color w:val="000000"/>
          <w:sz w:val="24"/>
          <w:szCs w:val="24"/>
          <w:shd w:val="clear" w:color="auto" w:fill="FFFFFF"/>
        </w:rPr>
        <w:t xml:space="preserve">Unlabelled drug-related </w:t>
      </w:r>
      <w:r w:rsidR="001B3E37" w:rsidRPr="00BE15B8">
        <w:rPr>
          <w:rFonts w:asciiTheme="minorHAnsi" w:hAnsiTheme="minorHAnsi"/>
          <w:i/>
          <w:color w:val="000000"/>
          <w:sz w:val="24"/>
          <w:szCs w:val="24"/>
          <w:shd w:val="clear" w:color="auto" w:fill="FFFFFF"/>
        </w:rPr>
        <w:t xml:space="preserve">expenditure </w:t>
      </w:r>
      <w:r w:rsidRPr="00BE15B8">
        <w:rPr>
          <w:rFonts w:asciiTheme="minorHAnsi" w:hAnsiTheme="minorHAnsi"/>
          <w:i/>
          <w:color w:val="000000"/>
          <w:sz w:val="24"/>
          <w:szCs w:val="24"/>
          <w:shd w:val="clear" w:color="auto" w:fill="FFFFFF"/>
        </w:rPr>
        <w:t xml:space="preserve">= Overall </w:t>
      </w:r>
      <w:r w:rsidR="001B3E37" w:rsidRPr="00BE15B8">
        <w:rPr>
          <w:rFonts w:asciiTheme="minorHAnsi" w:hAnsiTheme="minorHAnsi"/>
          <w:i/>
          <w:color w:val="000000"/>
          <w:sz w:val="24"/>
          <w:szCs w:val="24"/>
          <w:shd w:val="clear" w:color="auto" w:fill="FFFFFF"/>
        </w:rPr>
        <w:t xml:space="preserve">expenditure </w:t>
      </w:r>
      <w:r w:rsidRPr="00BE15B8">
        <w:rPr>
          <w:rFonts w:asciiTheme="minorHAnsi" w:hAnsiTheme="minorHAnsi"/>
          <w:i/>
          <w:color w:val="000000"/>
          <w:sz w:val="24"/>
          <w:szCs w:val="24"/>
          <w:shd w:val="clear" w:color="auto" w:fill="FFFFFF"/>
        </w:rPr>
        <w:t xml:space="preserve">× Attributable </w:t>
      </w:r>
      <w:r w:rsidR="001B3E37" w:rsidRPr="00BE15B8">
        <w:rPr>
          <w:rFonts w:asciiTheme="minorHAnsi" w:hAnsiTheme="minorHAnsi"/>
          <w:i/>
          <w:color w:val="000000"/>
          <w:sz w:val="24"/>
          <w:szCs w:val="24"/>
          <w:shd w:val="clear" w:color="auto" w:fill="FFFFFF"/>
        </w:rPr>
        <w:t>fraction</w:t>
      </w:r>
    </w:p>
    <w:p w:rsidR="006944FA" w:rsidRPr="00BE15B8" w:rsidRDefault="006944FA" w:rsidP="006944FA">
      <w:pPr>
        <w:spacing w:after="0"/>
        <w:jc w:val="both"/>
        <w:rPr>
          <w:rFonts w:asciiTheme="minorHAnsi" w:hAnsiTheme="minorHAnsi"/>
          <w:sz w:val="24"/>
          <w:szCs w:val="24"/>
        </w:rPr>
      </w:pPr>
    </w:p>
    <w:p w:rsidR="00752FA9" w:rsidRPr="00BE15B8" w:rsidRDefault="006944FA" w:rsidP="00752FA9">
      <w:pPr>
        <w:pStyle w:val="NormalWeb"/>
        <w:kinsoku w:val="0"/>
        <w:overflowPunct w:val="0"/>
        <w:spacing w:before="86" w:beforeAutospacing="0" w:after="0" w:afterAutospacing="0" w:line="276" w:lineRule="auto"/>
        <w:jc w:val="both"/>
        <w:textAlignment w:val="baseline"/>
        <w:rPr>
          <w:rFonts w:asciiTheme="minorHAnsi" w:hAnsiTheme="minorHAnsi"/>
          <w:lang w:val="en-GB"/>
        </w:rPr>
      </w:pPr>
      <w:r w:rsidRPr="00BE15B8">
        <w:rPr>
          <w:rFonts w:asciiTheme="minorHAnsi" w:hAnsiTheme="minorHAnsi"/>
          <w:lang w:val="en-GB"/>
        </w:rPr>
        <w:t>There is no general methodology to determine</w:t>
      </w:r>
      <w:r w:rsidR="00A6132B" w:rsidRPr="00BE15B8">
        <w:rPr>
          <w:rFonts w:asciiTheme="minorHAnsi" w:hAnsiTheme="minorHAnsi"/>
          <w:lang w:val="en-GB"/>
        </w:rPr>
        <w:t xml:space="preserve"> attributable fractions, or</w:t>
      </w:r>
      <w:r w:rsidRPr="00BE15B8">
        <w:rPr>
          <w:rFonts w:asciiTheme="minorHAnsi" w:hAnsiTheme="minorHAnsi"/>
          <w:lang w:val="en-GB"/>
        </w:rPr>
        <w:t xml:space="preserve"> </w:t>
      </w:r>
      <w:r w:rsidR="00A6132B" w:rsidRPr="00BE15B8">
        <w:rPr>
          <w:rFonts w:asciiTheme="minorHAnsi" w:hAnsiTheme="minorHAnsi"/>
          <w:lang w:val="en-GB"/>
        </w:rPr>
        <w:t>“</w:t>
      </w:r>
      <w:r w:rsidRPr="00BE15B8">
        <w:rPr>
          <w:rFonts w:asciiTheme="minorHAnsi" w:hAnsiTheme="minorHAnsi"/>
          <w:lang w:val="en-GB"/>
        </w:rPr>
        <w:t>repartitions keys</w:t>
      </w:r>
      <w:r w:rsidR="00A6132B" w:rsidRPr="00BE15B8">
        <w:rPr>
          <w:rFonts w:asciiTheme="minorHAnsi" w:hAnsiTheme="minorHAnsi"/>
          <w:lang w:val="en-GB"/>
        </w:rPr>
        <w:t>”</w:t>
      </w:r>
      <w:r w:rsidRPr="00BE15B8">
        <w:rPr>
          <w:rFonts w:asciiTheme="minorHAnsi" w:hAnsiTheme="minorHAnsi"/>
          <w:lang w:val="en-GB"/>
        </w:rPr>
        <w:t>. In practice, the appropriate</w:t>
      </w:r>
      <w:r w:rsidRPr="00BE15B8">
        <w:rPr>
          <w:rFonts w:asciiTheme="minorHAnsi" w:hAnsiTheme="minorHAnsi"/>
          <w:i/>
          <w:lang w:val="en-GB"/>
        </w:rPr>
        <w:t xml:space="preserve"> </w:t>
      </w:r>
      <w:r w:rsidRPr="00BE15B8">
        <w:rPr>
          <w:rFonts w:asciiTheme="minorHAnsi" w:hAnsiTheme="minorHAnsi"/>
          <w:lang w:val="en-GB"/>
        </w:rPr>
        <w:t xml:space="preserve">repartition key is determined by the object of estimate, data availability and modelling approaches available. Repartition keys are normally determined in different ways: on the basis of information from activity data, extracted from registration systems, annual reports and/or contacts with the work field. (De Ruyver et al., 2007). </w:t>
      </w:r>
      <w:r w:rsidR="00752FA9" w:rsidRPr="00BE15B8">
        <w:rPr>
          <w:rFonts w:asciiTheme="minorHAnsi" w:eastAsiaTheme="minorEastAsia" w:hAnsiTheme="minorHAnsi"/>
          <w:color w:val="000000" w:themeColor="text1"/>
          <w:kern w:val="24"/>
          <w:lang w:val="en-GB"/>
        </w:rPr>
        <w:t xml:space="preserve">When defining attributable fractions, the data used should preferably be publicly available international databases. This would guarantee possible replications of similar estimates in the years that follow. When international sources are not available, publicly available national statistics and data from competent public bodies should be used. </w:t>
      </w:r>
    </w:p>
    <w:p w:rsidR="00752FA9" w:rsidRPr="00BE15B8" w:rsidRDefault="00752FA9" w:rsidP="00752FA9">
      <w:pPr>
        <w:spacing w:after="0"/>
        <w:jc w:val="both"/>
        <w:rPr>
          <w:rFonts w:asciiTheme="minorHAnsi" w:hAnsiTheme="minorHAnsi"/>
          <w:sz w:val="24"/>
          <w:szCs w:val="24"/>
        </w:rPr>
      </w:pPr>
    </w:p>
    <w:p w:rsidR="00A6132B" w:rsidRPr="00BE15B8" w:rsidRDefault="00A6132B" w:rsidP="00A6132B">
      <w:pPr>
        <w:shd w:val="clear" w:color="auto" w:fill="FFFFFF"/>
        <w:spacing w:after="0"/>
        <w:jc w:val="both"/>
        <w:textAlignment w:val="baseline"/>
        <w:rPr>
          <w:rFonts w:asciiTheme="minorHAnsi" w:eastAsia="Times New Roman" w:hAnsiTheme="minorHAnsi"/>
          <w:b/>
          <w:sz w:val="24"/>
          <w:szCs w:val="24"/>
          <w:lang w:eastAsia="hr-HR"/>
        </w:rPr>
      </w:pPr>
      <w:r w:rsidRPr="00BE15B8">
        <w:rPr>
          <w:rFonts w:asciiTheme="minorHAnsi" w:eastAsia="Times New Roman" w:hAnsiTheme="minorHAnsi"/>
          <w:b/>
          <w:sz w:val="24"/>
          <w:szCs w:val="24"/>
          <w:lang w:eastAsia="hr-HR"/>
        </w:rPr>
        <w:t>The advantages of the top-down approach are:</w:t>
      </w:r>
    </w:p>
    <w:p w:rsidR="00A6132B" w:rsidRPr="00BE15B8" w:rsidRDefault="00A6132B" w:rsidP="00EB5F81">
      <w:pPr>
        <w:numPr>
          <w:ilvl w:val="0"/>
          <w:numId w:val="1"/>
        </w:numPr>
        <w:shd w:val="clear" w:color="auto" w:fill="FFFFFF"/>
        <w:spacing w:after="0"/>
        <w:ind w:left="993" w:hanging="426"/>
        <w:jc w:val="both"/>
        <w:textAlignment w:val="baseline"/>
        <w:rPr>
          <w:rFonts w:asciiTheme="minorHAnsi" w:eastAsia="Times New Roman" w:hAnsiTheme="minorHAnsi"/>
          <w:sz w:val="24"/>
          <w:szCs w:val="24"/>
          <w:lang w:eastAsia="hr-HR"/>
        </w:rPr>
      </w:pPr>
      <w:r w:rsidRPr="00BE15B8">
        <w:rPr>
          <w:rFonts w:asciiTheme="minorHAnsi" w:eastAsia="Times New Roman" w:hAnsiTheme="minorHAnsi"/>
          <w:bCs/>
          <w:i/>
          <w:sz w:val="24"/>
          <w:szCs w:val="24"/>
          <w:bdr w:val="none" w:sz="0" w:space="0" w:color="auto" w:frame="1"/>
          <w:lang w:eastAsia="hr-HR"/>
        </w:rPr>
        <w:t>Availability of data</w:t>
      </w:r>
      <w:r w:rsidRPr="00BE15B8">
        <w:rPr>
          <w:rFonts w:asciiTheme="minorHAnsi" w:eastAsia="Times New Roman" w:hAnsiTheme="minorHAnsi"/>
          <w:sz w:val="24"/>
          <w:szCs w:val="24"/>
          <w:lang w:eastAsia="hr-HR"/>
        </w:rPr>
        <w:t>: the availability of aggregated budgetary data means that top-down approaches can be applied easily</w:t>
      </w:r>
    </w:p>
    <w:p w:rsidR="00A6132B" w:rsidRPr="00BE15B8" w:rsidRDefault="00A6132B" w:rsidP="00A6132B">
      <w:pPr>
        <w:numPr>
          <w:ilvl w:val="0"/>
          <w:numId w:val="1"/>
        </w:numPr>
        <w:shd w:val="clear" w:color="auto" w:fill="FFFFFF"/>
        <w:spacing w:after="0"/>
        <w:ind w:left="993" w:hanging="426"/>
        <w:jc w:val="both"/>
        <w:textAlignment w:val="baseline"/>
        <w:rPr>
          <w:rFonts w:asciiTheme="minorHAnsi" w:eastAsia="Times New Roman" w:hAnsiTheme="minorHAnsi"/>
          <w:sz w:val="24"/>
          <w:szCs w:val="24"/>
          <w:lang w:eastAsia="hr-HR"/>
        </w:rPr>
      </w:pPr>
      <w:r w:rsidRPr="00BE15B8">
        <w:rPr>
          <w:rFonts w:asciiTheme="minorHAnsi" w:eastAsia="Times New Roman" w:hAnsiTheme="minorHAnsi"/>
          <w:bCs/>
          <w:i/>
          <w:sz w:val="24"/>
          <w:szCs w:val="24"/>
          <w:bdr w:val="none" w:sz="0" w:space="0" w:color="auto" w:frame="1"/>
          <w:lang w:eastAsia="hr-HR"/>
        </w:rPr>
        <w:t>Low cost</w:t>
      </w:r>
      <w:r w:rsidRPr="00BE15B8">
        <w:rPr>
          <w:rFonts w:asciiTheme="minorHAnsi" w:eastAsia="Times New Roman" w:hAnsiTheme="minorHAnsi"/>
          <w:sz w:val="24"/>
          <w:szCs w:val="24"/>
          <w:lang w:eastAsia="hr-HR"/>
        </w:rPr>
        <w:t xml:space="preserve">: the availability of aggregate cost data means that the time and costs required to estimate a top-down unit cost </w:t>
      </w:r>
      <w:r w:rsidR="00EB5F81" w:rsidRPr="00BE15B8">
        <w:rPr>
          <w:rFonts w:asciiTheme="minorHAnsi" w:eastAsia="Times New Roman" w:hAnsiTheme="minorHAnsi"/>
          <w:sz w:val="24"/>
          <w:szCs w:val="24"/>
          <w:lang w:eastAsia="hr-HR"/>
        </w:rPr>
        <w:t>can be reduced</w:t>
      </w:r>
    </w:p>
    <w:p w:rsidR="00A6132B" w:rsidRPr="00BE15B8" w:rsidRDefault="00A6132B" w:rsidP="00A6132B">
      <w:pPr>
        <w:numPr>
          <w:ilvl w:val="0"/>
          <w:numId w:val="1"/>
        </w:numPr>
        <w:shd w:val="clear" w:color="auto" w:fill="FFFFFF"/>
        <w:spacing w:after="0"/>
        <w:ind w:left="993" w:hanging="426"/>
        <w:jc w:val="both"/>
        <w:textAlignment w:val="baseline"/>
        <w:rPr>
          <w:rFonts w:asciiTheme="minorHAnsi" w:eastAsia="Times New Roman" w:hAnsiTheme="minorHAnsi"/>
          <w:sz w:val="24"/>
          <w:szCs w:val="24"/>
          <w:lang w:eastAsia="hr-HR"/>
        </w:rPr>
      </w:pPr>
      <w:r w:rsidRPr="00BE15B8">
        <w:rPr>
          <w:rFonts w:asciiTheme="minorHAnsi" w:eastAsia="Times New Roman" w:hAnsiTheme="minorHAnsi"/>
          <w:bCs/>
          <w:i/>
          <w:sz w:val="24"/>
          <w:szCs w:val="24"/>
          <w:bdr w:val="none" w:sz="0" w:space="0" w:color="auto" w:frame="1"/>
          <w:lang w:eastAsia="hr-HR"/>
        </w:rPr>
        <w:t xml:space="preserve">Versatility: </w:t>
      </w:r>
      <w:r w:rsidRPr="00BE15B8">
        <w:rPr>
          <w:rFonts w:asciiTheme="minorHAnsi" w:eastAsia="Times New Roman" w:hAnsiTheme="minorHAnsi"/>
          <w:sz w:val="24"/>
          <w:szCs w:val="24"/>
          <w:lang w:eastAsia="hr-HR"/>
        </w:rPr>
        <w:t>the methodology enables a</w:t>
      </w:r>
      <w:r w:rsidR="00EB5F81" w:rsidRPr="00BE15B8">
        <w:rPr>
          <w:rFonts w:asciiTheme="minorHAnsi" w:eastAsia="Times New Roman" w:hAnsiTheme="minorHAnsi"/>
          <w:sz w:val="24"/>
          <w:szCs w:val="24"/>
          <w:lang w:eastAsia="hr-HR"/>
        </w:rPr>
        <w:t>n analyst</w:t>
      </w:r>
      <w:r w:rsidRPr="00BE15B8">
        <w:rPr>
          <w:rFonts w:asciiTheme="minorHAnsi" w:eastAsia="Times New Roman" w:hAnsiTheme="minorHAnsi"/>
          <w:sz w:val="24"/>
          <w:szCs w:val="24"/>
          <w:lang w:eastAsia="hr-HR"/>
        </w:rPr>
        <w:t xml:space="preserve"> to forecast how costs may change as a result of a reduction in service usage or demand and how these costs change over time.</w:t>
      </w:r>
    </w:p>
    <w:p w:rsidR="00A6132B" w:rsidRPr="00BE15B8" w:rsidRDefault="00A6132B" w:rsidP="00A6132B">
      <w:pPr>
        <w:spacing w:after="0"/>
        <w:jc w:val="both"/>
        <w:rPr>
          <w:rFonts w:asciiTheme="minorHAnsi" w:hAnsiTheme="minorHAnsi"/>
          <w:sz w:val="24"/>
          <w:szCs w:val="24"/>
        </w:rPr>
      </w:pPr>
    </w:p>
    <w:p w:rsidR="00A6132B" w:rsidRPr="00BE15B8" w:rsidRDefault="00A6132B" w:rsidP="00A6132B">
      <w:pPr>
        <w:spacing w:after="0"/>
        <w:jc w:val="both"/>
        <w:rPr>
          <w:rFonts w:asciiTheme="minorHAnsi" w:hAnsiTheme="minorHAnsi"/>
          <w:sz w:val="24"/>
          <w:szCs w:val="24"/>
        </w:rPr>
      </w:pPr>
      <w:r w:rsidRPr="00BE15B8">
        <w:rPr>
          <w:rFonts w:asciiTheme="minorHAnsi" w:hAnsiTheme="minorHAnsi"/>
          <w:sz w:val="24"/>
          <w:szCs w:val="24"/>
          <w:shd w:val="clear" w:color="auto" w:fill="FFFFFF"/>
        </w:rPr>
        <w:t xml:space="preserve">There are, however, some limitations associated with a top-down approach. First, it does not </w:t>
      </w:r>
      <w:r w:rsidR="00056BAC" w:rsidRPr="00BE15B8">
        <w:rPr>
          <w:rFonts w:asciiTheme="minorHAnsi" w:hAnsiTheme="minorHAnsi"/>
          <w:sz w:val="24"/>
          <w:szCs w:val="24"/>
          <w:shd w:val="clear" w:color="auto" w:fill="FFFFFF"/>
        </w:rPr>
        <w:t xml:space="preserve">clearly </w:t>
      </w:r>
      <w:r w:rsidRPr="00BE15B8">
        <w:rPr>
          <w:rFonts w:asciiTheme="minorHAnsi" w:hAnsiTheme="minorHAnsi"/>
          <w:sz w:val="24"/>
          <w:szCs w:val="24"/>
          <w:shd w:val="clear" w:color="auto" w:fill="FFFFFF"/>
        </w:rPr>
        <w:t xml:space="preserve">identify </w:t>
      </w:r>
      <w:r w:rsidR="00056BAC" w:rsidRPr="00BE15B8">
        <w:rPr>
          <w:rFonts w:asciiTheme="minorHAnsi" w:hAnsiTheme="minorHAnsi"/>
          <w:sz w:val="24"/>
          <w:szCs w:val="24"/>
          <w:shd w:val="clear" w:color="auto" w:fill="FFFFFF"/>
        </w:rPr>
        <w:t xml:space="preserve">different factors which may </w:t>
      </w:r>
      <w:r w:rsidRPr="00BE15B8">
        <w:rPr>
          <w:rFonts w:asciiTheme="minorHAnsi" w:hAnsiTheme="minorHAnsi"/>
          <w:sz w:val="24"/>
          <w:szCs w:val="24"/>
          <w:shd w:val="clear" w:color="auto" w:fill="FFFFFF"/>
        </w:rPr>
        <w:t xml:space="preserve">drive costs and therefore often masks the underlying factors that determine why unit costs vary within a single, yet heterogeneous, group of service. The criteria defined for estimating attributable fractions do not always take into account all characteristics that may impact on total costs, </w:t>
      </w:r>
      <w:r w:rsidR="00EB5F81" w:rsidRPr="00BE15B8">
        <w:rPr>
          <w:rFonts w:asciiTheme="minorHAnsi" w:hAnsiTheme="minorHAnsi"/>
          <w:sz w:val="24"/>
          <w:szCs w:val="24"/>
          <w:shd w:val="clear" w:color="auto" w:fill="FFFFFF"/>
        </w:rPr>
        <w:t xml:space="preserve">i.e. </w:t>
      </w:r>
      <w:r w:rsidRPr="00BE15B8">
        <w:rPr>
          <w:rFonts w:asciiTheme="minorHAnsi" w:hAnsiTheme="minorHAnsi"/>
          <w:sz w:val="24"/>
          <w:szCs w:val="24"/>
          <w:shd w:val="clear" w:color="auto" w:fill="FFFFFF"/>
        </w:rPr>
        <w:t>simplifying costs functions</w:t>
      </w:r>
      <w:r w:rsidR="00EB5F81" w:rsidRPr="00BE15B8">
        <w:rPr>
          <w:rFonts w:asciiTheme="minorHAnsi" w:hAnsiTheme="minorHAnsi"/>
          <w:sz w:val="24"/>
          <w:szCs w:val="24"/>
          <w:shd w:val="clear" w:color="auto" w:fill="FFFFFF"/>
        </w:rPr>
        <w:t xml:space="preserve"> are often employed</w:t>
      </w:r>
      <w:r w:rsidRPr="00BE15B8">
        <w:rPr>
          <w:rFonts w:asciiTheme="minorHAnsi" w:hAnsiTheme="minorHAnsi"/>
          <w:sz w:val="24"/>
          <w:szCs w:val="24"/>
          <w:shd w:val="clear" w:color="auto" w:fill="FFFFFF"/>
        </w:rPr>
        <w:t xml:space="preserve">. Therefore, these estimates are </w:t>
      </w:r>
      <w:r w:rsidR="00001C34" w:rsidRPr="00BE15B8">
        <w:rPr>
          <w:rFonts w:asciiTheme="minorHAnsi" w:hAnsiTheme="minorHAnsi"/>
          <w:sz w:val="24"/>
          <w:szCs w:val="24"/>
          <w:shd w:val="clear" w:color="auto" w:fill="FFFFFF"/>
        </w:rPr>
        <w:t>often</w:t>
      </w:r>
      <w:r w:rsidRPr="00BE15B8">
        <w:rPr>
          <w:rFonts w:asciiTheme="minorHAnsi" w:hAnsiTheme="minorHAnsi"/>
          <w:sz w:val="24"/>
          <w:szCs w:val="24"/>
          <w:shd w:val="clear" w:color="auto" w:fill="FFFFFF"/>
        </w:rPr>
        <w:t xml:space="preserve"> not </w:t>
      </w:r>
      <w:r w:rsidR="00001C34" w:rsidRPr="00BE15B8">
        <w:rPr>
          <w:rFonts w:asciiTheme="minorHAnsi" w:hAnsiTheme="minorHAnsi"/>
          <w:sz w:val="24"/>
          <w:szCs w:val="24"/>
          <w:shd w:val="clear" w:color="auto" w:fill="FFFFFF"/>
        </w:rPr>
        <w:t>very precise</w:t>
      </w:r>
      <w:r w:rsidRPr="00BE15B8">
        <w:rPr>
          <w:rFonts w:asciiTheme="minorHAnsi" w:hAnsiTheme="minorHAnsi"/>
          <w:sz w:val="24"/>
          <w:szCs w:val="24"/>
          <w:shd w:val="clear" w:color="auto" w:fill="FFFFFF"/>
        </w:rPr>
        <w:t xml:space="preserve">. Nevertheless, they are frequently used and provide valuable proxy indicators for average costs. </w:t>
      </w:r>
    </w:p>
    <w:p w:rsidR="00A6132B" w:rsidRPr="00BE15B8" w:rsidRDefault="00A6132B"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 xml:space="preserve">An alternative method to estimate drug-related expenditures is to base estimates on the costs of providing one unit of public service, i.e, the </w:t>
      </w:r>
      <w:r w:rsidRPr="00BE15B8">
        <w:rPr>
          <w:rFonts w:asciiTheme="minorHAnsi" w:hAnsiTheme="minorHAnsi"/>
          <w:i/>
          <w:sz w:val="24"/>
          <w:szCs w:val="24"/>
        </w:rPr>
        <w:t>bottom-up modelling method</w:t>
      </w:r>
      <w:r w:rsidRPr="00BE15B8">
        <w:rPr>
          <w:rFonts w:asciiTheme="minorHAnsi" w:hAnsiTheme="minorHAnsi"/>
          <w:sz w:val="24"/>
          <w:szCs w:val="24"/>
        </w:rPr>
        <w:t xml:space="preserve">. This modelling approach starts by detailing how much it costs to provide one unit of service or intervention. For instance, how much does it cost to keep one drug-law offender in prison? Taking into account the different costs borne by the government for running a prison, such as the real costs of state property, prison staff, electricity, water and gas, machinery, etc, it is possible to estimate how much each detainee costs, per day. This sum can then be multiplied by the number of </w:t>
      </w:r>
      <w:r w:rsidR="00EB5F81" w:rsidRPr="00BE15B8">
        <w:rPr>
          <w:rFonts w:asciiTheme="minorHAnsi" w:hAnsiTheme="minorHAnsi"/>
          <w:sz w:val="24"/>
          <w:szCs w:val="24"/>
        </w:rPr>
        <w:t xml:space="preserve">drug-related </w:t>
      </w:r>
      <w:r w:rsidRPr="00BE15B8">
        <w:rPr>
          <w:rFonts w:asciiTheme="minorHAnsi" w:hAnsiTheme="minorHAnsi"/>
          <w:sz w:val="24"/>
          <w:szCs w:val="24"/>
        </w:rPr>
        <w:t xml:space="preserve">detainees, considering the different costs that each type of detainees may encompass, as the different lengths in prison, different security levels, etc. To get the total expenditure of drug control policy, all cost elements should be identified and summed. </w:t>
      </w:r>
    </w:p>
    <w:p w:rsidR="006944FA" w:rsidRPr="00BE15B8" w:rsidRDefault="006944FA"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lastRenderedPageBreak/>
        <w:t xml:space="preserve">The bottom-up method is particularly appealing when relevant unit costs are readily available. If, on the other hand, every type and element of the drug policy has to be separately estimated, the approach can be demanding and challenging. </w:t>
      </w:r>
    </w:p>
    <w:p w:rsidR="006944FA" w:rsidRPr="00BE15B8" w:rsidRDefault="006944FA" w:rsidP="006944FA">
      <w:pPr>
        <w:spacing w:after="0"/>
        <w:jc w:val="both"/>
        <w:rPr>
          <w:rFonts w:asciiTheme="minorHAnsi" w:hAnsiTheme="minorHAnsi"/>
          <w:sz w:val="24"/>
          <w:szCs w:val="24"/>
        </w:rPr>
      </w:pPr>
    </w:p>
    <w:p w:rsidR="006944FA" w:rsidRPr="00BE15B8" w:rsidRDefault="006944FA" w:rsidP="006944FA">
      <w:pPr>
        <w:shd w:val="clear" w:color="auto" w:fill="FFFFFF"/>
        <w:spacing w:after="0"/>
        <w:jc w:val="both"/>
        <w:textAlignment w:val="baseline"/>
        <w:rPr>
          <w:rFonts w:asciiTheme="minorHAnsi" w:eastAsia="Times New Roman" w:hAnsiTheme="minorHAnsi"/>
          <w:sz w:val="24"/>
          <w:szCs w:val="24"/>
          <w:lang w:eastAsia="hr-HR"/>
        </w:rPr>
      </w:pPr>
    </w:p>
    <w:p w:rsidR="006944FA" w:rsidRPr="00BE15B8" w:rsidRDefault="006944FA" w:rsidP="006944FA">
      <w:pPr>
        <w:shd w:val="clear" w:color="auto" w:fill="FFFFFF"/>
        <w:spacing w:after="0"/>
        <w:jc w:val="both"/>
        <w:textAlignment w:val="baseline"/>
        <w:rPr>
          <w:rFonts w:asciiTheme="minorHAnsi" w:eastAsia="Times New Roman" w:hAnsiTheme="minorHAnsi"/>
          <w:b/>
          <w:sz w:val="24"/>
          <w:szCs w:val="24"/>
          <w:lang w:eastAsia="hr-HR"/>
        </w:rPr>
      </w:pPr>
      <w:r w:rsidRPr="00BE15B8">
        <w:rPr>
          <w:rFonts w:asciiTheme="minorHAnsi" w:eastAsia="Times New Roman" w:hAnsiTheme="minorHAnsi"/>
          <w:b/>
          <w:sz w:val="24"/>
          <w:szCs w:val="24"/>
          <w:lang w:eastAsia="hr-HR"/>
        </w:rPr>
        <w:t>The advantages of using a bottom-up approach are:</w:t>
      </w:r>
    </w:p>
    <w:p w:rsidR="006944FA" w:rsidRPr="00BE15B8" w:rsidRDefault="006944FA" w:rsidP="006944FA">
      <w:pPr>
        <w:numPr>
          <w:ilvl w:val="0"/>
          <w:numId w:val="2"/>
        </w:numPr>
        <w:shd w:val="clear" w:color="auto" w:fill="FFFFFF"/>
        <w:spacing w:after="0"/>
        <w:ind w:left="993" w:hanging="426"/>
        <w:jc w:val="both"/>
        <w:textAlignment w:val="baseline"/>
        <w:rPr>
          <w:rFonts w:asciiTheme="minorHAnsi" w:eastAsia="Times New Roman" w:hAnsiTheme="minorHAnsi"/>
          <w:sz w:val="24"/>
          <w:szCs w:val="24"/>
          <w:lang w:eastAsia="hr-HR"/>
        </w:rPr>
      </w:pPr>
      <w:r w:rsidRPr="00BE15B8">
        <w:rPr>
          <w:rFonts w:asciiTheme="minorHAnsi" w:eastAsia="Times New Roman" w:hAnsiTheme="minorHAnsi"/>
          <w:bCs/>
          <w:i/>
          <w:sz w:val="24"/>
          <w:szCs w:val="24"/>
          <w:bdr w:val="none" w:sz="0" w:space="0" w:color="auto" w:frame="1"/>
          <w:lang w:eastAsia="hr-HR"/>
        </w:rPr>
        <w:t>Transparency</w:t>
      </w:r>
      <w:r w:rsidRPr="00BE15B8">
        <w:rPr>
          <w:rFonts w:asciiTheme="minorHAnsi" w:eastAsia="Times New Roman" w:hAnsiTheme="minorHAnsi"/>
          <w:sz w:val="24"/>
          <w:szCs w:val="24"/>
          <w:lang w:eastAsia="hr-HR"/>
        </w:rPr>
        <w:t>: detailed cost data allows potential errors to be investigated and their impact tested – this facilitates a possible quality assurance process</w:t>
      </w:r>
    </w:p>
    <w:p w:rsidR="00056BAC" w:rsidRPr="00BE15B8" w:rsidRDefault="00056BAC" w:rsidP="006944FA">
      <w:pPr>
        <w:numPr>
          <w:ilvl w:val="0"/>
          <w:numId w:val="2"/>
        </w:numPr>
        <w:shd w:val="clear" w:color="auto" w:fill="FFFFFF"/>
        <w:spacing w:after="0"/>
        <w:ind w:left="993" w:hanging="426"/>
        <w:jc w:val="both"/>
        <w:textAlignment w:val="baseline"/>
        <w:rPr>
          <w:rFonts w:asciiTheme="minorHAnsi" w:eastAsia="Times New Roman" w:hAnsiTheme="minorHAnsi"/>
          <w:sz w:val="24"/>
          <w:szCs w:val="24"/>
          <w:lang w:eastAsia="hr-HR"/>
        </w:rPr>
      </w:pPr>
      <w:r w:rsidRPr="00BE15B8">
        <w:rPr>
          <w:rFonts w:asciiTheme="minorHAnsi" w:eastAsia="Times New Roman" w:hAnsiTheme="minorHAnsi"/>
          <w:bCs/>
          <w:i/>
          <w:sz w:val="24"/>
          <w:szCs w:val="24"/>
          <w:bdr w:val="none" w:sz="0" w:space="0" w:color="auto" w:frame="1"/>
          <w:lang w:eastAsia="hr-HR"/>
        </w:rPr>
        <w:t>Simplicity</w:t>
      </w:r>
      <w:r w:rsidRPr="00BE15B8">
        <w:rPr>
          <w:rFonts w:asciiTheme="minorHAnsi" w:eastAsia="Times New Roman" w:hAnsiTheme="minorHAnsi"/>
          <w:sz w:val="24"/>
          <w:szCs w:val="24"/>
          <w:lang w:eastAsia="hr-HR"/>
        </w:rPr>
        <w:t>: the calculation required to estimate unit costs is easy to understand and direct, providing a simple way to quantify the administrative and overhead costs associated with a range of public services</w:t>
      </w:r>
    </w:p>
    <w:p w:rsidR="006944FA" w:rsidRPr="00BE15B8" w:rsidRDefault="006944FA" w:rsidP="006944FA">
      <w:pPr>
        <w:numPr>
          <w:ilvl w:val="0"/>
          <w:numId w:val="2"/>
        </w:numPr>
        <w:shd w:val="clear" w:color="auto" w:fill="FFFFFF"/>
        <w:spacing w:after="0"/>
        <w:ind w:left="993" w:hanging="426"/>
        <w:jc w:val="both"/>
        <w:textAlignment w:val="baseline"/>
        <w:rPr>
          <w:rFonts w:asciiTheme="minorHAnsi" w:eastAsia="Times New Roman" w:hAnsiTheme="minorHAnsi"/>
          <w:sz w:val="24"/>
          <w:szCs w:val="24"/>
          <w:lang w:eastAsia="hr-HR"/>
        </w:rPr>
      </w:pPr>
      <w:r w:rsidRPr="00BE15B8">
        <w:rPr>
          <w:rFonts w:asciiTheme="minorHAnsi" w:eastAsia="Times New Roman" w:hAnsiTheme="minorHAnsi"/>
          <w:i/>
          <w:sz w:val="24"/>
          <w:szCs w:val="24"/>
          <w:lang w:eastAsia="hr-HR"/>
        </w:rPr>
        <w:t>Detail</w:t>
      </w:r>
      <w:r w:rsidRPr="00BE15B8">
        <w:rPr>
          <w:rFonts w:asciiTheme="minorHAnsi" w:eastAsia="Times New Roman" w:hAnsiTheme="minorHAnsi"/>
          <w:sz w:val="24"/>
          <w:szCs w:val="24"/>
          <w:lang w:eastAsia="hr-HR"/>
        </w:rPr>
        <w:t xml:space="preserve">: detailed cost data can highlight variations, and enable </w:t>
      </w:r>
      <w:r w:rsidR="00A730A6" w:rsidRPr="00BE15B8">
        <w:rPr>
          <w:rFonts w:asciiTheme="minorHAnsi" w:eastAsia="Times New Roman" w:hAnsiTheme="minorHAnsi"/>
          <w:sz w:val="24"/>
          <w:szCs w:val="24"/>
          <w:lang w:eastAsia="hr-HR"/>
        </w:rPr>
        <w:t>analysts</w:t>
      </w:r>
      <w:r w:rsidRPr="00BE15B8">
        <w:rPr>
          <w:rFonts w:asciiTheme="minorHAnsi" w:eastAsia="Times New Roman" w:hAnsiTheme="minorHAnsi"/>
          <w:sz w:val="24"/>
          <w:szCs w:val="24"/>
          <w:lang w:eastAsia="hr-HR"/>
        </w:rPr>
        <w:t xml:space="preserve"> to explore the drivers of variation and determine whether, for example, some service users account for a disproportionate share of costs </w:t>
      </w:r>
    </w:p>
    <w:p w:rsidR="006944FA" w:rsidRPr="00BE15B8" w:rsidRDefault="006944FA" w:rsidP="006944FA">
      <w:pPr>
        <w:numPr>
          <w:ilvl w:val="0"/>
          <w:numId w:val="2"/>
        </w:numPr>
        <w:shd w:val="clear" w:color="auto" w:fill="FFFFFF"/>
        <w:spacing w:after="0"/>
        <w:ind w:left="993" w:hanging="426"/>
        <w:jc w:val="both"/>
        <w:textAlignment w:val="baseline"/>
        <w:rPr>
          <w:rFonts w:asciiTheme="minorHAnsi" w:eastAsia="Times New Roman" w:hAnsiTheme="minorHAnsi"/>
          <w:sz w:val="24"/>
          <w:szCs w:val="24"/>
          <w:lang w:eastAsia="hr-HR"/>
        </w:rPr>
      </w:pPr>
      <w:r w:rsidRPr="00BE15B8">
        <w:rPr>
          <w:rFonts w:asciiTheme="minorHAnsi" w:eastAsia="Times New Roman" w:hAnsiTheme="minorHAnsi"/>
          <w:bCs/>
          <w:i/>
          <w:sz w:val="24"/>
          <w:szCs w:val="24"/>
          <w:bdr w:val="none" w:sz="0" w:space="0" w:color="auto" w:frame="1"/>
          <w:lang w:eastAsia="hr-HR"/>
        </w:rPr>
        <w:t>Versatility</w:t>
      </w:r>
      <w:r w:rsidRPr="00BE15B8">
        <w:rPr>
          <w:rFonts w:asciiTheme="minorHAnsi" w:eastAsia="Times New Roman" w:hAnsiTheme="minorHAnsi"/>
          <w:sz w:val="24"/>
          <w:szCs w:val="24"/>
          <w:lang w:eastAsia="hr-HR"/>
        </w:rPr>
        <w:t>: the methodology enables a</w:t>
      </w:r>
      <w:r w:rsidR="00A730A6" w:rsidRPr="00BE15B8">
        <w:rPr>
          <w:rFonts w:asciiTheme="minorHAnsi" w:eastAsia="Times New Roman" w:hAnsiTheme="minorHAnsi"/>
          <w:sz w:val="24"/>
          <w:szCs w:val="24"/>
          <w:lang w:eastAsia="hr-HR"/>
        </w:rPr>
        <w:t>n analyst</w:t>
      </w:r>
      <w:r w:rsidRPr="00BE15B8">
        <w:rPr>
          <w:rFonts w:asciiTheme="minorHAnsi" w:eastAsia="Times New Roman" w:hAnsiTheme="minorHAnsi"/>
          <w:sz w:val="24"/>
          <w:szCs w:val="24"/>
          <w:lang w:eastAsia="hr-HR"/>
        </w:rPr>
        <w:t xml:space="preserve"> to forecast how costs may change as a result of a reduction in service usage or demand.</w:t>
      </w:r>
    </w:p>
    <w:p w:rsidR="006944FA" w:rsidRPr="00BE15B8" w:rsidRDefault="006944FA" w:rsidP="006944FA">
      <w:pPr>
        <w:spacing w:after="0"/>
        <w:jc w:val="both"/>
        <w:rPr>
          <w:rFonts w:asciiTheme="minorHAnsi" w:hAnsiTheme="minorHAnsi"/>
          <w:sz w:val="24"/>
          <w:szCs w:val="24"/>
          <w:shd w:val="clear" w:color="auto" w:fill="FFFFFF"/>
        </w:rPr>
      </w:pPr>
    </w:p>
    <w:p w:rsidR="006944FA" w:rsidRPr="00BE15B8" w:rsidRDefault="006944FA" w:rsidP="006944FA">
      <w:pPr>
        <w:spacing w:after="0"/>
        <w:jc w:val="both"/>
        <w:rPr>
          <w:rFonts w:asciiTheme="minorHAnsi" w:hAnsiTheme="minorHAnsi"/>
          <w:sz w:val="24"/>
          <w:szCs w:val="24"/>
          <w:shd w:val="clear" w:color="auto" w:fill="FFFFFF"/>
        </w:rPr>
      </w:pPr>
      <w:r w:rsidRPr="00BE15B8">
        <w:rPr>
          <w:rFonts w:asciiTheme="minorHAnsi" w:hAnsiTheme="minorHAnsi"/>
          <w:sz w:val="24"/>
          <w:szCs w:val="24"/>
          <w:shd w:val="clear" w:color="auto" w:fill="FFFFFF"/>
        </w:rPr>
        <w:t xml:space="preserve">However, the main disadvantage associated with the bottom-up approach is that it requires detailed information, both concerning the type of costs associated with the provision of each service (full knowledge of the production function of each public service), and about the unit cost of each of the production factors. </w:t>
      </w:r>
    </w:p>
    <w:p w:rsidR="006944FA" w:rsidRPr="00BE15B8" w:rsidRDefault="006944FA" w:rsidP="006944FA">
      <w:pPr>
        <w:spacing w:after="0"/>
        <w:jc w:val="both"/>
        <w:rPr>
          <w:rFonts w:asciiTheme="minorHAnsi" w:hAnsiTheme="minorHAnsi"/>
          <w:sz w:val="24"/>
          <w:szCs w:val="24"/>
          <w:shd w:val="clear" w:color="auto" w:fill="FFFFFF"/>
        </w:rPr>
      </w:pP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A combination of the two approaches may be preferred. The advantage of this double method is that it makes verification possible; the data gathered on the basis of the top-down approach can be double-checked and completed with the data retrieved from the project actors in the field.</w:t>
      </w:r>
    </w:p>
    <w:p w:rsidR="006944FA" w:rsidRPr="00BE15B8" w:rsidRDefault="006944FA" w:rsidP="006944FA">
      <w:pPr>
        <w:spacing w:after="0"/>
        <w:jc w:val="both"/>
        <w:rPr>
          <w:rFonts w:asciiTheme="minorHAnsi" w:hAnsiTheme="minorHAnsi"/>
          <w:sz w:val="24"/>
          <w:szCs w:val="24"/>
          <w:shd w:val="clear" w:color="auto" w:fill="FFFFFF"/>
        </w:rPr>
      </w:pPr>
    </w:p>
    <w:p w:rsidR="00A6132B" w:rsidRPr="00BE15B8" w:rsidRDefault="00A6132B" w:rsidP="006944FA">
      <w:pPr>
        <w:spacing w:after="0"/>
        <w:jc w:val="both"/>
        <w:rPr>
          <w:rFonts w:asciiTheme="minorHAnsi" w:hAnsiTheme="minorHAnsi"/>
          <w:b/>
          <w:sz w:val="28"/>
          <w:szCs w:val="28"/>
        </w:rPr>
      </w:pPr>
    </w:p>
    <w:p w:rsidR="006944FA" w:rsidRPr="00BE15B8" w:rsidRDefault="006944FA" w:rsidP="006944FA">
      <w:pPr>
        <w:spacing w:after="0"/>
        <w:jc w:val="both"/>
        <w:rPr>
          <w:rFonts w:asciiTheme="minorHAnsi" w:hAnsiTheme="minorHAnsi"/>
          <w:b/>
          <w:sz w:val="28"/>
          <w:szCs w:val="28"/>
        </w:rPr>
      </w:pPr>
      <w:r w:rsidRPr="00BE15B8">
        <w:rPr>
          <w:rFonts w:asciiTheme="minorHAnsi" w:hAnsiTheme="minorHAnsi"/>
          <w:b/>
          <w:sz w:val="28"/>
          <w:szCs w:val="28"/>
        </w:rPr>
        <w:t>Sectorial models of public spending on drug control initiatives</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hAnsiTheme="minorHAnsi"/>
          <w:lang w:val="en-GB"/>
        </w:rPr>
      </w:pPr>
      <w:r w:rsidRPr="00BE15B8">
        <w:rPr>
          <w:rFonts w:asciiTheme="minorHAnsi" w:hAnsiTheme="minorHAnsi"/>
          <w:lang w:val="en-GB"/>
        </w:rPr>
        <w:t xml:space="preserve">In addition to collecting labelled public expenditure data, there are also several examples of models applied to identify unlabelled expenditure on drug control in national contexts. Different authors </w:t>
      </w:r>
      <w:r w:rsidR="00A730A6" w:rsidRPr="00BE15B8">
        <w:rPr>
          <w:rFonts w:asciiTheme="minorHAnsi" w:hAnsiTheme="minorHAnsi"/>
          <w:lang w:val="en-GB"/>
        </w:rPr>
        <w:t xml:space="preserve">have </w:t>
      </w:r>
      <w:r w:rsidRPr="00BE15B8">
        <w:rPr>
          <w:rFonts w:asciiTheme="minorHAnsi" w:hAnsiTheme="minorHAnsi"/>
          <w:lang w:val="en-GB"/>
        </w:rPr>
        <w:t xml:space="preserve">applied different definitions, datasets and models to estimate comparable items of drug related expenditure. In this section, examples of the definitions, data and models are provided. It aims to show the models used to estimate unlabelled drug-related spending on the different types supply control initiatives commonly provided.  </w:t>
      </w:r>
    </w:p>
    <w:p w:rsidR="006944FA" w:rsidRPr="00BE15B8" w:rsidRDefault="006944FA" w:rsidP="006944FA">
      <w:pPr>
        <w:pStyle w:val="Default"/>
        <w:spacing w:line="276" w:lineRule="auto"/>
        <w:jc w:val="both"/>
        <w:rPr>
          <w:rFonts w:asciiTheme="minorHAnsi" w:hAnsiTheme="minorHAnsi" w:cs="Times New Roman"/>
        </w:rPr>
      </w:pP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b/>
          <w:i/>
          <w:color w:val="000000" w:themeColor="text1"/>
          <w:kern w:val="24"/>
          <w:lang w:val="en-GB"/>
        </w:rPr>
      </w:pPr>
      <w:r w:rsidRPr="00BE15B8">
        <w:rPr>
          <w:rFonts w:asciiTheme="minorHAnsi" w:eastAsiaTheme="minorEastAsia" w:hAnsiTheme="minorHAnsi"/>
          <w:b/>
          <w:i/>
          <w:color w:val="000000" w:themeColor="text1"/>
          <w:kern w:val="24"/>
          <w:lang w:val="en-GB"/>
        </w:rPr>
        <w:t>Police</w:t>
      </w:r>
    </w:p>
    <w:p w:rsidR="0056450D"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Public spending on drug</w:t>
      </w:r>
      <w:r w:rsidR="00056BAC" w:rsidRPr="00BE15B8">
        <w:rPr>
          <w:rFonts w:asciiTheme="minorHAnsi" w:eastAsiaTheme="minorEastAsia" w:hAnsiTheme="minorHAnsi"/>
          <w:color w:val="000000" w:themeColor="text1"/>
          <w:kern w:val="24"/>
          <w:lang w:val="en-GB"/>
        </w:rPr>
        <w:t>-related</w:t>
      </w:r>
      <w:r w:rsidRPr="00BE15B8">
        <w:rPr>
          <w:rFonts w:asciiTheme="minorHAnsi" w:eastAsiaTheme="minorEastAsia" w:hAnsiTheme="minorHAnsi"/>
          <w:color w:val="000000" w:themeColor="text1"/>
          <w:kern w:val="24"/>
          <w:lang w:val="en-GB"/>
        </w:rPr>
        <w:t xml:space="preserve"> police services </w:t>
      </w:r>
      <w:r w:rsidR="00297E3B" w:rsidRPr="00BE15B8">
        <w:rPr>
          <w:rFonts w:asciiTheme="minorHAnsi" w:eastAsiaTheme="minorEastAsia" w:hAnsiTheme="minorHAnsi"/>
          <w:color w:val="000000" w:themeColor="text1"/>
          <w:kern w:val="24"/>
          <w:lang w:val="en-GB"/>
        </w:rPr>
        <w:t>may probably</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 be </w:t>
      </w:r>
      <w:r w:rsidR="00297E3B" w:rsidRPr="00BE15B8">
        <w:rPr>
          <w:rFonts w:asciiTheme="minorHAnsi" w:eastAsiaTheme="minorEastAsia" w:hAnsiTheme="minorHAnsi"/>
          <w:color w:val="000000" w:themeColor="text1"/>
          <w:kern w:val="24"/>
          <w:lang w:val="en-GB"/>
        </w:rPr>
        <w:t xml:space="preserve">best </w:t>
      </w:r>
      <w:r w:rsidRPr="00BE15B8">
        <w:rPr>
          <w:rFonts w:asciiTheme="minorHAnsi" w:eastAsiaTheme="minorEastAsia" w:hAnsiTheme="minorHAnsi"/>
          <w:color w:val="000000" w:themeColor="text1"/>
          <w:kern w:val="24"/>
          <w:lang w:val="en-GB"/>
        </w:rPr>
        <w:t xml:space="preserve">identified with a top-down approach. In order to disentangle </w:t>
      </w:r>
      <w:r w:rsidR="00056BAC" w:rsidRPr="00BE15B8">
        <w:rPr>
          <w:rFonts w:asciiTheme="minorHAnsi" w:eastAsiaTheme="minorEastAsia" w:hAnsiTheme="minorHAnsi"/>
          <w:color w:val="000000" w:themeColor="text1"/>
          <w:kern w:val="24"/>
          <w:lang w:val="en-GB"/>
        </w:rPr>
        <w:t>this</w:t>
      </w:r>
      <w:r w:rsidRPr="00BE15B8">
        <w:rPr>
          <w:rFonts w:asciiTheme="minorHAnsi" w:eastAsiaTheme="minorEastAsia" w:hAnsiTheme="minorHAnsi"/>
          <w:color w:val="000000" w:themeColor="text1"/>
          <w:kern w:val="24"/>
          <w:lang w:val="en-GB"/>
        </w:rPr>
        <w:t xml:space="preserve"> expenditure from the total public expenditure on public order and safety published by Eurostat, attributable fractions are calculated with the help of activity data. In the case of drug-related spending on </w:t>
      </w:r>
      <w:r w:rsidRPr="00BE15B8">
        <w:rPr>
          <w:rFonts w:asciiTheme="minorHAnsi" w:eastAsiaTheme="minorEastAsia" w:hAnsiTheme="minorHAnsi"/>
          <w:color w:val="000000" w:themeColor="text1"/>
          <w:kern w:val="24"/>
          <w:lang w:val="en-GB"/>
        </w:rPr>
        <w:lastRenderedPageBreak/>
        <w:t xml:space="preserve">police, authors have used auxiliary data to build these fractions, </w:t>
      </w:r>
      <w:r w:rsidR="00056BAC" w:rsidRPr="00BE15B8">
        <w:rPr>
          <w:rFonts w:asciiTheme="minorHAnsi" w:eastAsiaTheme="minorEastAsia" w:hAnsiTheme="minorHAnsi"/>
          <w:color w:val="000000" w:themeColor="text1"/>
          <w:kern w:val="24"/>
          <w:lang w:val="en-GB"/>
        </w:rPr>
        <w:t>for instance,</w:t>
      </w:r>
      <w:r w:rsidRPr="00BE15B8">
        <w:rPr>
          <w:rFonts w:asciiTheme="minorHAnsi" w:eastAsiaTheme="minorEastAsia" w:hAnsiTheme="minorHAnsi"/>
          <w:color w:val="000000" w:themeColor="text1"/>
          <w:kern w:val="24"/>
          <w:lang w:val="en-GB"/>
        </w:rPr>
        <w:t xml:space="preserve"> data on the proportion of drug-related offenses o</w:t>
      </w:r>
      <w:r w:rsidR="00A6132B" w:rsidRPr="00BE15B8">
        <w:rPr>
          <w:rFonts w:asciiTheme="minorHAnsi" w:eastAsiaTheme="minorEastAsia" w:hAnsiTheme="minorHAnsi"/>
          <w:color w:val="000000" w:themeColor="text1"/>
          <w:kern w:val="24"/>
          <w:lang w:val="en-GB"/>
        </w:rPr>
        <w:t>f</w:t>
      </w:r>
      <w:r w:rsidRPr="00BE15B8">
        <w:rPr>
          <w:rFonts w:asciiTheme="minorHAnsi" w:eastAsiaTheme="minorEastAsia" w:hAnsiTheme="minorHAnsi"/>
          <w:color w:val="000000" w:themeColor="text1"/>
          <w:kern w:val="24"/>
          <w:lang w:val="en-GB"/>
        </w:rPr>
        <w:t xml:space="preserve"> the total </w:t>
      </w:r>
      <w:r w:rsidR="00A730A6" w:rsidRPr="00BE15B8">
        <w:rPr>
          <w:rFonts w:asciiTheme="minorHAnsi" w:eastAsiaTheme="minorEastAsia" w:hAnsiTheme="minorHAnsi"/>
          <w:color w:val="000000" w:themeColor="text1"/>
          <w:kern w:val="24"/>
          <w:lang w:val="en-GB"/>
        </w:rPr>
        <w:t xml:space="preserve">number </w:t>
      </w:r>
      <w:r w:rsidRPr="00BE15B8">
        <w:rPr>
          <w:rFonts w:asciiTheme="minorHAnsi" w:eastAsiaTheme="minorEastAsia" w:hAnsiTheme="minorHAnsi"/>
          <w:color w:val="000000" w:themeColor="text1"/>
          <w:kern w:val="24"/>
          <w:lang w:val="en-GB"/>
        </w:rPr>
        <w:t xml:space="preserve">of offenses. The following variables, </w:t>
      </w:r>
      <w:r w:rsidRPr="00BE15B8">
        <w:rPr>
          <w:rFonts w:asciiTheme="minorHAnsi" w:eastAsiaTheme="minorEastAsia" w:hAnsiTheme="minorHAnsi"/>
          <w:color w:val="000000"/>
          <w:kern w:val="24"/>
          <w:lang w:val="en-GB"/>
        </w:rPr>
        <w:t>available on national and international datasets,</w:t>
      </w:r>
      <w:r w:rsidRPr="00BE15B8">
        <w:rPr>
          <w:rFonts w:asciiTheme="minorHAnsi" w:eastAsiaTheme="minorEastAsia" w:hAnsiTheme="minorHAnsi"/>
          <w:color w:val="000000" w:themeColor="text1"/>
          <w:kern w:val="24"/>
          <w:lang w:val="en-GB"/>
        </w:rPr>
        <w:t xml:space="preserve"> </w:t>
      </w:r>
      <w:r w:rsidR="0020575D">
        <w:rPr>
          <w:rFonts w:asciiTheme="minorHAnsi" w:eastAsiaTheme="minorEastAsia" w:hAnsiTheme="minorHAnsi"/>
          <w:color w:val="000000" w:themeColor="text1"/>
          <w:kern w:val="24"/>
          <w:lang w:val="en-GB"/>
        </w:rPr>
        <w:t xml:space="preserve">have all been separately </w:t>
      </w:r>
      <w:r w:rsidRPr="00BE15B8">
        <w:rPr>
          <w:rFonts w:asciiTheme="minorHAnsi" w:eastAsiaTheme="minorEastAsia" w:hAnsiTheme="minorHAnsi"/>
          <w:color w:val="000000" w:themeColor="text1"/>
          <w:kern w:val="24"/>
          <w:lang w:val="en-GB"/>
        </w:rPr>
        <w:t xml:space="preserve">used to estimate attributable fractions: </w:t>
      </w:r>
    </w:p>
    <w:p w:rsidR="006944FA" w:rsidRPr="00BE15B8" w:rsidRDefault="006944FA" w:rsidP="006944FA">
      <w:pPr>
        <w:pStyle w:val="NormalWeb"/>
        <w:numPr>
          <w:ilvl w:val="0"/>
          <w:numId w:val="10"/>
        </w:numPr>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number of crimes per </w:t>
      </w:r>
      <w:r w:rsidR="00A6132B" w:rsidRPr="00BE15B8">
        <w:rPr>
          <w:rFonts w:asciiTheme="minorHAnsi" w:eastAsiaTheme="minorEastAsia" w:hAnsiTheme="minorHAnsi"/>
          <w:color w:val="000000" w:themeColor="text1"/>
          <w:kern w:val="24"/>
          <w:lang w:val="en-GB"/>
        </w:rPr>
        <w:t xml:space="preserve">100,000 populations </w:t>
      </w:r>
    </w:p>
    <w:p w:rsidR="006944FA" w:rsidRPr="00BE15B8" w:rsidRDefault="006944FA" w:rsidP="006944FA">
      <w:pPr>
        <w:pStyle w:val="NormalWeb"/>
        <w:numPr>
          <w:ilvl w:val="0"/>
          <w:numId w:val="10"/>
        </w:numPr>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number of crimes related to</w:t>
      </w:r>
      <w:r w:rsidR="00A6132B" w:rsidRPr="00BE15B8">
        <w:rPr>
          <w:rFonts w:asciiTheme="minorHAnsi" w:eastAsiaTheme="minorEastAsia" w:hAnsiTheme="minorHAnsi"/>
          <w:color w:val="000000" w:themeColor="text1"/>
          <w:kern w:val="24"/>
          <w:lang w:val="en-GB"/>
        </w:rPr>
        <w:t xml:space="preserve"> drugs per 100,000 populations</w:t>
      </w:r>
    </w:p>
    <w:p w:rsidR="00056BAC" w:rsidRPr="00BE15B8" w:rsidRDefault="00A6132B" w:rsidP="00056BAC">
      <w:pPr>
        <w:pStyle w:val="NormalWeb"/>
        <w:numPr>
          <w:ilvl w:val="0"/>
          <w:numId w:val="10"/>
        </w:numPr>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the </w:t>
      </w:r>
      <w:r w:rsidR="006944FA" w:rsidRPr="00BE15B8">
        <w:rPr>
          <w:rFonts w:asciiTheme="minorHAnsi" w:eastAsiaTheme="minorEastAsia" w:hAnsiTheme="minorHAnsi"/>
          <w:color w:val="000000" w:themeColor="text1"/>
          <w:kern w:val="24"/>
          <w:lang w:val="en-GB"/>
        </w:rPr>
        <w:t xml:space="preserve">proportion of time </w:t>
      </w:r>
      <w:r w:rsidRPr="00BE15B8">
        <w:rPr>
          <w:rFonts w:asciiTheme="minorHAnsi" w:eastAsiaTheme="minorEastAsia" w:hAnsiTheme="minorHAnsi"/>
          <w:color w:val="000000" w:themeColor="text1"/>
          <w:kern w:val="24"/>
          <w:lang w:val="en-GB"/>
        </w:rPr>
        <w:t xml:space="preserve">the </w:t>
      </w:r>
      <w:r w:rsidR="006944FA" w:rsidRPr="00BE15B8">
        <w:rPr>
          <w:rFonts w:asciiTheme="minorHAnsi" w:eastAsiaTheme="minorEastAsia" w:hAnsiTheme="minorHAnsi"/>
          <w:color w:val="000000" w:themeColor="text1"/>
          <w:kern w:val="24"/>
          <w:lang w:val="en-GB"/>
        </w:rPr>
        <w:t>police forces spen</w:t>
      </w:r>
      <w:r w:rsidRPr="00BE15B8">
        <w:rPr>
          <w:rFonts w:asciiTheme="minorHAnsi" w:eastAsiaTheme="minorEastAsia" w:hAnsiTheme="minorHAnsi"/>
          <w:color w:val="000000" w:themeColor="text1"/>
          <w:kern w:val="24"/>
          <w:lang w:val="en-GB"/>
        </w:rPr>
        <w:t>d</w:t>
      </w:r>
      <w:r w:rsidR="006944FA" w:rsidRPr="00BE15B8">
        <w:rPr>
          <w:rFonts w:asciiTheme="minorHAnsi" w:eastAsiaTheme="minorEastAsia" w:hAnsiTheme="minorHAnsi"/>
          <w:color w:val="000000" w:themeColor="text1"/>
          <w:kern w:val="24"/>
          <w:lang w:val="en-GB"/>
        </w:rPr>
        <w:t xml:space="preserve"> on combating </w:t>
      </w:r>
      <w:r w:rsidR="00834CD6" w:rsidRPr="00BE15B8">
        <w:rPr>
          <w:rFonts w:asciiTheme="minorHAnsi" w:eastAsiaTheme="minorEastAsia" w:hAnsiTheme="minorHAnsi"/>
          <w:color w:val="000000" w:themeColor="text1"/>
          <w:kern w:val="24"/>
          <w:lang w:val="en-GB"/>
        </w:rPr>
        <w:t xml:space="preserve">the </w:t>
      </w:r>
      <w:r w:rsidR="006944FA" w:rsidRPr="00BE15B8">
        <w:rPr>
          <w:rFonts w:asciiTheme="minorHAnsi" w:eastAsiaTheme="minorEastAsia" w:hAnsiTheme="minorHAnsi"/>
          <w:color w:val="000000" w:themeColor="text1"/>
          <w:kern w:val="24"/>
          <w:lang w:val="en-GB"/>
        </w:rPr>
        <w:t>drug phenomena of their total working time</w:t>
      </w:r>
    </w:p>
    <w:p w:rsidR="006944FA" w:rsidRPr="00BE15B8" w:rsidRDefault="006944FA" w:rsidP="006944FA">
      <w:pPr>
        <w:pStyle w:val="NormalWeb"/>
        <w:kinsoku w:val="0"/>
        <w:overflowPunct w:val="0"/>
        <w:spacing w:before="0" w:beforeAutospacing="0" w:after="0" w:afterAutospacing="0" w:line="276" w:lineRule="auto"/>
        <w:ind w:left="720"/>
        <w:jc w:val="both"/>
        <w:textAlignment w:val="baseline"/>
        <w:rPr>
          <w:rFonts w:asciiTheme="minorHAnsi" w:eastAsiaTheme="minorEastAsia" w:hAnsiTheme="minorHAnsi"/>
          <w:color w:val="000000" w:themeColor="text1"/>
          <w:kern w:val="24"/>
          <w:lang w:val="en-GB"/>
        </w:rPr>
      </w:pP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To estimate the share of costs designated to spending on police activity on illicit drugs, this ratio is multiplied by the total expenditures of law enforcement agencies and reduced by any data on labelled expenditure for drug control available. </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A concrete example is provided by estimates for Italy. </w:t>
      </w:r>
      <w:r w:rsidR="00A61B32" w:rsidRPr="00BE15B8">
        <w:rPr>
          <w:rFonts w:asciiTheme="minorHAnsi" w:eastAsiaTheme="minorEastAsia" w:hAnsiTheme="minorHAnsi"/>
          <w:color w:val="000000" w:themeColor="text1"/>
          <w:kern w:val="24"/>
          <w:lang w:val="en-GB"/>
        </w:rPr>
        <w:t>Genetti</w:t>
      </w:r>
      <w:r w:rsidRPr="00BE15B8">
        <w:rPr>
          <w:rFonts w:asciiTheme="minorHAnsi" w:eastAsiaTheme="minorEastAsia" w:hAnsiTheme="minorHAnsi"/>
          <w:color w:val="000000" w:themeColor="text1"/>
          <w:kern w:val="24"/>
          <w:lang w:val="en-GB"/>
        </w:rPr>
        <w:t xml:space="preserve"> </w:t>
      </w:r>
      <w:r w:rsidR="00834CD6" w:rsidRPr="00BE15B8">
        <w:rPr>
          <w:rFonts w:asciiTheme="minorHAnsi" w:eastAsiaTheme="minorEastAsia" w:hAnsiTheme="minorHAnsi"/>
          <w:color w:val="000000" w:themeColor="text1"/>
          <w:kern w:val="24"/>
          <w:lang w:val="en-GB"/>
        </w:rPr>
        <w:t>(</w:t>
      </w:r>
      <w:r w:rsidRPr="00BE15B8">
        <w:rPr>
          <w:rFonts w:asciiTheme="minorHAnsi" w:eastAsiaTheme="minorEastAsia" w:hAnsiTheme="minorHAnsi"/>
          <w:color w:val="000000" w:themeColor="text1"/>
          <w:kern w:val="24"/>
          <w:lang w:val="en-GB"/>
        </w:rPr>
        <w:t>201</w:t>
      </w:r>
      <w:r w:rsidR="00A61B32" w:rsidRPr="00BE15B8">
        <w:rPr>
          <w:rFonts w:asciiTheme="minorHAnsi" w:eastAsiaTheme="minorEastAsia" w:hAnsiTheme="minorHAnsi"/>
          <w:color w:val="000000" w:themeColor="text1"/>
          <w:kern w:val="24"/>
          <w:lang w:val="en-GB"/>
        </w:rPr>
        <w:t>4</w:t>
      </w:r>
      <w:r w:rsidR="00834CD6" w:rsidRPr="00BE15B8">
        <w:rPr>
          <w:rFonts w:asciiTheme="minorHAnsi" w:eastAsiaTheme="minorEastAsia" w:hAnsiTheme="minorHAnsi"/>
          <w:color w:val="000000" w:themeColor="text1"/>
          <w:kern w:val="24"/>
          <w:lang w:val="en-GB"/>
        </w:rPr>
        <w:t>)</w:t>
      </w:r>
      <w:r w:rsidRPr="00BE15B8">
        <w:rPr>
          <w:rFonts w:asciiTheme="minorHAnsi" w:eastAsiaTheme="minorEastAsia" w:hAnsiTheme="minorHAnsi"/>
          <w:color w:val="000000" w:themeColor="text1"/>
          <w:kern w:val="24"/>
          <w:lang w:val="en-GB"/>
        </w:rPr>
        <w:t xml:space="preserve"> estimated dr</w:t>
      </w:r>
      <w:r w:rsidR="00834CD6" w:rsidRPr="00BE15B8">
        <w:rPr>
          <w:rFonts w:asciiTheme="minorHAnsi" w:eastAsiaTheme="minorEastAsia" w:hAnsiTheme="minorHAnsi"/>
          <w:color w:val="000000" w:themeColor="text1"/>
          <w:kern w:val="24"/>
          <w:lang w:val="en-GB"/>
        </w:rPr>
        <w:t>ug-related public expenditure for the</w:t>
      </w:r>
      <w:r w:rsidRPr="00BE15B8">
        <w:rPr>
          <w:rFonts w:asciiTheme="minorHAnsi" w:eastAsiaTheme="minorEastAsia" w:hAnsiTheme="minorHAnsi"/>
          <w:color w:val="000000" w:themeColor="text1"/>
          <w:kern w:val="24"/>
          <w:lang w:val="en-GB"/>
        </w:rPr>
        <w:t xml:space="preserve"> police forces based on the amount of time that staff spent on </w:t>
      </w:r>
      <w:r w:rsidR="00834CD6" w:rsidRPr="00BE15B8">
        <w:rPr>
          <w:rFonts w:asciiTheme="minorHAnsi" w:eastAsiaTheme="minorEastAsia" w:hAnsiTheme="minorHAnsi"/>
          <w:color w:val="000000" w:themeColor="text1"/>
          <w:kern w:val="24"/>
          <w:lang w:val="en-GB"/>
        </w:rPr>
        <w:t xml:space="preserve">drug </w:t>
      </w:r>
      <w:r w:rsidRPr="00BE15B8">
        <w:rPr>
          <w:rFonts w:asciiTheme="minorHAnsi" w:eastAsiaTheme="minorEastAsia" w:hAnsiTheme="minorHAnsi"/>
          <w:color w:val="000000" w:themeColor="text1"/>
          <w:kern w:val="24"/>
          <w:lang w:val="en-GB"/>
        </w:rPr>
        <w:t>control</w:t>
      </w:r>
      <w:r w:rsidR="00A730A6" w:rsidRPr="00BE15B8">
        <w:rPr>
          <w:rFonts w:asciiTheme="minorHAnsi" w:eastAsiaTheme="minorEastAsia" w:hAnsiTheme="minorHAnsi"/>
          <w:color w:val="000000" w:themeColor="text1"/>
          <w:kern w:val="24"/>
          <w:lang w:val="en-GB"/>
        </w:rPr>
        <w:t xml:space="preserve"> in 2011</w:t>
      </w:r>
      <w:r w:rsidRPr="00BE15B8">
        <w:rPr>
          <w:rFonts w:asciiTheme="minorHAnsi" w:eastAsiaTheme="minorEastAsia" w:hAnsiTheme="minorHAnsi"/>
          <w:color w:val="000000" w:themeColor="text1"/>
          <w:kern w:val="24"/>
          <w:lang w:val="en-GB"/>
        </w:rPr>
        <w:t xml:space="preserve">: the possession of illicit drugs for personal use; the production, trafficking and dealing of illicit drugs and; driving under the influence of drugs and alcohol. The proportion that this time represented </w:t>
      </w:r>
      <w:r w:rsidR="00834CD6" w:rsidRPr="00BE15B8">
        <w:rPr>
          <w:rFonts w:asciiTheme="minorHAnsi" w:eastAsiaTheme="minorEastAsia" w:hAnsiTheme="minorHAnsi"/>
          <w:color w:val="000000" w:themeColor="text1"/>
          <w:kern w:val="24"/>
          <w:lang w:val="en-GB"/>
        </w:rPr>
        <w:t>of</w:t>
      </w:r>
      <w:r w:rsidRPr="00BE15B8">
        <w:rPr>
          <w:rFonts w:asciiTheme="minorHAnsi" w:eastAsiaTheme="minorEastAsia" w:hAnsiTheme="minorHAnsi"/>
          <w:color w:val="000000" w:themeColor="text1"/>
          <w:kern w:val="24"/>
          <w:lang w:val="en-GB"/>
        </w:rPr>
        <w:t xml:space="preserve"> the total working time </w:t>
      </w:r>
      <w:r w:rsidR="00834CD6" w:rsidRPr="00BE15B8">
        <w:rPr>
          <w:rFonts w:asciiTheme="minorHAnsi" w:eastAsiaTheme="minorEastAsia" w:hAnsiTheme="minorHAnsi"/>
          <w:color w:val="000000" w:themeColor="text1"/>
          <w:kern w:val="24"/>
          <w:lang w:val="en-GB"/>
        </w:rPr>
        <w:t>for the</w:t>
      </w:r>
      <w:r w:rsidRPr="00BE15B8">
        <w:rPr>
          <w:rFonts w:asciiTheme="minorHAnsi" w:eastAsiaTheme="minorEastAsia" w:hAnsiTheme="minorHAnsi"/>
          <w:color w:val="000000" w:themeColor="text1"/>
          <w:kern w:val="24"/>
          <w:lang w:val="en-GB"/>
        </w:rPr>
        <w:t xml:space="preserve"> police forces </w:t>
      </w:r>
      <w:r w:rsidR="00834CD6" w:rsidRPr="00BE15B8">
        <w:rPr>
          <w:rFonts w:asciiTheme="minorHAnsi" w:eastAsiaTheme="minorEastAsia" w:hAnsiTheme="minorHAnsi"/>
          <w:color w:val="000000" w:themeColor="text1"/>
          <w:kern w:val="24"/>
          <w:lang w:val="en-GB"/>
        </w:rPr>
        <w:t>was</w:t>
      </w:r>
      <w:r w:rsidRPr="00BE15B8">
        <w:rPr>
          <w:rFonts w:asciiTheme="minorHAnsi" w:eastAsiaTheme="minorEastAsia" w:hAnsiTheme="minorHAnsi"/>
          <w:color w:val="000000" w:themeColor="text1"/>
          <w:kern w:val="24"/>
          <w:lang w:val="en-GB"/>
        </w:rPr>
        <w:t xml:space="preserve"> then used as </w:t>
      </w:r>
      <w:r w:rsidR="00834CD6" w:rsidRPr="00BE15B8">
        <w:rPr>
          <w:rFonts w:asciiTheme="minorHAnsi" w:eastAsiaTheme="minorEastAsia" w:hAnsiTheme="minorHAnsi"/>
          <w:color w:val="000000" w:themeColor="text1"/>
          <w:kern w:val="24"/>
          <w:lang w:val="en-GB"/>
        </w:rPr>
        <w:t xml:space="preserve">an </w:t>
      </w:r>
      <w:r w:rsidRPr="00BE15B8">
        <w:rPr>
          <w:rFonts w:asciiTheme="minorHAnsi" w:eastAsiaTheme="minorEastAsia" w:hAnsiTheme="minorHAnsi"/>
          <w:color w:val="000000" w:themeColor="text1"/>
          <w:kern w:val="24"/>
          <w:lang w:val="en-GB"/>
        </w:rPr>
        <w:t xml:space="preserve">‘attributable-fraction’ for disentangling the amount </w:t>
      </w:r>
      <w:r w:rsidR="00834CD6" w:rsidRPr="00BE15B8">
        <w:rPr>
          <w:rFonts w:asciiTheme="minorHAnsi" w:eastAsiaTheme="minorEastAsia" w:hAnsiTheme="minorHAnsi"/>
          <w:color w:val="000000" w:themeColor="text1"/>
          <w:kern w:val="24"/>
          <w:lang w:val="en-GB"/>
        </w:rPr>
        <w:t>of money</w:t>
      </w:r>
      <w:r w:rsidRPr="00BE15B8">
        <w:rPr>
          <w:rFonts w:asciiTheme="minorHAnsi" w:eastAsiaTheme="minorEastAsia" w:hAnsiTheme="minorHAnsi"/>
          <w:color w:val="000000" w:themeColor="text1"/>
          <w:kern w:val="24"/>
          <w:lang w:val="en-GB"/>
        </w:rPr>
        <w:t xml:space="preserve"> which </w:t>
      </w:r>
      <w:r w:rsidR="00834CD6" w:rsidRPr="00BE15B8">
        <w:rPr>
          <w:rFonts w:asciiTheme="minorHAnsi" w:eastAsiaTheme="minorEastAsia" w:hAnsiTheme="minorHAnsi"/>
          <w:color w:val="000000" w:themeColor="text1"/>
          <w:kern w:val="24"/>
          <w:lang w:val="en-GB"/>
        </w:rPr>
        <w:t>was</w:t>
      </w:r>
      <w:r w:rsidRPr="00BE15B8">
        <w:rPr>
          <w:rFonts w:asciiTheme="minorHAnsi" w:eastAsiaTheme="minorEastAsia" w:hAnsiTheme="minorHAnsi"/>
          <w:color w:val="000000" w:themeColor="text1"/>
          <w:kern w:val="24"/>
          <w:lang w:val="en-GB"/>
        </w:rPr>
        <w:t xml:space="preserve"> spent on drug-related police activities, from the total spending in police activity. The authors concluded that in 2011,</w:t>
      </w:r>
      <w:r w:rsidR="00834CD6" w:rsidRPr="00BE15B8">
        <w:rPr>
          <w:rFonts w:asciiTheme="minorHAnsi" w:eastAsiaTheme="minorEastAsia" w:hAnsiTheme="minorHAnsi"/>
          <w:color w:val="000000" w:themeColor="text1"/>
          <w:kern w:val="24"/>
          <w:lang w:val="en-GB"/>
        </w:rPr>
        <w:t xml:space="preserve"> the</w:t>
      </w:r>
      <w:r w:rsidRPr="00BE15B8">
        <w:rPr>
          <w:rFonts w:asciiTheme="minorHAnsi" w:eastAsiaTheme="minorEastAsia" w:hAnsiTheme="minorHAnsi"/>
          <w:color w:val="000000" w:themeColor="text1"/>
          <w:kern w:val="24"/>
          <w:lang w:val="en-GB"/>
        </w:rPr>
        <w:t xml:space="preserve"> </w:t>
      </w:r>
      <w:r w:rsidRPr="00BE15B8">
        <w:rPr>
          <w:rFonts w:asciiTheme="minorHAnsi" w:hAnsiTheme="minorHAnsi"/>
          <w:lang w:val="en-GB"/>
        </w:rPr>
        <w:t>total drug-related public expenditure represented 0.2 % of GDP</w:t>
      </w:r>
      <w:r w:rsidR="00834CD6" w:rsidRPr="00BE15B8">
        <w:rPr>
          <w:rFonts w:asciiTheme="minorHAnsi" w:hAnsiTheme="minorHAnsi"/>
          <w:lang w:val="en-GB"/>
        </w:rPr>
        <w:t>,</w:t>
      </w:r>
      <w:r w:rsidRPr="00BE15B8">
        <w:rPr>
          <w:rFonts w:asciiTheme="minorHAnsi" w:hAnsiTheme="minorHAnsi"/>
          <w:lang w:val="en-GB"/>
        </w:rPr>
        <w:t xml:space="preserve"> and 49 % of </w:t>
      </w:r>
      <w:r w:rsidR="00834CD6" w:rsidRPr="00BE15B8">
        <w:rPr>
          <w:rFonts w:asciiTheme="minorHAnsi" w:hAnsiTheme="minorHAnsi"/>
          <w:lang w:val="en-GB"/>
        </w:rPr>
        <w:t xml:space="preserve">the </w:t>
      </w:r>
      <w:r w:rsidRPr="00BE15B8">
        <w:rPr>
          <w:rFonts w:asciiTheme="minorHAnsi" w:hAnsiTheme="minorHAnsi"/>
          <w:lang w:val="en-GB"/>
        </w:rPr>
        <w:t xml:space="preserve">total drug-related spending was for supply reduction and 51 % for demand reduction. Within the funds alloacted on supply reduction, </w:t>
      </w:r>
      <w:r w:rsidRPr="00BE15B8">
        <w:rPr>
          <w:rFonts w:asciiTheme="minorHAnsi" w:eastAsiaTheme="minorEastAsia" w:hAnsiTheme="minorHAnsi"/>
          <w:color w:val="000000" w:themeColor="text1"/>
          <w:kern w:val="24"/>
          <w:lang w:val="en-GB"/>
        </w:rPr>
        <w:t>14% was spent on drug-police activity; while law courts and prisons absorbed the remaining 21</w:t>
      </w:r>
      <w:r w:rsidR="00834CD6" w:rsidRPr="00BE15B8">
        <w:rPr>
          <w:rFonts w:asciiTheme="minorHAnsi" w:eastAsiaTheme="minorEastAsia" w:hAnsiTheme="minorHAnsi"/>
          <w:color w:val="000000" w:themeColor="text1"/>
          <w:kern w:val="24"/>
          <w:lang w:val="en-GB"/>
        </w:rPr>
        <w:t>% and 65%, respectively</w:t>
      </w:r>
      <w:r w:rsidRPr="00BE15B8">
        <w:rPr>
          <w:rFonts w:asciiTheme="minorHAnsi" w:eastAsiaTheme="minorEastAsia" w:hAnsiTheme="minorHAnsi"/>
          <w:color w:val="000000" w:themeColor="text1"/>
          <w:kern w:val="24"/>
          <w:lang w:val="en-GB"/>
        </w:rPr>
        <w:t>.</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rsidR="006944FA" w:rsidRPr="00BE15B8" w:rsidRDefault="006A75D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Moolenar</w:t>
      </w:r>
      <w:r w:rsidR="006944FA" w:rsidRPr="00BE15B8">
        <w:rPr>
          <w:rFonts w:asciiTheme="minorHAnsi" w:eastAsiaTheme="minorEastAsia" w:hAnsiTheme="minorHAnsi"/>
          <w:color w:val="000000" w:themeColor="text1"/>
          <w:kern w:val="24"/>
          <w:lang w:val="en-GB"/>
        </w:rPr>
        <w:t xml:space="preserve"> </w:t>
      </w:r>
      <w:r w:rsidRPr="00BE15B8">
        <w:rPr>
          <w:rFonts w:asciiTheme="minorHAnsi" w:eastAsiaTheme="minorEastAsia" w:hAnsiTheme="minorHAnsi"/>
          <w:color w:val="000000" w:themeColor="text1"/>
          <w:kern w:val="24"/>
          <w:lang w:val="en-GB"/>
        </w:rPr>
        <w:t>(</w:t>
      </w:r>
      <w:r w:rsidR="006944FA" w:rsidRPr="00BE15B8">
        <w:rPr>
          <w:rFonts w:asciiTheme="minorHAnsi" w:eastAsiaTheme="minorEastAsia" w:hAnsiTheme="minorHAnsi"/>
          <w:color w:val="000000" w:themeColor="text1"/>
          <w:kern w:val="24"/>
          <w:lang w:val="en-GB"/>
        </w:rPr>
        <w:t>2009</w:t>
      </w:r>
      <w:r w:rsidRPr="00BE15B8">
        <w:rPr>
          <w:rFonts w:asciiTheme="minorHAnsi" w:eastAsiaTheme="minorEastAsia" w:hAnsiTheme="minorHAnsi"/>
          <w:color w:val="000000" w:themeColor="text1"/>
          <w:kern w:val="24"/>
          <w:lang w:val="en-GB"/>
        </w:rPr>
        <w:t>)</w:t>
      </w:r>
      <w:r w:rsidR="006944FA" w:rsidRPr="00BE15B8">
        <w:rPr>
          <w:rFonts w:asciiTheme="minorHAnsi" w:eastAsiaTheme="minorEastAsia" w:hAnsiTheme="minorHAnsi"/>
          <w:color w:val="000000" w:themeColor="text1"/>
          <w:kern w:val="24"/>
          <w:lang w:val="en-GB"/>
        </w:rPr>
        <w:t xml:space="preserve"> developed </w:t>
      </w:r>
      <w:r w:rsidR="00337CB7" w:rsidRPr="00BE15B8">
        <w:rPr>
          <w:rFonts w:asciiTheme="minorHAnsi" w:eastAsiaTheme="minorEastAsia" w:hAnsiTheme="minorHAnsi"/>
          <w:color w:val="000000" w:themeColor="text1"/>
          <w:kern w:val="24"/>
          <w:lang w:val="en-GB"/>
        </w:rPr>
        <w:t>a</w:t>
      </w:r>
      <w:r w:rsidR="006944FA" w:rsidRPr="00BE15B8">
        <w:rPr>
          <w:rFonts w:asciiTheme="minorHAnsi" w:eastAsiaTheme="minorEastAsia" w:hAnsiTheme="minorHAnsi"/>
          <w:color w:val="000000" w:themeColor="text1"/>
          <w:kern w:val="24"/>
          <w:lang w:val="en-GB"/>
        </w:rPr>
        <w:t xml:space="preserve"> model with an example of how to estimate public spending on supply reduction initiatives in the Netherlands. The author applied a top-down model based on the average cost of time of police work. Moolenar developed </w:t>
      </w:r>
      <w:r w:rsidR="00651076" w:rsidRPr="00BE15B8">
        <w:rPr>
          <w:rFonts w:asciiTheme="minorHAnsi" w:eastAsiaTheme="minorEastAsia" w:hAnsiTheme="minorHAnsi"/>
          <w:color w:val="000000" w:themeColor="text1"/>
          <w:kern w:val="24"/>
          <w:lang w:val="en-GB"/>
        </w:rPr>
        <w:t>a</w:t>
      </w:r>
      <w:r w:rsidR="006944FA" w:rsidRPr="00BE15B8">
        <w:rPr>
          <w:rFonts w:asciiTheme="minorHAnsi" w:eastAsiaTheme="minorEastAsia" w:hAnsiTheme="minorHAnsi"/>
          <w:color w:val="000000" w:themeColor="text1"/>
          <w:kern w:val="24"/>
          <w:lang w:val="en-GB"/>
        </w:rPr>
        <w:t xml:space="preserve"> model and weighted this average length that each type of criminal investigations takes by first, type of criminal activity (assuming that different criminal activities have different costs to investigate – based the assessment on the severity of the crime) and; second, by the number of cases that each criminal activity occurred</w:t>
      </w:r>
      <w:r w:rsidR="006944FA" w:rsidRPr="00BE15B8">
        <w:rPr>
          <w:rStyle w:val="Fotnotereferanse"/>
          <w:rFonts w:asciiTheme="minorHAnsi" w:eastAsiaTheme="minorEastAsia" w:hAnsiTheme="minorHAnsi"/>
          <w:color w:val="000000" w:themeColor="text1"/>
          <w:kern w:val="24"/>
          <w:lang w:val="en-GB"/>
        </w:rPr>
        <w:footnoteReference w:id="2"/>
      </w:r>
      <w:r w:rsidR="006944FA" w:rsidRPr="00BE15B8">
        <w:rPr>
          <w:rFonts w:asciiTheme="minorHAnsi" w:eastAsiaTheme="minorEastAsia" w:hAnsiTheme="minorHAnsi"/>
          <w:color w:val="000000" w:themeColor="text1"/>
          <w:kern w:val="24"/>
          <w:lang w:val="en-GB"/>
        </w:rPr>
        <w:t xml:space="preserve">. </w:t>
      </w:r>
    </w:p>
    <w:p w:rsidR="00337CB7" w:rsidRPr="00BE15B8" w:rsidRDefault="00337CB7"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rsidR="00337CB7" w:rsidRPr="00BE15B8" w:rsidRDefault="00337CB7" w:rsidP="00337CB7">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Lievens </w:t>
      </w:r>
      <w:r w:rsidR="00651076" w:rsidRPr="00BE15B8">
        <w:rPr>
          <w:rFonts w:asciiTheme="minorHAnsi" w:eastAsiaTheme="minorEastAsia" w:hAnsiTheme="minorHAnsi"/>
          <w:color w:val="000000" w:themeColor="text1"/>
          <w:kern w:val="24"/>
          <w:lang w:val="en-GB"/>
        </w:rPr>
        <w:t>et</w:t>
      </w:r>
      <w:r w:rsidRPr="00BE15B8">
        <w:rPr>
          <w:rFonts w:asciiTheme="minorHAnsi" w:eastAsiaTheme="minorEastAsia" w:hAnsiTheme="minorHAnsi"/>
          <w:color w:val="000000" w:themeColor="text1"/>
          <w:kern w:val="24"/>
          <w:lang w:val="en-GB"/>
        </w:rPr>
        <w:t xml:space="preserve"> al. (2016) estimated drug-related expenditure on customs based in the proportion that drug-law violations represented from the total number of violations registered by primary services, investigation services and motorized brigades. In 2012 this spending represented 3.6% of the total drug-related public spending on supply reduction.</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b/>
          <w:i/>
          <w:color w:val="000000" w:themeColor="text1"/>
          <w:kern w:val="24"/>
          <w:lang w:val="en-GB"/>
        </w:rPr>
      </w:pPr>
      <w:r w:rsidRPr="00BE15B8">
        <w:rPr>
          <w:rFonts w:asciiTheme="minorHAnsi" w:eastAsiaTheme="minorEastAsia" w:hAnsiTheme="minorHAnsi"/>
          <w:b/>
          <w:i/>
          <w:color w:val="000000" w:themeColor="text1"/>
          <w:kern w:val="24"/>
          <w:lang w:val="en-GB"/>
        </w:rPr>
        <w:t>Customs</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lastRenderedPageBreak/>
        <w:t xml:space="preserve">As for </w:t>
      </w:r>
      <w:r w:rsidR="006A75DA" w:rsidRPr="00BE15B8">
        <w:rPr>
          <w:rFonts w:asciiTheme="minorHAnsi" w:eastAsiaTheme="minorEastAsia" w:hAnsiTheme="minorHAnsi"/>
          <w:color w:val="000000" w:themeColor="text1"/>
          <w:kern w:val="24"/>
          <w:lang w:val="en-GB"/>
        </w:rPr>
        <w:t xml:space="preserve">the </w:t>
      </w:r>
      <w:r w:rsidRPr="00BE15B8">
        <w:rPr>
          <w:rFonts w:asciiTheme="minorHAnsi" w:eastAsiaTheme="minorEastAsia" w:hAnsiTheme="minorHAnsi"/>
          <w:color w:val="000000" w:themeColor="text1"/>
          <w:kern w:val="24"/>
          <w:lang w:val="en-GB"/>
        </w:rPr>
        <w:t>customs services, the share of custom officers who deal with drug control activities and/or the proportion of their working time, compared to the total number of custom officers, has been used as an attributable fraction.  As input data</w:t>
      </w:r>
      <w:r w:rsidR="00651076" w:rsidRPr="00BE15B8">
        <w:rPr>
          <w:rFonts w:asciiTheme="minorHAnsi" w:eastAsiaTheme="minorEastAsia" w:hAnsiTheme="minorHAnsi"/>
          <w:color w:val="000000" w:themeColor="text1"/>
          <w:kern w:val="24"/>
          <w:lang w:val="en-GB"/>
        </w:rPr>
        <w:t>,</w:t>
      </w:r>
      <w:r w:rsidRPr="00BE15B8">
        <w:rPr>
          <w:rFonts w:asciiTheme="minorHAnsi" w:eastAsiaTheme="minorEastAsia" w:hAnsiTheme="minorHAnsi"/>
          <w:color w:val="000000" w:themeColor="text1"/>
          <w:kern w:val="24"/>
          <w:lang w:val="en-GB"/>
        </w:rPr>
        <w:t xml:space="preserve"> the number of customs officers who are involved with drug control activities forms the basis for the calculation. Then, these </w:t>
      </w:r>
      <w:r w:rsidR="006A75DA" w:rsidRPr="00BE15B8">
        <w:rPr>
          <w:rFonts w:asciiTheme="minorHAnsi" w:eastAsiaTheme="minorEastAsia" w:hAnsiTheme="minorHAnsi"/>
          <w:color w:val="000000" w:themeColor="text1"/>
          <w:kern w:val="24"/>
          <w:lang w:val="en-GB"/>
        </w:rPr>
        <w:t>estimates</w:t>
      </w:r>
      <w:r w:rsidRPr="00BE15B8">
        <w:rPr>
          <w:rFonts w:asciiTheme="minorHAnsi" w:eastAsiaTheme="minorEastAsia" w:hAnsiTheme="minorHAnsi"/>
          <w:color w:val="000000" w:themeColor="text1"/>
          <w:kern w:val="24"/>
          <w:lang w:val="en-GB"/>
        </w:rPr>
        <w:t xml:space="preserve"> </w:t>
      </w:r>
      <w:r w:rsidR="006A75DA" w:rsidRPr="00BE15B8">
        <w:rPr>
          <w:rFonts w:asciiTheme="minorHAnsi" w:eastAsiaTheme="minorEastAsia" w:hAnsiTheme="minorHAnsi"/>
          <w:color w:val="000000" w:themeColor="text1"/>
          <w:kern w:val="24"/>
          <w:lang w:val="en-GB"/>
        </w:rPr>
        <w:t>we</w:t>
      </w:r>
      <w:r w:rsidRPr="00BE15B8">
        <w:rPr>
          <w:rFonts w:asciiTheme="minorHAnsi" w:eastAsiaTheme="minorEastAsia" w:hAnsiTheme="minorHAnsi"/>
          <w:color w:val="000000" w:themeColor="text1"/>
          <w:kern w:val="24"/>
          <w:lang w:val="en-GB"/>
        </w:rPr>
        <w:t>re applied to the total expenses of the customs administration (minus any labelled expenditure explicitly directed towards this activity).</w:t>
      </w:r>
      <w:r w:rsidR="006A75DA" w:rsidRPr="00BE15B8">
        <w:rPr>
          <w:rFonts w:asciiTheme="minorHAnsi" w:eastAsiaTheme="minorEastAsia" w:hAnsiTheme="minorHAnsi"/>
          <w:color w:val="000000" w:themeColor="text1"/>
          <w:kern w:val="24"/>
          <w:lang w:val="en-GB"/>
        </w:rPr>
        <w:t xml:space="preserve"> It should</w:t>
      </w:r>
      <w:r w:rsidR="00651076" w:rsidRPr="00BE15B8">
        <w:rPr>
          <w:rFonts w:asciiTheme="minorHAnsi" w:eastAsiaTheme="minorEastAsia" w:hAnsiTheme="minorHAnsi"/>
          <w:color w:val="000000" w:themeColor="text1"/>
          <w:kern w:val="24"/>
          <w:lang w:val="en-GB"/>
        </w:rPr>
        <w:t>,</w:t>
      </w:r>
      <w:r w:rsidR="006A75DA" w:rsidRPr="00BE15B8">
        <w:rPr>
          <w:rFonts w:asciiTheme="minorHAnsi" w:eastAsiaTheme="minorEastAsia" w:hAnsiTheme="minorHAnsi"/>
          <w:color w:val="000000" w:themeColor="text1"/>
          <w:kern w:val="24"/>
          <w:lang w:val="en-GB"/>
        </w:rPr>
        <w:t xml:space="preserve"> however</w:t>
      </w:r>
      <w:r w:rsidR="00651076" w:rsidRPr="00BE15B8">
        <w:rPr>
          <w:rFonts w:asciiTheme="minorHAnsi" w:eastAsiaTheme="minorEastAsia" w:hAnsiTheme="minorHAnsi"/>
          <w:color w:val="000000" w:themeColor="text1"/>
          <w:kern w:val="24"/>
          <w:lang w:val="en-GB"/>
        </w:rPr>
        <w:t>,</w:t>
      </w:r>
      <w:r w:rsidR="006A75DA" w:rsidRPr="00BE15B8">
        <w:rPr>
          <w:rFonts w:asciiTheme="minorHAnsi" w:eastAsiaTheme="minorEastAsia" w:hAnsiTheme="minorHAnsi"/>
          <w:color w:val="000000" w:themeColor="text1"/>
          <w:kern w:val="24"/>
          <w:lang w:val="en-GB"/>
        </w:rPr>
        <w:t xml:space="preserve"> be noted that most customs officers do not exclusively allocate their working time to drug control activities, so ideally, the percentage, or an average, of working time devoted to drug control should therefore be estimated.</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Koop and Fenoglio (2002) estimated the drug-related expenditure </w:t>
      </w:r>
      <w:r w:rsidR="00931E95" w:rsidRPr="00BE15B8">
        <w:rPr>
          <w:rFonts w:asciiTheme="minorHAnsi" w:eastAsiaTheme="minorEastAsia" w:hAnsiTheme="minorHAnsi"/>
          <w:color w:val="000000" w:themeColor="text1"/>
          <w:kern w:val="24"/>
          <w:lang w:val="en-GB"/>
        </w:rPr>
        <w:t>of</w:t>
      </w:r>
      <w:r w:rsidRPr="00BE15B8">
        <w:rPr>
          <w:rFonts w:asciiTheme="minorHAnsi" w:eastAsiaTheme="minorEastAsia" w:hAnsiTheme="minorHAnsi"/>
          <w:color w:val="000000" w:themeColor="text1"/>
          <w:kern w:val="24"/>
          <w:lang w:val="en-GB"/>
        </w:rPr>
        <w:t xml:space="preserve"> customs based on the proportion of </w:t>
      </w:r>
      <w:r w:rsidR="00931E95" w:rsidRPr="00BE15B8">
        <w:rPr>
          <w:rFonts w:asciiTheme="minorHAnsi" w:eastAsiaTheme="minorEastAsia" w:hAnsiTheme="minorHAnsi"/>
          <w:color w:val="000000" w:themeColor="text1"/>
          <w:kern w:val="24"/>
          <w:lang w:val="en-GB"/>
        </w:rPr>
        <w:t>customs</w:t>
      </w:r>
      <w:r w:rsidRPr="00BE15B8">
        <w:rPr>
          <w:rFonts w:asciiTheme="minorHAnsi" w:eastAsiaTheme="minorEastAsia" w:hAnsiTheme="minorHAnsi"/>
          <w:color w:val="000000" w:themeColor="text1"/>
          <w:kern w:val="24"/>
          <w:lang w:val="en-GB"/>
        </w:rPr>
        <w:t xml:space="preserve"> officers allocated to combat illicit drug trafficking from the total number of </w:t>
      </w:r>
      <w:r w:rsidR="00931E95" w:rsidRPr="00BE15B8">
        <w:rPr>
          <w:rFonts w:asciiTheme="minorHAnsi" w:eastAsiaTheme="minorEastAsia" w:hAnsiTheme="minorHAnsi"/>
          <w:color w:val="000000" w:themeColor="text1"/>
          <w:kern w:val="24"/>
          <w:lang w:val="en-GB"/>
        </w:rPr>
        <w:t>customs</w:t>
      </w:r>
      <w:r w:rsidRPr="00BE15B8">
        <w:rPr>
          <w:rFonts w:asciiTheme="minorHAnsi" w:eastAsiaTheme="minorEastAsia" w:hAnsiTheme="minorHAnsi"/>
          <w:color w:val="000000" w:themeColor="text1"/>
          <w:kern w:val="24"/>
          <w:lang w:val="en-GB"/>
        </w:rPr>
        <w:t xml:space="preserve"> officers. This proportion </w:t>
      </w:r>
      <w:r w:rsidR="00931E95" w:rsidRPr="00BE15B8">
        <w:rPr>
          <w:rFonts w:asciiTheme="minorHAnsi" w:eastAsiaTheme="minorEastAsia" w:hAnsiTheme="minorHAnsi"/>
          <w:color w:val="000000" w:themeColor="text1"/>
          <w:kern w:val="24"/>
          <w:lang w:val="en-GB"/>
        </w:rPr>
        <w:t>constituted</w:t>
      </w:r>
      <w:r w:rsidRPr="00BE15B8">
        <w:rPr>
          <w:rFonts w:asciiTheme="minorHAnsi" w:eastAsiaTheme="minorEastAsia" w:hAnsiTheme="minorHAnsi"/>
          <w:color w:val="000000" w:themeColor="text1"/>
          <w:kern w:val="24"/>
          <w:lang w:val="en-GB"/>
        </w:rPr>
        <w:t xml:space="preserve"> then the attributable fraction applied to the total budget from customs. The authors conclude</w:t>
      </w:r>
      <w:r w:rsidR="00931E95" w:rsidRPr="00BE15B8">
        <w:rPr>
          <w:rFonts w:asciiTheme="minorHAnsi" w:eastAsiaTheme="minorEastAsia" w:hAnsiTheme="minorHAnsi"/>
          <w:color w:val="000000" w:themeColor="text1"/>
          <w:kern w:val="24"/>
          <w:lang w:val="en-GB"/>
        </w:rPr>
        <w:t>d</w:t>
      </w:r>
      <w:r w:rsidRPr="00BE15B8">
        <w:rPr>
          <w:rFonts w:asciiTheme="minorHAnsi" w:eastAsiaTheme="minorEastAsia" w:hAnsiTheme="minorHAnsi"/>
          <w:color w:val="000000" w:themeColor="text1"/>
          <w:kern w:val="24"/>
          <w:lang w:val="en-GB"/>
        </w:rPr>
        <w:t xml:space="preserve"> that in the year of 2000, drug-related spending on customs represented close to 10% of the total drug-related spending. Note that, as these authors remark</w:t>
      </w:r>
      <w:r w:rsidR="00931E95" w:rsidRPr="00BE15B8">
        <w:rPr>
          <w:rFonts w:asciiTheme="minorHAnsi" w:eastAsiaTheme="minorEastAsia" w:hAnsiTheme="minorHAnsi"/>
          <w:color w:val="000000" w:themeColor="text1"/>
          <w:kern w:val="24"/>
          <w:lang w:val="en-GB"/>
        </w:rPr>
        <w:t>ed</w:t>
      </w:r>
      <w:r w:rsidRPr="00BE15B8">
        <w:rPr>
          <w:rFonts w:asciiTheme="minorHAnsi" w:eastAsiaTheme="minorEastAsia" w:hAnsiTheme="minorHAnsi"/>
          <w:color w:val="000000" w:themeColor="text1"/>
          <w:kern w:val="24"/>
          <w:lang w:val="en-GB"/>
        </w:rPr>
        <w:t xml:space="preserve">, omitting costs such as those of detection equipment or detection dogs may constitute a relevant limitation since these costs of detecting machinery may have a strong impact </w:t>
      </w:r>
      <w:r w:rsidR="00931E95" w:rsidRPr="00BE15B8">
        <w:rPr>
          <w:rFonts w:asciiTheme="minorHAnsi" w:eastAsiaTheme="minorEastAsia" w:hAnsiTheme="minorHAnsi"/>
          <w:color w:val="000000" w:themeColor="text1"/>
          <w:kern w:val="24"/>
          <w:lang w:val="en-GB"/>
        </w:rPr>
        <w:t>on</w:t>
      </w:r>
      <w:r w:rsidRPr="00BE15B8">
        <w:rPr>
          <w:rFonts w:asciiTheme="minorHAnsi" w:eastAsiaTheme="minorEastAsia" w:hAnsiTheme="minorHAnsi"/>
          <w:color w:val="000000" w:themeColor="text1"/>
          <w:kern w:val="24"/>
          <w:lang w:val="en-GB"/>
        </w:rPr>
        <w:t xml:space="preserve"> relatively small budgets </w:t>
      </w:r>
      <w:r w:rsidR="00931E95" w:rsidRPr="00BE15B8">
        <w:rPr>
          <w:rFonts w:asciiTheme="minorHAnsi" w:eastAsiaTheme="minorEastAsia" w:hAnsiTheme="minorHAnsi"/>
          <w:color w:val="000000" w:themeColor="text1"/>
          <w:kern w:val="24"/>
          <w:lang w:val="en-GB"/>
        </w:rPr>
        <w:t>like</w:t>
      </w:r>
      <w:r w:rsidRPr="00BE15B8">
        <w:rPr>
          <w:rFonts w:asciiTheme="minorHAnsi" w:eastAsiaTheme="minorEastAsia" w:hAnsiTheme="minorHAnsi"/>
          <w:color w:val="000000" w:themeColor="text1"/>
          <w:kern w:val="24"/>
          <w:lang w:val="en-GB"/>
        </w:rPr>
        <w:t xml:space="preserve"> th</w:t>
      </w:r>
      <w:r w:rsidR="00931E95" w:rsidRPr="00BE15B8">
        <w:rPr>
          <w:rFonts w:asciiTheme="minorHAnsi" w:eastAsiaTheme="minorEastAsia" w:hAnsiTheme="minorHAnsi"/>
          <w:color w:val="000000" w:themeColor="text1"/>
          <w:kern w:val="24"/>
          <w:lang w:val="en-GB"/>
        </w:rPr>
        <w:t>e one</w:t>
      </w:r>
      <w:r w:rsidRPr="00BE15B8">
        <w:rPr>
          <w:rFonts w:asciiTheme="minorHAnsi" w:eastAsiaTheme="minorEastAsia" w:hAnsiTheme="minorHAnsi"/>
          <w:color w:val="000000" w:themeColor="text1"/>
          <w:kern w:val="24"/>
          <w:lang w:val="en-GB"/>
        </w:rPr>
        <w:t xml:space="preserve"> from customs.  </w:t>
      </w:r>
    </w:p>
    <w:p w:rsidR="006A75DA" w:rsidRPr="00BE15B8" w:rsidRDefault="006A75D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b/>
          <w:i/>
          <w:color w:val="000000" w:themeColor="text1"/>
          <w:kern w:val="24"/>
          <w:lang w:val="en-GB"/>
        </w:rPr>
      </w:pPr>
      <w:r w:rsidRPr="00BE15B8">
        <w:rPr>
          <w:rFonts w:asciiTheme="minorHAnsi" w:eastAsiaTheme="minorEastAsia" w:hAnsiTheme="minorHAnsi"/>
          <w:b/>
          <w:i/>
          <w:color w:val="000000" w:themeColor="text1"/>
          <w:kern w:val="24"/>
          <w:lang w:val="en-GB"/>
        </w:rPr>
        <w:t>Court systems</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Spending on drug-related court services has been extracted from the total of national expenditure on law courts based on the following activity data:  </w:t>
      </w:r>
    </w:p>
    <w:p w:rsidR="006944FA" w:rsidRPr="00BE15B8" w:rsidRDefault="006944FA" w:rsidP="006944FA">
      <w:pPr>
        <w:pStyle w:val="NormalWeb"/>
        <w:numPr>
          <w:ilvl w:val="0"/>
          <w:numId w:val="9"/>
        </w:numPr>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the proportion of reported drug-related offences on the total number of offences</w:t>
      </w:r>
    </w:p>
    <w:p w:rsidR="006944FA" w:rsidRPr="00BE15B8" w:rsidRDefault="006944FA" w:rsidP="006944FA">
      <w:pPr>
        <w:pStyle w:val="NormalWeb"/>
        <w:numPr>
          <w:ilvl w:val="0"/>
          <w:numId w:val="9"/>
        </w:numPr>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the proportion of drug-related offenses convictions on the </w:t>
      </w:r>
      <w:r w:rsidR="00F25C4B" w:rsidRPr="00BE15B8">
        <w:rPr>
          <w:rFonts w:asciiTheme="minorHAnsi" w:eastAsiaTheme="minorEastAsia" w:hAnsiTheme="minorHAnsi"/>
          <w:color w:val="000000" w:themeColor="text1"/>
          <w:kern w:val="24"/>
          <w:lang w:val="en-GB"/>
        </w:rPr>
        <w:t>total number of convictions</w:t>
      </w:r>
    </w:p>
    <w:p w:rsidR="006944FA" w:rsidRPr="00BE15B8" w:rsidRDefault="006944FA" w:rsidP="006944FA">
      <w:pPr>
        <w:pStyle w:val="NormalWeb"/>
        <w:numPr>
          <w:ilvl w:val="0"/>
          <w:numId w:val="9"/>
        </w:numPr>
        <w:kinsoku w:val="0"/>
        <w:overflowPunct w:val="0"/>
        <w:spacing w:before="0" w:beforeAutospacing="0" w:after="0" w:afterAutospacing="0" w:line="276" w:lineRule="auto"/>
        <w:jc w:val="both"/>
        <w:textAlignment w:val="baseline"/>
        <w:rPr>
          <w:rFonts w:asciiTheme="minorHAnsi" w:hAnsiTheme="minorHAnsi"/>
          <w:lang w:val="en-GB"/>
        </w:rPr>
      </w:pPr>
      <w:r w:rsidRPr="00BE15B8">
        <w:rPr>
          <w:rFonts w:asciiTheme="minorHAnsi" w:eastAsiaTheme="minorEastAsia" w:hAnsiTheme="minorHAnsi"/>
          <w:color w:val="000000" w:themeColor="text1"/>
          <w:kern w:val="24"/>
          <w:lang w:val="en-GB"/>
        </w:rPr>
        <w:t>the share of people imprisoned for drug-related offenses on the tot</w:t>
      </w:r>
      <w:r w:rsidR="00931E95" w:rsidRPr="00BE15B8">
        <w:rPr>
          <w:rFonts w:asciiTheme="minorHAnsi" w:eastAsiaTheme="minorEastAsia" w:hAnsiTheme="minorHAnsi"/>
          <w:color w:val="000000" w:themeColor="text1"/>
          <w:kern w:val="24"/>
          <w:lang w:val="en-GB"/>
        </w:rPr>
        <w:t>al number of prisoners</w:t>
      </w:r>
    </w:p>
    <w:p w:rsidR="006944FA" w:rsidRPr="00BE15B8" w:rsidRDefault="006944FA" w:rsidP="00931E95">
      <w:pPr>
        <w:pStyle w:val="NormalWeb"/>
        <w:kinsoku w:val="0"/>
        <w:overflowPunct w:val="0"/>
        <w:spacing w:before="0" w:beforeAutospacing="0" w:after="0" w:afterAutospacing="0" w:line="276" w:lineRule="auto"/>
        <w:ind w:left="360"/>
        <w:jc w:val="both"/>
        <w:textAlignment w:val="baseline"/>
        <w:rPr>
          <w:rFonts w:asciiTheme="minorHAnsi" w:hAnsiTheme="minorHAnsi"/>
          <w:lang w:val="en-GB"/>
        </w:rPr>
      </w:pP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hAnsiTheme="minorHAnsi"/>
          <w:lang w:val="en-GB"/>
        </w:rPr>
      </w:pPr>
      <w:r w:rsidRPr="00BE15B8">
        <w:rPr>
          <w:rFonts w:asciiTheme="minorHAnsi" w:hAnsiTheme="minorHAnsi"/>
          <w:lang w:val="en-GB"/>
        </w:rPr>
        <w:t xml:space="preserve">Koop and Fenoglio </w:t>
      </w:r>
      <w:r w:rsidR="00931E95" w:rsidRPr="00BE15B8">
        <w:rPr>
          <w:rFonts w:asciiTheme="minorHAnsi" w:hAnsiTheme="minorHAnsi"/>
          <w:lang w:val="en-GB"/>
        </w:rPr>
        <w:t>(</w:t>
      </w:r>
      <w:r w:rsidR="00337CB7" w:rsidRPr="00BE15B8">
        <w:rPr>
          <w:rFonts w:asciiTheme="minorHAnsi" w:hAnsiTheme="minorHAnsi"/>
          <w:lang w:val="en-GB"/>
        </w:rPr>
        <w:t>2002</w:t>
      </w:r>
      <w:r w:rsidR="00931E95" w:rsidRPr="00BE15B8">
        <w:rPr>
          <w:rFonts w:asciiTheme="minorHAnsi" w:hAnsiTheme="minorHAnsi"/>
          <w:lang w:val="en-GB"/>
        </w:rPr>
        <w:t xml:space="preserve">) </w:t>
      </w:r>
      <w:r w:rsidRPr="00BE15B8">
        <w:rPr>
          <w:rFonts w:asciiTheme="minorHAnsi" w:hAnsiTheme="minorHAnsi"/>
          <w:lang w:val="en-GB"/>
        </w:rPr>
        <w:t xml:space="preserve">estimated the </w:t>
      </w:r>
      <w:r w:rsidR="00931E95" w:rsidRPr="00BE15B8">
        <w:rPr>
          <w:rFonts w:asciiTheme="minorHAnsi" w:hAnsiTheme="minorHAnsi"/>
          <w:lang w:val="en-GB"/>
        </w:rPr>
        <w:t>expendi</w:t>
      </w:r>
      <w:r w:rsidR="00337CB7" w:rsidRPr="00BE15B8">
        <w:rPr>
          <w:rFonts w:asciiTheme="minorHAnsi" w:hAnsiTheme="minorHAnsi"/>
          <w:lang w:val="en-GB"/>
        </w:rPr>
        <w:t>t</w:t>
      </w:r>
      <w:r w:rsidR="00931E95" w:rsidRPr="00BE15B8">
        <w:rPr>
          <w:rFonts w:asciiTheme="minorHAnsi" w:hAnsiTheme="minorHAnsi"/>
          <w:lang w:val="en-GB"/>
        </w:rPr>
        <w:t>u</w:t>
      </w:r>
      <w:r w:rsidR="00337CB7" w:rsidRPr="00BE15B8">
        <w:rPr>
          <w:rFonts w:asciiTheme="minorHAnsi" w:hAnsiTheme="minorHAnsi"/>
          <w:lang w:val="en-GB"/>
        </w:rPr>
        <w:t>r</w:t>
      </w:r>
      <w:r w:rsidR="00931E95" w:rsidRPr="00BE15B8">
        <w:rPr>
          <w:rFonts w:asciiTheme="minorHAnsi" w:hAnsiTheme="minorHAnsi"/>
          <w:lang w:val="en-GB"/>
        </w:rPr>
        <w:t>es</w:t>
      </w:r>
      <w:r w:rsidRPr="00BE15B8">
        <w:rPr>
          <w:rFonts w:asciiTheme="minorHAnsi" w:hAnsiTheme="minorHAnsi"/>
          <w:lang w:val="en-GB"/>
        </w:rPr>
        <w:t xml:space="preserve"> that the drug-related crime represented for the French court system. The method they used </w:t>
      </w:r>
      <w:r w:rsidR="00F11B01" w:rsidRPr="00BE15B8">
        <w:rPr>
          <w:rFonts w:asciiTheme="minorHAnsi" w:hAnsiTheme="minorHAnsi"/>
          <w:lang w:val="en-GB"/>
        </w:rPr>
        <w:t>wa</w:t>
      </w:r>
      <w:r w:rsidRPr="00BE15B8">
        <w:rPr>
          <w:rFonts w:asciiTheme="minorHAnsi" w:hAnsiTheme="minorHAnsi"/>
          <w:lang w:val="en-GB"/>
        </w:rPr>
        <w:t>s based on the time spent by the various types of French judges and other type of administrative staff on drug-law cases, which was then multiplied by their average salaries. Based on this method, the authors concluded that law courts represented about 33% of the total drug-related public expenditure in France in 2000.</w:t>
      </w:r>
    </w:p>
    <w:p w:rsidR="00F11B01"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hAnsiTheme="minorHAnsi"/>
          <w:lang w:val="en-GB"/>
        </w:rPr>
      </w:pPr>
      <w:r w:rsidRPr="00BE15B8">
        <w:rPr>
          <w:rFonts w:asciiTheme="minorHAnsi" w:hAnsiTheme="minorHAnsi"/>
          <w:lang w:val="en-GB"/>
        </w:rPr>
        <w:t>In Croatia, the drug-related spending on courts encompasse</w:t>
      </w:r>
      <w:r w:rsidR="00F25C4B" w:rsidRPr="00BE15B8">
        <w:rPr>
          <w:rFonts w:asciiTheme="minorHAnsi" w:hAnsiTheme="minorHAnsi"/>
          <w:lang w:val="en-GB"/>
        </w:rPr>
        <w:t>d</w:t>
      </w:r>
      <w:r w:rsidRPr="00BE15B8">
        <w:rPr>
          <w:rFonts w:asciiTheme="minorHAnsi" w:hAnsiTheme="minorHAnsi"/>
          <w:lang w:val="en-GB"/>
        </w:rPr>
        <w:t xml:space="preserve"> the drug-related cases prosecuted by the State and the courts (</w:t>
      </w:r>
      <w:hyperlink r:id="rId9" w:tgtFrame="_self" w:history="1">
        <w:r w:rsidRPr="00BE15B8">
          <w:rPr>
            <w:rFonts w:asciiTheme="minorHAnsi" w:hAnsiTheme="minorHAnsi"/>
            <w:lang w:val="en-GB"/>
          </w:rPr>
          <w:t>Švaljek, S</w:t>
        </w:r>
      </w:hyperlink>
      <w:r w:rsidRPr="00BE15B8">
        <w:rPr>
          <w:rFonts w:asciiTheme="minorHAnsi" w:hAnsiTheme="minorHAnsi"/>
          <w:lang w:val="en-GB"/>
        </w:rPr>
        <w:t xml:space="preserve">. and </w:t>
      </w:r>
      <w:hyperlink r:id="rId10" w:tgtFrame="_self" w:history="1">
        <w:r w:rsidRPr="00BE15B8">
          <w:rPr>
            <w:rFonts w:asciiTheme="minorHAnsi" w:hAnsiTheme="minorHAnsi"/>
            <w:lang w:val="en-GB"/>
          </w:rPr>
          <w:t>Budak</w:t>
        </w:r>
      </w:hyperlink>
      <w:r w:rsidRPr="00BE15B8">
        <w:rPr>
          <w:rFonts w:asciiTheme="minorHAnsi" w:hAnsiTheme="minorHAnsi"/>
          <w:lang w:val="en-GB"/>
        </w:rPr>
        <w:t xml:space="preserve"> J., 2014). </w:t>
      </w:r>
    </w:p>
    <w:p w:rsidR="00F11B01" w:rsidRPr="00BE15B8" w:rsidRDefault="00F11B01" w:rsidP="006944FA">
      <w:pPr>
        <w:pStyle w:val="NormalWeb"/>
        <w:kinsoku w:val="0"/>
        <w:overflowPunct w:val="0"/>
        <w:spacing w:before="0" w:beforeAutospacing="0" w:after="0" w:afterAutospacing="0" w:line="276" w:lineRule="auto"/>
        <w:jc w:val="both"/>
        <w:textAlignment w:val="baseline"/>
        <w:rPr>
          <w:rFonts w:asciiTheme="minorHAnsi" w:hAnsiTheme="minorHAnsi"/>
          <w:lang w:val="en-GB"/>
        </w:rPr>
      </w:pP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hAnsiTheme="minorHAnsi"/>
          <w:lang w:val="en-GB"/>
        </w:rPr>
      </w:pPr>
      <w:r w:rsidRPr="00BE15B8">
        <w:rPr>
          <w:rFonts w:asciiTheme="minorHAnsi" w:hAnsiTheme="minorHAnsi"/>
          <w:lang w:val="en-GB"/>
        </w:rPr>
        <w:t>In Sweden, expenditures for drug-related prosecution and cases in courts (district, court of appeal and supreme court) were estimated by combining the number of cases and the average cost by case</w:t>
      </w:r>
      <w:r w:rsidR="00F11B01" w:rsidRPr="00BE15B8">
        <w:rPr>
          <w:rFonts w:asciiTheme="minorHAnsi" w:hAnsiTheme="minorHAnsi"/>
          <w:lang w:val="en-GB"/>
        </w:rPr>
        <w:t xml:space="preserve"> (Ramstedt, 2006)</w:t>
      </w:r>
      <w:r w:rsidRPr="00BE15B8">
        <w:rPr>
          <w:rFonts w:asciiTheme="minorHAnsi" w:hAnsiTheme="minorHAnsi"/>
          <w:lang w:val="en-GB"/>
        </w:rPr>
        <w:t xml:space="preserve">. These data were obtained from an expert official within the judiciary system. It should be noted that the average cost by case was not recorded by type of </w:t>
      </w:r>
      <w:r w:rsidRPr="00BE15B8">
        <w:rPr>
          <w:rFonts w:asciiTheme="minorHAnsi" w:hAnsiTheme="minorHAnsi"/>
          <w:lang w:val="en-GB"/>
        </w:rPr>
        <w:lastRenderedPageBreak/>
        <w:t xml:space="preserve">crime and the average for </w:t>
      </w:r>
      <w:r w:rsidR="00F11B01" w:rsidRPr="00BE15B8">
        <w:rPr>
          <w:rFonts w:asciiTheme="minorHAnsi" w:hAnsiTheme="minorHAnsi"/>
          <w:lang w:val="en-GB"/>
        </w:rPr>
        <w:t>all types of crimes wa</w:t>
      </w:r>
      <w:r w:rsidRPr="00BE15B8">
        <w:rPr>
          <w:rFonts w:asciiTheme="minorHAnsi" w:hAnsiTheme="minorHAnsi"/>
          <w:lang w:val="en-GB"/>
        </w:rPr>
        <w:t xml:space="preserve">s used as an indicator for drug crimes. Moreover, for the court of appeal and supreme court, only the </w:t>
      </w:r>
      <w:r w:rsidR="00F11B01" w:rsidRPr="00BE15B8">
        <w:rPr>
          <w:rFonts w:asciiTheme="minorHAnsi" w:hAnsiTheme="minorHAnsi"/>
          <w:lang w:val="en-GB"/>
        </w:rPr>
        <w:t>total number of criminal cases wa</w:t>
      </w:r>
      <w:r w:rsidRPr="00BE15B8">
        <w:rPr>
          <w:rFonts w:asciiTheme="minorHAnsi" w:hAnsiTheme="minorHAnsi"/>
          <w:lang w:val="en-GB"/>
        </w:rPr>
        <w:t>s available and the fraction of drug cases were estimated from the situation at the District courts (9%). Even more relevant for the range of estimates, th</w:t>
      </w:r>
      <w:r w:rsidR="00F11B01" w:rsidRPr="00BE15B8">
        <w:rPr>
          <w:rFonts w:asciiTheme="minorHAnsi" w:hAnsiTheme="minorHAnsi"/>
          <w:lang w:val="en-GB"/>
        </w:rPr>
        <w:t>e</w:t>
      </w:r>
      <w:r w:rsidRPr="00BE15B8">
        <w:rPr>
          <w:rFonts w:asciiTheme="minorHAnsi" w:hAnsiTheme="minorHAnsi"/>
          <w:lang w:val="en-GB"/>
        </w:rPr>
        <w:t xml:space="preserve"> author include</w:t>
      </w:r>
      <w:r w:rsidR="00F11B01" w:rsidRPr="00BE15B8">
        <w:rPr>
          <w:rFonts w:asciiTheme="minorHAnsi" w:hAnsiTheme="minorHAnsi"/>
          <w:lang w:val="en-GB"/>
        </w:rPr>
        <w:t>d</w:t>
      </w:r>
      <w:r w:rsidRPr="00BE15B8">
        <w:rPr>
          <w:rFonts w:asciiTheme="minorHAnsi" w:hAnsiTheme="minorHAnsi"/>
          <w:lang w:val="en-GB"/>
        </w:rPr>
        <w:t xml:space="preserve"> as an upper limit of estimates, a certain percentage of the costs of tackling other crimes if committed under the influence of drugs. In fact,</w:t>
      </w:r>
      <w:r w:rsidR="00F11B01" w:rsidRPr="00BE15B8">
        <w:rPr>
          <w:rFonts w:asciiTheme="minorHAnsi" w:hAnsiTheme="minorHAnsi"/>
          <w:lang w:val="en-GB"/>
        </w:rPr>
        <w:t xml:space="preserve"> the</w:t>
      </w:r>
      <w:r w:rsidRPr="00BE15B8">
        <w:rPr>
          <w:rFonts w:asciiTheme="minorHAnsi" w:hAnsiTheme="minorHAnsi"/>
          <w:lang w:val="en-GB"/>
        </w:rPr>
        <w:t xml:space="preserve"> author assumed that drug users were responsible for 30% of all recorded criminality. </w:t>
      </w:r>
      <w:r w:rsidR="00F25C4B" w:rsidRPr="00BE15B8">
        <w:rPr>
          <w:rFonts w:asciiTheme="minorHAnsi" w:hAnsiTheme="minorHAnsi"/>
          <w:lang w:val="en-GB"/>
        </w:rPr>
        <w:t>Given this approach</w:t>
      </w:r>
      <w:r w:rsidRPr="00BE15B8">
        <w:rPr>
          <w:rFonts w:asciiTheme="minorHAnsi" w:hAnsiTheme="minorHAnsi"/>
          <w:lang w:val="en-GB"/>
        </w:rPr>
        <w:t xml:space="preserve">, the model arrived to a lower range of estimates of 13 million euros and an upper limit close to 85 million euros. </w:t>
      </w:r>
    </w:p>
    <w:p w:rsidR="00F11B01" w:rsidRPr="00BE15B8" w:rsidRDefault="00F11B01" w:rsidP="006944FA">
      <w:pPr>
        <w:pStyle w:val="Default"/>
        <w:spacing w:line="276" w:lineRule="auto"/>
        <w:jc w:val="both"/>
        <w:rPr>
          <w:rFonts w:asciiTheme="minorHAnsi" w:hAnsiTheme="minorHAnsi" w:cs="Times New Roman"/>
          <w:b/>
          <w:i/>
        </w:rPr>
      </w:pPr>
    </w:p>
    <w:p w:rsidR="006944FA" w:rsidRPr="00BE15B8" w:rsidRDefault="006944FA" w:rsidP="006944FA">
      <w:pPr>
        <w:pStyle w:val="Default"/>
        <w:spacing w:line="276" w:lineRule="auto"/>
        <w:jc w:val="both"/>
        <w:rPr>
          <w:rFonts w:asciiTheme="minorHAnsi" w:hAnsiTheme="minorHAnsi" w:cs="Times New Roman"/>
          <w:b/>
          <w:i/>
        </w:rPr>
      </w:pPr>
      <w:r w:rsidRPr="00BE15B8">
        <w:rPr>
          <w:rFonts w:asciiTheme="minorHAnsi" w:hAnsiTheme="minorHAnsi" w:cs="Times New Roman"/>
          <w:b/>
          <w:i/>
        </w:rPr>
        <w:t>Prisons</w:t>
      </w:r>
    </w:p>
    <w:p w:rsidR="005F794A" w:rsidRPr="00BE15B8" w:rsidRDefault="005F794A" w:rsidP="005F794A">
      <w:pPr>
        <w:pStyle w:val="NormalWeb"/>
        <w:kinsoku w:val="0"/>
        <w:overflowPunct w:val="0"/>
        <w:spacing w:before="0" w:beforeAutospacing="0" w:after="0" w:afterAutospacing="0" w:line="276" w:lineRule="auto"/>
        <w:jc w:val="both"/>
        <w:textAlignment w:val="baseline"/>
        <w:rPr>
          <w:rFonts w:asciiTheme="minorHAnsi" w:hAnsiTheme="minorHAnsi"/>
          <w:color w:val="000000"/>
          <w:shd w:val="clear" w:color="auto" w:fill="FFFFFF"/>
          <w:lang w:val="en-GB"/>
        </w:rPr>
      </w:pPr>
      <w:r w:rsidRPr="00BE15B8">
        <w:rPr>
          <w:rFonts w:asciiTheme="minorHAnsi" w:eastAsiaTheme="minorEastAsia" w:hAnsiTheme="minorHAnsi"/>
          <w:color w:val="000000" w:themeColor="text1"/>
          <w:kern w:val="24"/>
          <w:lang w:val="en-GB"/>
        </w:rPr>
        <w:t xml:space="preserve">Unlabelled costs to combat drug abuse in the prison system can be estimated using the share of convicted prisoners for drug related offenses of overall convictions. </w:t>
      </w:r>
      <w:r w:rsidRPr="00BE15B8">
        <w:rPr>
          <w:rFonts w:asciiTheme="minorHAnsi" w:hAnsiTheme="minorHAnsi"/>
          <w:color w:val="000000"/>
          <w:shd w:val="clear" w:color="auto" w:fill="FFFFFF"/>
          <w:lang w:val="en-GB"/>
        </w:rPr>
        <w:t xml:space="preserve">For example, to estimate the drug-law offenses related expenditures in prisons, two elements have been taken into account: the overall prison expenditures for a given fiscal year, and the attributable proportion of prisoners convicted for drug-law offenses. </w:t>
      </w:r>
    </w:p>
    <w:p w:rsidR="005F794A" w:rsidRPr="00BE15B8" w:rsidRDefault="005F794A" w:rsidP="006944FA">
      <w:pPr>
        <w:pStyle w:val="Default"/>
        <w:spacing w:line="276" w:lineRule="auto"/>
        <w:jc w:val="both"/>
        <w:rPr>
          <w:rFonts w:asciiTheme="minorHAnsi" w:hAnsiTheme="minorHAnsi" w:cs="Times New Roman"/>
        </w:rPr>
      </w:pPr>
    </w:p>
    <w:p w:rsidR="006944FA" w:rsidRPr="00BE15B8" w:rsidRDefault="006944FA" w:rsidP="006944FA">
      <w:pPr>
        <w:pStyle w:val="Default"/>
        <w:spacing w:line="276" w:lineRule="auto"/>
        <w:jc w:val="both"/>
        <w:rPr>
          <w:rFonts w:asciiTheme="minorHAnsi" w:hAnsiTheme="minorHAnsi" w:cs="Times New Roman"/>
        </w:rPr>
      </w:pPr>
      <w:r w:rsidRPr="00BE15B8">
        <w:rPr>
          <w:rFonts w:asciiTheme="minorHAnsi" w:hAnsiTheme="minorHAnsi" w:cs="Times New Roman"/>
        </w:rPr>
        <w:t xml:space="preserve">EMCDDA (2014) provides an example of how public expenditure on drug-law offenders in prison can be estimated. Based on data for public expenditure on prisons provided by Eurostat and data on the number of law offenders provided by the Council of Europe, the proportion of sentenced prisoners who have a drug-law offence as their main offence was applied to total public expenditure on prisons. A range of estimates was calculated, with low estimates considering only those prisoners sentenced for a drug-law offence and high estimates also including pre-trial prisoners. Between 2000 and 2010, this expenditure </w:t>
      </w:r>
      <w:r w:rsidR="00F11B01" w:rsidRPr="00BE15B8">
        <w:rPr>
          <w:rFonts w:asciiTheme="minorHAnsi" w:hAnsiTheme="minorHAnsi" w:cs="Times New Roman"/>
        </w:rPr>
        <w:t>was</w:t>
      </w:r>
      <w:r w:rsidRPr="00BE15B8">
        <w:rPr>
          <w:rFonts w:asciiTheme="minorHAnsi" w:hAnsiTheme="minorHAnsi" w:cs="Times New Roman"/>
        </w:rPr>
        <w:t xml:space="preserve"> estimated to range </w:t>
      </w:r>
      <w:r w:rsidR="00F11B01" w:rsidRPr="00BE15B8">
        <w:rPr>
          <w:rFonts w:asciiTheme="minorHAnsi" w:hAnsiTheme="minorHAnsi" w:cs="Times New Roman"/>
        </w:rPr>
        <w:t>between</w:t>
      </w:r>
      <w:r w:rsidRPr="00BE15B8">
        <w:rPr>
          <w:rFonts w:asciiTheme="minorHAnsi" w:hAnsiTheme="minorHAnsi" w:cs="Times New Roman"/>
        </w:rPr>
        <w:t xml:space="preserve"> 0.03 % to 0.05 % of GDP, on average, in 22 European countries. By applying these percentages to the whole EU for the year 2010, it can be estimated that the expenditure varied within the range of EUR 3.7 billion to EUR 5.9 billion.</w:t>
      </w:r>
    </w:p>
    <w:p w:rsidR="005F794A" w:rsidRPr="00BE15B8" w:rsidRDefault="005F794A" w:rsidP="006944FA">
      <w:pPr>
        <w:pStyle w:val="Default"/>
        <w:spacing w:line="276" w:lineRule="auto"/>
        <w:jc w:val="both"/>
        <w:rPr>
          <w:rFonts w:asciiTheme="minorHAnsi" w:hAnsiTheme="minorHAnsi" w:cs="Times New Roman"/>
        </w:rPr>
      </w:pPr>
    </w:p>
    <w:p w:rsidR="006944FA" w:rsidRPr="00BE15B8" w:rsidRDefault="006944FA" w:rsidP="006944FA">
      <w:pPr>
        <w:spacing w:after="0" w:line="240" w:lineRule="auto"/>
        <w:jc w:val="both"/>
        <w:rPr>
          <w:rFonts w:asciiTheme="minorHAnsi" w:hAnsiTheme="minorHAnsi"/>
          <w:sz w:val="24"/>
          <w:szCs w:val="24"/>
        </w:rPr>
      </w:pPr>
    </w:p>
    <w:p w:rsidR="006944FA" w:rsidRPr="00BE15B8" w:rsidRDefault="006944FA" w:rsidP="006944FA">
      <w:pPr>
        <w:pStyle w:val="Default"/>
        <w:spacing w:line="276" w:lineRule="auto"/>
        <w:jc w:val="both"/>
        <w:rPr>
          <w:rFonts w:asciiTheme="minorHAnsi" w:hAnsiTheme="minorHAnsi" w:cs="Times New Roman"/>
          <w:b/>
          <w:i/>
        </w:rPr>
      </w:pPr>
      <w:r w:rsidRPr="00BE15B8">
        <w:rPr>
          <w:rFonts w:asciiTheme="minorHAnsi" w:hAnsiTheme="minorHAnsi" w:cs="Times New Roman"/>
          <w:b/>
          <w:i/>
        </w:rPr>
        <w:t>Reporting values of estimates</w:t>
      </w: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 xml:space="preserve">The basic format used to report the value of estimates is using monetary value in nominal terms. However, for the sake of time comparability, if reported in monetary units, estimates </w:t>
      </w:r>
      <w:r w:rsidR="005F794A" w:rsidRPr="00BE15B8">
        <w:rPr>
          <w:rFonts w:asciiTheme="minorHAnsi" w:hAnsiTheme="minorHAnsi"/>
          <w:sz w:val="24"/>
          <w:szCs w:val="24"/>
        </w:rPr>
        <w:t xml:space="preserve">should be </w:t>
      </w:r>
      <w:r w:rsidRPr="00BE15B8">
        <w:rPr>
          <w:rFonts w:asciiTheme="minorHAnsi" w:hAnsiTheme="minorHAnsi"/>
          <w:sz w:val="24"/>
          <w:szCs w:val="24"/>
        </w:rPr>
        <w:t xml:space="preserve">deflated by </w:t>
      </w:r>
      <w:r w:rsidR="005F794A" w:rsidRPr="00BE15B8">
        <w:rPr>
          <w:rFonts w:asciiTheme="minorHAnsi" w:hAnsiTheme="minorHAnsi"/>
          <w:sz w:val="24"/>
          <w:szCs w:val="24"/>
        </w:rPr>
        <w:t xml:space="preserve">the </w:t>
      </w:r>
      <w:r w:rsidRPr="00BE15B8">
        <w:rPr>
          <w:rFonts w:asciiTheme="minorHAnsi" w:hAnsiTheme="minorHAnsi"/>
          <w:sz w:val="24"/>
          <w:szCs w:val="24"/>
        </w:rPr>
        <w:t>inflation</w:t>
      </w:r>
      <w:r w:rsidR="005F794A" w:rsidRPr="00BE15B8">
        <w:rPr>
          <w:rFonts w:asciiTheme="minorHAnsi" w:hAnsiTheme="minorHAnsi"/>
          <w:sz w:val="24"/>
          <w:szCs w:val="24"/>
        </w:rPr>
        <w:t xml:space="preserve"> rate</w:t>
      </w:r>
      <w:r w:rsidRPr="00BE15B8">
        <w:rPr>
          <w:rFonts w:asciiTheme="minorHAnsi" w:hAnsiTheme="minorHAnsi"/>
          <w:sz w:val="24"/>
          <w:szCs w:val="24"/>
        </w:rPr>
        <w:t xml:space="preserve">. </w:t>
      </w:r>
      <w:r w:rsidR="003A4E20" w:rsidRPr="00BE15B8">
        <w:rPr>
          <w:rFonts w:asciiTheme="minorHAnsi" w:hAnsiTheme="minorHAnsi"/>
          <w:sz w:val="24"/>
          <w:szCs w:val="24"/>
        </w:rPr>
        <w:t>Further</w:t>
      </w:r>
      <w:r w:rsidRPr="00BE15B8">
        <w:rPr>
          <w:rFonts w:asciiTheme="minorHAnsi" w:hAnsiTheme="minorHAnsi"/>
          <w:sz w:val="24"/>
          <w:szCs w:val="24"/>
        </w:rPr>
        <w:t xml:space="preserve">, some authors report also in percentage of the </w:t>
      </w:r>
      <w:r w:rsidR="003B7F95" w:rsidRPr="00BE15B8">
        <w:rPr>
          <w:rFonts w:asciiTheme="minorHAnsi" w:hAnsiTheme="minorHAnsi"/>
          <w:sz w:val="24"/>
          <w:szCs w:val="24"/>
        </w:rPr>
        <w:t xml:space="preserve">GDP </w:t>
      </w:r>
      <w:r w:rsidRPr="00BE15B8">
        <w:rPr>
          <w:rFonts w:asciiTheme="minorHAnsi" w:hAnsiTheme="minorHAnsi"/>
          <w:sz w:val="24"/>
          <w:szCs w:val="24"/>
        </w:rPr>
        <w:t>(</w:t>
      </w:r>
      <w:r w:rsidR="003B7F95" w:rsidRPr="00BE15B8">
        <w:rPr>
          <w:rFonts w:asciiTheme="minorHAnsi" w:hAnsiTheme="minorHAnsi"/>
          <w:sz w:val="24"/>
          <w:szCs w:val="24"/>
        </w:rPr>
        <w:t>gross domestic product</w:t>
      </w:r>
      <w:r w:rsidRPr="00BE15B8">
        <w:rPr>
          <w:rFonts w:asciiTheme="minorHAnsi" w:hAnsiTheme="minorHAnsi"/>
          <w:sz w:val="24"/>
          <w:szCs w:val="24"/>
        </w:rPr>
        <w:t>). This way of presenting results</w:t>
      </w:r>
      <w:r w:rsidR="003B7F95" w:rsidRPr="00BE15B8">
        <w:rPr>
          <w:rFonts w:asciiTheme="minorHAnsi" w:hAnsiTheme="minorHAnsi"/>
          <w:sz w:val="24"/>
          <w:szCs w:val="24"/>
        </w:rPr>
        <w:t xml:space="preserve"> </w:t>
      </w:r>
      <w:r w:rsidRPr="00BE15B8">
        <w:rPr>
          <w:rFonts w:asciiTheme="minorHAnsi" w:hAnsiTheme="minorHAnsi"/>
          <w:sz w:val="24"/>
          <w:szCs w:val="24"/>
        </w:rPr>
        <w:t xml:space="preserve">considers also the economic dimension of a country. It is likely that </w:t>
      </w:r>
      <w:r w:rsidR="003B7F95" w:rsidRPr="00BE15B8">
        <w:rPr>
          <w:rFonts w:asciiTheme="minorHAnsi" w:hAnsiTheme="minorHAnsi"/>
          <w:sz w:val="24"/>
          <w:szCs w:val="24"/>
        </w:rPr>
        <w:t xml:space="preserve">drug-related </w:t>
      </w:r>
      <w:r w:rsidRPr="00BE15B8">
        <w:rPr>
          <w:rFonts w:asciiTheme="minorHAnsi" w:hAnsiTheme="minorHAnsi"/>
          <w:sz w:val="24"/>
          <w:szCs w:val="24"/>
        </w:rPr>
        <w:t xml:space="preserve">spending is higher in a country with 85 million inhabitants compared to a country with 10 million inhabitants. The same holds for a </w:t>
      </w:r>
      <w:r w:rsidR="003A4E20" w:rsidRPr="00BE15B8">
        <w:rPr>
          <w:rFonts w:asciiTheme="minorHAnsi" w:hAnsiTheme="minorHAnsi"/>
          <w:sz w:val="24"/>
          <w:szCs w:val="24"/>
        </w:rPr>
        <w:t xml:space="preserve">higher income </w:t>
      </w:r>
      <w:r w:rsidRPr="00BE15B8">
        <w:rPr>
          <w:rFonts w:asciiTheme="minorHAnsi" w:hAnsiTheme="minorHAnsi"/>
          <w:sz w:val="24"/>
          <w:szCs w:val="24"/>
        </w:rPr>
        <w:t xml:space="preserve">country (EMCDDA, 2008). For these reasons, reporting the value of estimates in percentage of the GDP is a valid choice since, </w:t>
      </w:r>
      <w:r w:rsidR="003B7F95" w:rsidRPr="00BE15B8">
        <w:rPr>
          <w:rFonts w:asciiTheme="minorHAnsi" w:hAnsiTheme="minorHAnsi"/>
          <w:sz w:val="24"/>
          <w:szCs w:val="24"/>
        </w:rPr>
        <w:t xml:space="preserve">as it accounts effectively both for </w:t>
      </w:r>
      <w:r w:rsidRPr="00BE15B8">
        <w:rPr>
          <w:rFonts w:asciiTheme="minorHAnsi" w:hAnsiTheme="minorHAnsi"/>
          <w:sz w:val="24"/>
          <w:szCs w:val="24"/>
        </w:rPr>
        <w:t>the inflation problem</w:t>
      </w:r>
      <w:r w:rsidR="003B7F95" w:rsidRPr="00BE15B8">
        <w:rPr>
          <w:rFonts w:asciiTheme="minorHAnsi" w:hAnsiTheme="minorHAnsi"/>
          <w:sz w:val="24"/>
          <w:szCs w:val="24"/>
        </w:rPr>
        <w:t xml:space="preserve"> and</w:t>
      </w:r>
      <w:r w:rsidRPr="00BE15B8">
        <w:rPr>
          <w:rFonts w:asciiTheme="minorHAnsi" w:hAnsiTheme="minorHAnsi"/>
          <w:sz w:val="24"/>
          <w:szCs w:val="24"/>
        </w:rPr>
        <w:t xml:space="preserve"> the size and level of income of a country. Another frequently used approach is reporting the value of spending per number of problem drug users. In this case, authors take into </w:t>
      </w:r>
      <w:r w:rsidR="003B7F95" w:rsidRPr="00BE15B8">
        <w:rPr>
          <w:rFonts w:asciiTheme="minorHAnsi" w:hAnsiTheme="minorHAnsi"/>
          <w:sz w:val="24"/>
          <w:szCs w:val="24"/>
        </w:rPr>
        <w:t>account</w:t>
      </w:r>
      <w:r w:rsidRPr="00BE15B8">
        <w:rPr>
          <w:rFonts w:asciiTheme="minorHAnsi" w:hAnsiTheme="minorHAnsi"/>
          <w:sz w:val="24"/>
          <w:szCs w:val="24"/>
        </w:rPr>
        <w:t xml:space="preserve"> the dimension of the drug problem. </w:t>
      </w:r>
      <w:r w:rsidR="003B7F95" w:rsidRPr="00BE15B8">
        <w:rPr>
          <w:rFonts w:asciiTheme="minorHAnsi" w:hAnsiTheme="minorHAnsi"/>
          <w:sz w:val="24"/>
          <w:szCs w:val="24"/>
        </w:rPr>
        <w:t>R</w:t>
      </w:r>
      <w:r w:rsidRPr="00BE15B8">
        <w:rPr>
          <w:rFonts w:asciiTheme="minorHAnsi" w:hAnsiTheme="minorHAnsi"/>
          <w:sz w:val="24"/>
          <w:szCs w:val="24"/>
        </w:rPr>
        <w:t>eport</w:t>
      </w:r>
      <w:r w:rsidR="003B7F95" w:rsidRPr="00BE15B8">
        <w:rPr>
          <w:rFonts w:asciiTheme="minorHAnsi" w:hAnsiTheme="minorHAnsi"/>
          <w:sz w:val="24"/>
          <w:szCs w:val="24"/>
        </w:rPr>
        <w:t>ing</w:t>
      </w:r>
      <w:r w:rsidRPr="00BE15B8">
        <w:rPr>
          <w:rFonts w:asciiTheme="minorHAnsi" w:hAnsiTheme="minorHAnsi"/>
          <w:sz w:val="24"/>
          <w:szCs w:val="24"/>
        </w:rPr>
        <w:t xml:space="preserve"> all these </w:t>
      </w:r>
      <w:r w:rsidR="003B7F95" w:rsidRPr="00BE15B8">
        <w:rPr>
          <w:rFonts w:asciiTheme="minorHAnsi" w:hAnsiTheme="minorHAnsi"/>
          <w:sz w:val="24"/>
          <w:szCs w:val="24"/>
        </w:rPr>
        <w:t xml:space="preserve">complementary </w:t>
      </w:r>
      <w:r w:rsidR="003B7F95" w:rsidRPr="00BE15B8">
        <w:rPr>
          <w:rFonts w:asciiTheme="minorHAnsi" w:hAnsiTheme="minorHAnsi"/>
          <w:sz w:val="24"/>
          <w:szCs w:val="24"/>
        </w:rPr>
        <w:lastRenderedPageBreak/>
        <w:t>measures of drug-</w:t>
      </w:r>
      <w:r w:rsidRPr="00BE15B8">
        <w:rPr>
          <w:rFonts w:asciiTheme="minorHAnsi" w:hAnsiTheme="minorHAnsi"/>
          <w:sz w:val="24"/>
          <w:szCs w:val="24"/>
        </w:rPr>
        <w:t xml:space="preserve">related public spending </w:t>
      </w:r>
      <w:r w:rsidR="003B7F95" w:rsidRPr="00BE15B8">
        <w:rPr>
          <w:rFonts w:asciiTheme="minorHAnsi" w:hAnsiTheme="minorHAnsi"/>
          <w:sz w:val="24"/>
          <w:szCs w:val="24"/>
        </w:rPr>
        <w:t>will</w:t>
      </w:r>
      <w:r w:rsidRPr="00BE15B8">
        <w:rPr>
          <w:rFonts w:asciiTheme="minorHAnsi" w:hAnsiTheme="minorHAnsi"/>
          <w:sz w:val="24"/>
          <w:szCs w:val="24"/>
        </w:rPr>
        <w:t xml:space="preserve"> increase economic meaning </w:t>
      </w:r>
      <w:r w:rsidR="003B7F95" w:rsidRPr="00BE15B8">
        <w:rPr>
          <w:rFonts w:asciiTheme="minorHAnsi" w:hAnsiTheme="minorHAnsi"/>
          <w:sz w:val="24"/>
          <w:szCs w:val="24"/>
        </w:rPr>
        <w:t xml:space="preserve">and utility </w:t>
      </w:r>
      <w:r w:rsidRPr="00BE15B8">
        <w:rPr>
          <w:rFonts w:asciiTheme="minorHAnsi" w:hAnsiTheme="minorHAnsi"/>
          <w:sz w:val="24"/>
          <w:szCs w:val="24"/>
        </w:rPr>
        <w:t xml:space="preserve">of </w:t>
      </w:r>
      <w:r w:rsidR="001E3368" w:rsidRPr="00BE15B8">
        <w:rPr>
          <w:rFonts w:asciiTheme="minorHAnsi" w:hAnsiTheme="minorHAnsi"/>
          <w:sz w:val="24"/>
          <w:szCs w:val="24"/>
        </w:rPr>
        <w:t xml:space="preserve">the </w:t>
      </w:r>
      <w:r w:rsidRPr="00BE15B8">
        <w:rPr>
          <w:rFonts w:asciiTheme="minorHAnsi" w:hAnsiTheme="minorHAnsi"/>
          <w:sz w:val="24"/>
          <w:szCs w:val="24"/>
        </w:rPr>
        <w:t>estimates.</w:t>
      </w:r>
    </w:p>
    <w:p w:rsidR="00B8544C" w:rsidRPr="00BE15B8" w:rsidRDefault="00B8544C" w:rsidP="00B8544C">
      <w:pPr>
        <w:spacing w:after="0" w:line="240" w:lineRule="auto"/>
        <w:jc w:val="both"/>
        <w:rPr>
          <w:rFonts w:asciiTheme="minorHAnsi" w:hAnsiTheme="minorHAnsi"/>
          <w:sz w:val="24"/>
          <w:szCs w:val="24"/>
        </w:rPr>
      </w:pPr>
    </w:p>
    <w:p w:rsidR="00372055" w:rsidRPr="00BE15B8" w:rsidRDefault="00372055" w:rsidP="00372055">
      <w:pPr>
        <w:spacing w:after="0"/>
        <w:jc w:val="both"/>
        <w:rPr>
          <w:rFonts w:asciiTheme="minorHAnsi" w:hAnsiTheme="minorHAnsi"/>
          <w:sz w:val="24"/>
          <w:szCs w:val="24"/>
        </w:rPr>
      </w:pPr>
    </w:p>
    <w:p w:rsidR="00355AFB" w:rsidRPr="00BE15B8" w:rsidRDefault="00355AFB" w:rsidP="00355AFB">
      <w:pPr>
        <w:pStyle w:val="HTML-forhndsformatert"/>
        <w:shd w:val="clear" w:color="auto" w:fill="FFFFFF"/>
        <w:spacing w:line="276" w:lineRule="auto"/>
        <w:jc w:val="both"/>
        <w:rPr>
          <w:rFonts w:asciiTheme="minorHAnsi" w:hAnsiTheme="minorHAnsi" w:cs="Times New Roman"/>
          <w:b/>
          <w:iCs/>
          <w:sz w:val="28"/>
          <w:szCs w:val="28"/>
          <w:lang w:val="en-GB"/>
        </w:rPr>
      </w:pPr>
      <w:r w:rsidRPr="00BE15B8">
        <w:rPr>
          <w:rFonts w:asciiTheme="minorHAnsi" w:hAnsiTheme="minorHAnsi" w:cs="Times New Roman"/>
          <w:b/>
          <w:iCs/>
          <w:sz w:val="28"/>
          <w:szCs w:val="28"/>
          <w:lang w:val="en-GB"/>
        </w:rPr>
        <w:t>Examples of national studies</w:t>
      </w:r>
    </w:p>
    <w:p w:rsidR="00372055" w:rsidRPr="00BE15B8" w:rsidRDefault="00E82F1C" w:rsidP="00372055">
      <w:pPr>
        <w:spacing w:after="0"/>
        <w:jc w:val="both"/>
        <w:rPr>
          <w:rFonts w:asciiTheme="minorHAnsi" w:hAnsiTheme="minorHAnsi"/>
          <w:sz w:val="24"/>
          <w:szCs w:val="24"/>
        </w:rPr>
      </w:pPr>
      <w:r w:rsidRPr="00BE15B8">
        <w:rPr>
          <w:rFonts w:asciiTheme="minorHAnsi" w:hAnsiTheme="minorHAnsi"/>
          <w:sz w:val="24"/>
          <w:szCs w:val="24"/>
        </w:rPr>
        <w:t xml:space="preserve">As mentioned, </w:t>
      </w:r>
      <w:r w:rsidR="005562B1" w:rsidRPr="00BE15B8">
        <w:rPr>
          <w:rFonts w:asciiTheme="minorHAnsi" w:hAnsiTheme="minorHAnsi"/>
          <w:sz w:val="24"/>
          <w:szCs w:val="24"/>
        </w:rPr>
        <w:t>to get more comparable results</w:t>
      </w:r>
      <w:r w:rsidR="001E3368" w:rsidRPr="00BE15B8">
        <w:rPr>
          <w:rFonts w:asciiTheme="minorHAnsi" w:hAnsiTheme="minorHAnsi"/>
          <w:sz w:val="24"/>
          <w:szCs w:val="24"/>
        </w:rPr>
        <w:t xml:space="preserve"> cross-nationally,</w:t>
      </w:r>
      <w:r w:rsidR="005562B1" w:rsidRPr="00BE15B8">
        <w:rPr>
          <w:rFonts w:asciiTheme="minorHAnsi" w:hAnsiTheme="minorHAnsi"/>
          <w:sz w:val="24"/>
          <w:szCs w:val="24"/>
        </w:rPr>
        <w:t xml:space="preserve"> </w:t>
      </w:r>
      <w:r w:rsidRPr="00BE15B8">
        <w:rPr>
          <w:rFonts w:asciiTheme="minorHAnsi" w:hAnsiTheme="minorHAnsi"/>
          <w:sz w:val="24"/>
          <w:szCs w:val="24"/>
        </w:rPr>
        <w:t xml:space="preserve">one </w:t>
      </w:r>
      <w:r w:rsidR="005562B1" w:rsidRPr="00BE15B8">
        <w:rPr>
          <w:rFonts w:asciiTheme="minorHAnsi" w:hAnsiTheme="minorHAnsi"/>
          <w:sz w:val="24"/>
          <w:szCs w:val="24"/>
        </w:rPr>
        <w:t>recommended</w:t>
      </w:r>
      <w:r w:rsidRPr="00BE15B8">
        <w:rPr>
          <w:rFonts w:asciiTheme="minorHAnsi" w:hAnsiTheme="minorHAnsi"/>
          <w:sz w:val="24"/>
          <w:szCs w:val="24"/>
        </w:rPr>
        <w:t xml:space="preserve"> </w:t>
      </w:r>
      <w:r w:rsidR="00372055" w:rsidRPr="00BE15B8">
        <w:rPr>
          <w:rFonts w:asciiTheme="minorHAnsi" w:hAnsiTheme="minorHAnsi"/>
          <w:sz w:val="24"/>
          <w:szCs w:val="24"/>
        </w:rPr>
        <w:t xml:space="preserve">methodology </w:t>
      </w:r>
      <w:r w:rsidRPr="00BE15B8">
        <w:rPr>
          <w:rFonts w:asciiTheme="minorHAnsi" w:hAnsiTheme="minorHAnsi"/>
          <w:sz w:val="24"/>
          <w:szCs w:val="24"/>
        </w:rPr>
        <w:t xml:space="preserve">is the use </w:t>
      </w:r>
      <w:r w:rsidR="00372055" w:rsidRPr="00BE15B8">
        <w:rPr>
          <w:rFonts w:asciiTheme="minorHAnsi" w:hAnsiTheme="minorHAnsi"/>
          <w:sz w:val="24"/>
          <w:szCs w:val="24"/>
        </w:rPr>
        <w:t xml:space="preserve">of repartition keys for categories according </w:t>
      </w:r>
      <w:r w:rsidR="005562B1" w:rsidRPr="00BE15B8">
        <w:rPr>
          <w:rFonts w:asciiTheme="minorHAnsi" w:hAnsiTheme="minorHAnsi"/>
          <w:sz w:val="24"/>
          <w:szCs w:val="24"/>
        </w:rPr>
        <w:t xml:space="preserve">to COFOG. </w:t>
      </w:r>
      <w:r w:rsidR="00372055" w:rsidRPr="00BE15B8">
        <w:rPr>
          <w:rFonts w:asciiTheme="minorHAnsi" w:hAnsiTheme="minorHAnsi"/>
          <w:sz w:val="24"/>
          <w:szCs w:val="24"/>
        </w:rPr>
        <w:t xml:space="preserve"> In the past, </w:t>
      </w:r>
      <w:r w:rsidR="005562B1" w:rsidRPr="00BE15B8">
        <w:rPr>
          <w:rFonts w:asciiTheme="minorHAnsi" w:hAnsiTheme="minorHAnsi"/>
          <w:sz w:val="24"/>
          <w:szCs w:val="24"/>
        </w:rPr>
        <w:t xml:space="preserve">however, </w:t>
      </w:r>
      <w:r w:rsidR="00372055" w:rsidRPr="00BE15B8">
        <w:rPr>
          <w:rFonts w:asciiTheme="minorHAnsi" w:hAnsiTheme="minorHAnsi"/>
          <w:sz w:val="24"/>
          <w:szCs w:val="24"/>
        </w:rPr>
        <w:t xml:space="preserve">only </w:t>
      </w:r>
      <w:r w:rsidR="001E3368" w:rsidRPr="00BE15B8">
        <w:rPr>
          <w:rFonts w:asciiTheme="minorHAnsi" w:hAnsiTheme="minorHAnsi"/>
          <w:sz w:val="24"/>
          <w:szCs w:val="24"/>
        </w:rPr>
        <w:t>a few</w:t>
      </w:r>
      <w:r w:rsidR="00372055" w:rsidRPr="00BE15B8">
        <w:rPr>
          <w:rFonts w:asciiTheme="minorHAnsi" w:hAnsiTheme="minorHAnsi"/>
          <w:sz w:val="24"/>
          <w:szCs w:val="24"/>
        </w:rPr>
        <w:t xml:space="preserve"> studies divide</w:t>
      </w:r>
      <w:r w:rsidR="001E3368" w:rsidRPr="00BE15B8">
        <w:rPr>
          <w:rFonts w:asciiTheme="minorHAnsi" w:hAnsiTheme="minorHAnsi"/>
          <w:sz w:val="24"/>
          <w:szCs w:val="24"/>
        </w:rPr>
        <w:t>d</w:t>
      </w:r>
      <w:r w:rsidR="00372055" w:rsidRPr="00BE15B8">
        <w:rPr>
          <w:rFonts w:asciiTheme="minorHAnsi" w:hAnsiTheme="minorHAnsi"/>
          <w:sz w:val="24"/>
          <w:szCs w:val="24"/>
        </w:rPr>
        <w:t xml:space="preserve"> the total drug-related expenditures according to the COFOG classification. Today, national focal points or national drug observatories, which are national institutions or agencies responsible for data collection and reporting on drugs and drug addiction in each EU member state, </w:t>
      </w:r>
      <w:r w:rsidR="001E3368" w:rsidRPr="00BE15B8">
        <w:rPr>
          <w:rFonts w:asciiTheme="minorHAnsi" w:hAnsiTheme="minorHAnsi"/>
          <w:sz w:val="24"/>
          <w:szCs w:val="24"/>
        </w:rPr>
        <w:t>employ</w:t>
      </w:r>
      <w:r w:rsidR="00372055" w:rsidRPr="00BE15B8">
        <w:rPr>
          <w:rFonts w:asciiTheme="minorHAnsi" w:hAnsiTheme="minorHAnsi"/>
          <w:sz w:val="24"/>
          <w:szCs w:val="24"/>
        </w:rPr>
        <w:t xml:space="preserve"> as far as possible </w:t>
      </w:r>
      <w:r w:rsidR="001E3368" w:rsidRPr="00BE15B8">
        <w:rPr>
          <w:rFonts w:asciiTheme="minorHAnsi" w:hAnsiTheme="minorHAnsi"/>
          <w:sz w:val="24"/>
          <w:szCs w:val="24"/>
        </w:rPr>
        <w:t xml:space="preserve">the COFOG system </w:t>
      </w:r>
      <w:r w:rsidR="00372055" w:rsidRPr="00BE15B8">
        <w:rPr>
          <w:rFonts w:asciiTheme="minorHAnsi" w:hAnsiTheme="minorHAnsi"/>
          <w:sz w:val="24"/>
          <w:szCs w:val="24"/>
        </w:rPr>
        <w:t xml:space="preserve">to classify the drug-related expenditures for the EMCDDA reports. </w:t>
      </w:r>
    </w:p>
    <w:p w:rsidR="00372055" w:rsidRPr="00BE15B8" w:rsidRDefault="00372055" w:rsidP="00372055">
      <w:pPr>
        <w:spacing w:after="0"/>
        <w:jc w:val="both"/>
        <w:rPr>
          <w:rFonts w:asciiTheme="minorHAnsi" w:hAnsiTheme="minorHAnsi"/>
          <w:sz w:val="24"/>
          <w:szCs w:val="24"/>
        </w:rPr>
      </w:pPr>
    </w:p>
    <w:p w:rsidR="00355AFB" w:rsidRPr="00BE15B8" w:rsidRDefault="00355AFB" w:rsidP="00355AFB">
      <w:pPr>
        <w:pStyle w:val="NormalWeb"/>
        <w:kinsoku w:val="0"/>
        <w:overflowPunct w:val="0"/>
        <w:spacing w:before="0" w:beforeAutospacing="0" w:after="0" w:afterAutospacing="0" w:line="276" w:lineRule="auto"/>
        <w:jc w:val="both"/>
        <w:textAlignment w:val="baseline"/>
        <w:rPr>
          <w:rFonts w:asciiTheme="minorHAnsi" w:hAnsiTheme="minorHAnsi"/>
          <w:lang w:val="en-GB"/>
        </w:rPr>
      </w:pPr>
      <w:r w:rsidRPr="00BE15B8">
        <w:rPr>
          <w:rFonts w:asciiTheme="minorHAnsi" w:hAnsiTheme="minorHAnsi"/>
          <w:lang w:val="en-GB"/>
        </w:rPr>
        <w:t xml:space="preserve">Several examples of </w:t>
      </w:r>
      <w:r w:rsidR="005562B1" w:rsidRPr="00BE15B8">
        <w:rPr>
          <w:rFonts w:asciiTheme="minorHAnsi" w:hAnsiTheme="minorHAnsi"/>
          <w:lang w:val="en-GB"/>
        </w:rPr>
        <w:t xml:space="preserve">various </w:t>
      </w:r>
      <w:r w:rsidRPr="00BE15B8">
        <w:rPr>
          <w:rFonts w:asciiTheme="minorHAnsi" w:hAnsiTheme="minorHAnsi"/>
          <w:lang w:val="en-GB"/>
        </w:rPr>
        <w:t xml:space="preserve">models have been applied in different national contexts to identify labelled and unlabelled expenditure allocated to drug control initiatives. Due to their national specificities, their external validity </w:t>
      </w:r>
      <w:r w:rsidR="00752FA9" w:rsidRPr="00BE15B8">
        <w:rPr>
          <w:rFonts w:asciiTheme="minorHAnsi" w:hAnsiTheme="minorHAnsi"/>
          <w:lang w:val="en-GB"/>
        </w:rPr>
        <w:t>have</w:t>
      </w:r>
      <w:r w:rsidRPr="00BE15B8">
        <w:rPr>
          <w:rFonts w:asciiTheme="minorHAnsi" w:hAnsiTheme="minorHAnsi"/>
          <w:lang w:val="en-GB"/>
        </w:rPr>
        <w:t xml:space="preserve"> </w:t>
      </w:r>
      <w:r w:rsidR="005562B1" w:rsidRPr="00BE15B8">
        <w:rPr>
          <w:rFonts w:asciiTheme="minorHAnsi" w:hAnsiTheme="minorHAnsi"/>
          <w:lang w:val="en-GB"/>
        </w:rPr>
        <w:t>not</w:t>
      </w:r>
      <w:r w:rsidR="00752FA9" w:rsidRPr="00BE15B8">
        <w:rPr>
          <w:rFonts w:asciiTheme="minorHAnsi" w:hAnsiTheme="minorHAnsi"/>
          <w:lang w:val="en-GB"/>
        </w:rPr>
        <w:t xml:space="preserve"> been tested. Still,</w:t>
      </w:r>
      <w:r w:rsidRPr="00BE15B8">
        <w:rPr>
          <w:rFonts w:asciiTheme="minorHAnsi" w:hAnsiTheme="minorHAnsi"/>
          <w:lang w:val="en-GB"/>
        </w:rPr>
        <w:t xml:space="preserve"> </w:t>
      </w:r>
      <w:r w:rsidR="001E3368" w:rsidRPr="00BE15B8">
        <w:rPr>
          <w:rFonts w:asciiTheme="minorHAnsi" w:hAnsiTheme="minorHAnsi"/>
          <w:lang w:val="en-GB"/>
        </w:rPr>
        <w:t xml:space="preserve">they </w:t>
      </w:r>
      <w:r w:rsidRPr="00BE15B8">
        <w:rPr>
          <w:rFonts w:asciiTheme="minorHAnsi" w:hAnsiTheme="minorHAnsi"/>
          <w:lang w:val="en-GB"/>
        </w:rPr>
        <w:t xml:space="preserve">can provide useful models and examples of estimates, </w:t>
      </w:r>
      <w:r w:rsidR="001E3368" w:rsidRPr="00BE15B8">
        <w:rPr>
          <w:rFonts w:asciiTheme="minorHAnsi" w:hAnsiTheme="minorHAnsi"/>
          <w:lang w:val="en-GB"/>
        </w:rPr>
        <w:t>even when</w:t>
      </w:r>
      <w:r w:rsidRPr="00BE15B8">
        <w:rPr>
          <w:rFonts w:asciiTheme="minorHAnsi" w:hAnsiTheme="minorHAnsi"/>
          <w:lang w:val="en-GB"/>
        </w:rPr>
        <w:t xml:space="preserve"> there are no further data collections and estimations exercises implemented.  </w:t>
      </w:r>
    </w:p>
    <w:p w:rsidR="00355AFB" w:rsidRPr="00BE15B8" w:rsidRDefault="00355AFB" w:rsidP="00355AFB">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rsidR="00355AFB" w:rsidRPr="00BE15B8" w:rsidRDefault="00355AFB" w:rsidP="00355AFB">
      <w:pPr>
        <w:pStyle w:val="NormalWeb"/>
        <w:kinsoku w:val="0"/>
        <w:overflowPunct w:val="0"/>
        <w:spacing w:before="0" w:beforeAutospacing="0" w:after="0" w:afterAutospacing="0" w:line="276" w:lineRule="auto"/>
        <w:jc w:val="both"/>
        <w:textAlignment w:val="baseline"/>
        <w:rPr>
          <w:rFonts w:asciiTheme="minorHAnsi" w:eastAsiaTheme="minorEastAsia" w:hAnsiTheme="minorHAnsi"/>
          <w:b/>
          <w:i/>
          <w:color w:val="000000" w:themeColor="text1"/>
          <w:kern w:val="24"/>
          <w:lang w:val="en-GB"/>
        </w:rPr>
      </w:pPr>
      <w:r w:rsidRPr="00BE15B8">
        <w:rPr>
          <w:rFonts w:asciiTheme="minorHAnsi" w:eastAsiaTheme="minorEastAsia" w:hAnsiTheme="minorHAnsi"/>
          <w:b/>
          <w:i/>
          <w:color w:val="000000" w:themeColor="text1"/>
          <w:kern w:val="24"/>
          <w:lang w:val="en-GB"/>
        </w:rPr>
        <w:t>Croatia</w:t>
      </w:r>
    </w:p>
    <w:p w:rsidR="00355AFB" w:rsidRPr="00BE15B8" w:rsidRDefault="00355AFB" w:rsidP="00355AFB">
      <w:pPr>
        <w:pStyle w:val="NormalWeb"/>
        <w:kinsoku w:val="0"/>
        <w:overflowPunct w:val="0"/>
        <w:spacing w:before="0" w:beforeAutospacing="0" w:after="0" w:afterAutospacing="0" w:line="276" w:lineRule="auto"/>
        <w:jc w:val="both"/>
        <w:textAlignment w:val="baseline"/>
        <w:rPr>
          <w:rFonts w:asciiTheme="minorHAnsi" w:hAnsiTheme="minorHAnsi"/>
          <w:lang w:val="en-GB"/>
        </w:rPr>
      </w:pPr>
      <w:r w:rsidRPr="00BE15B8">
        <w:rPr>
          <w:rFonts w:asciiTheme="minorHAnsi" w:eastAsiaTheme="minorEastAsia" w:hAnsiTheme="minorHAnsi"/>
          <w:color w:val="000000" w:themeColor="text1"/>
          <w:kern w:val="24"/>
          <w:lang w:val="en-GB"/>
        </w:rPr>
        <w:t>The methodology for estimating unlabelled public expenditures used in the Croatian study (</w:t>
      </w:r>
      <w:r w:rsidRPr="00BE15B8">
        <w:rPr>
          <w:rFonts w:asciiTheme="minorHAnsi" w:hAnsiTheme="minorHAnsi"/>
          <w:lang w:val="en-GB"/>
        </w:rPr>
        <w:t>Budak et al., 2013</w:t>
      </w:r>
      <w:r w:rsidRPr="00BE15B8">
        <w:rPr>
          <w:rFonts w:asciiTheme="minorHAnsi" w:hAnsiTheme="minorHAnsi"/>
          <w:bCs/>
          <w:lang w:val="en-GB"/>
        </w:rPr>
        <w:t>)</w:t>
      </w:r>
      <w:r w:rsidRPr="00BE15B8">
        <w:rPr>
          <w:rFonts w:asciiTheme="minorHAnsi" w:eastAsiaTheme="minorEastAsia" w:hAnsiTheme="minorHAnsi"/>
          <w:color w:val="000000" w:themeColor="text1"/>
          <w:kern w:val="24"/>
          <w:lang w:val="en-GB"/>
        </w:rPr>
        <w:t xml:space="preserve"> is based on the assumption that unlabelled public expenditures make up the part of public expenditures which remains after labelled public expenditures for combating drug abuse are deducted from total public expenditures of a public body. Unlabelled expenditures were estimated with the support </w:t>
      </w:r>
      <w:r w:rsidR="00D40D71" w:rsidRPr="00BE15B8">
        <w:rPr>
          <w:rFonts w:asciiTheme="minorHAnsi" w:eastAsiaTheme="minorEastAsia" w:hAnsiTheme="minorHAnsi"/>
          <w:color w:val="000000" w:themeColor="text1"/>
          <w:kern w:val="24"/>
          <w:lang w:val="en-GB"/>
        </w:rPr>
        <w:t xml:space="preserve">of </w:t>
      </w:r>
      <w:r w:rsidRPr="00BE15B8">
        <w:rPr>
          <w:rFonts w:asciiTheme="minorHAnsi" w:eastAsiaTheme="minorEastAsia" w:hAnsiTheme="minorHAnsi"/>
          <w:color w:val="000000" w:themeColor="text1"/>
          <w:kern w:val="24"/>
          <w:lang w:val="en-GB"/>
        </w:rPr>
        <w:t xml:space="preserve">supply reduction activity data, which </w:t>
      </w:r>
      <w:r w:rsidR="00D40D71" w:rsidRPr="00BE15B8">
        <w:rPr>
          <w:rFonts w:asciiTheme="minorHAnsi" w:eastAsiaTheme="minorEastAsia" w:hAnsiTheme="minorHAnsi"/>
          <w:color w:val="000000" w:themeColor="text1"/>
          <w:kern w:val="24"/>
          <w:lang w:val="en-GB"/>
        </w:rPr>
        <w:t xml:space="preserve">were </w:t>
      </w:r>
      <w:r w:rsidRPr="00BE15B8">
        <w:rPr>
          <w:rFonts w:asciiTheme="minorHAnsi" w:eastAsiaTheme="minorEastAsia" w:hAnsiTheme="minorHAnsi"/>
          <w:color w:val="000000" w:themeColor="text1"/>
          <w:kern w:val="24"/>
          <w:lang w:val="en-GB"/>
        </w:rPr>
        <w:t>the base for building attributable fractions.</w:t>
      </w:r>
    </w:p>
    <w:p w:rsidR="00355AFB" w:rsidRPr="00BE15B8" w:rsidRDefault="00355AFB" w:rsidP="00355AFB">
      <w:pPr>
        <w:spacing w:after="0"/>
        <w:jc w:val="both"/>
        <w:rPr>
          <w:rFonts w:asciiTheme="minorHAnsi" w:hAnsiTheme="minorHAnsi"/>
          <w:sz w:val="24"/>
          <w:szCs w:val="24"/>
        </w:rPr>
      </w:pPr>
    </w:p>
    <w:p w:rsidR="00355AFB" w:rsidRPr="00BE15B8" w:rsidRDefault="00355AFB" w:rsidP="00355AFB">
      <w:pPr>
        <w:pStyle w:val="Default"/>
        <w:spacing w:line="276" w:lineRule="auto"/>
        <w:jc w:val="both"/>
        <w:rPr>
          <w:rFonts w:asciiTheme="minorHAnsi" w:hAnsiTheme="minorHAnsi" w:cs="Times New Roman"/>
          <w:b/>
          <w:i/>
        </w:rPr>
      </w:pPr>
      <w:r w:rsidRPr="00BE15B8">
        <w:rPr>
          <w:rFonts w:asciiTheme="minorHAnsi" w:hAnsiTheme="minorHAnsi" w:cs="Times New Roman"/>
          <w:b/>
          <w:i/>
        </w:rPr>
        <w:t>Belgium</w:t>
      </w:r>
    </w:p>
    <w:p w:rsidR="00AC6F82" w:rsidRPr="00BE15B8" w:rsidRDefault="00355AFB" w:rsidP="00355AFB">
      <w:pPr>
        <w:spacing w:after="0"/>
        <w:jc w:val="both"/>
        <w:rPr>
          <w:rFonts w:asciiTheme="minorHAnsi" w:hAnsiTheme="minorHAnsi"/>
          <w:sz w:val="24"/>
          <w:szCs w:val="24"/>
        </w:rPr>
      </w:pPr>
      <w:r w:rsidRPr="00BE15B8">
        <w:rPr>
          <w:rFonts w:asciiTheme="minorHAnsi" w:hAnsiTheme="minorHAnsi"/>
          <w:sz w:val="24"/>
          <w:szCs w:val="24"/>
        </w:rPr>
        <w:t xml:space="preserve">Two Belgian studies (De Ruyver et al., 2004, 2007) </w:t>
      </w:r>
      <w:r w:rsidR="00935358" w:rsidRPr="00BE15B8">
        <w:rPr>
          <w:rFonts w:asciiTheme="minorHAnsi" w:hAnsiTheme="minorHAnsi"/>
          <w:sz w:val="24"/>
          <w:szCs w:val="24"/>
        </w:rPr>
        <w:t xml:space="preserve">and a follow up (Lievens et al, 2016) </w:t>
      </w:r>
      <w:r w:rsidRPr="00BE15B8">
        <w:rPr>
          <w:rFonts w:asciiTheme="minorHAnsi" w:hAnsiTheme="minorHAnsi"/>
          <w:sz w:val="24"/>
          <w:szCs w:val="24"/>
        </w:rPr>
        <w:t>present the results of expenditure on law enforcement according to the different levels of the crimin</w:t>
      </w:r>
      <w:r w:rsidR="00AC6F82" w:rsidRPr="00BE15B8">
        <w:rPr>
          <w:rFonts w:asciiTheme="minorHAnsi" w:hAnsiTheme="minorHAnsi"/>
          <w:sz w:val="24"/>
          <w:szCs w:val="24"/>
        </w:rPr>
        <w:t>al justice system. Distinction wa</w:t>
      </w:r>
      <w:r w:rsidRPr="00BE15B8">
        <w:rPr>
          <w:rFonts w:asciiTheme="minorHAnsi" w:hAnsiTheme="minorHAnsi"/>
          <w:sz w:val="24"/>
          <w:szCs w:val="24"/>
        </w:rPr>
        <w:t>s made between the levels of investigation, prosecution, sentencing</w:t>
      </w:r>
      <w:r w:rsidR="001734B3" w:rsidRPr="00BE15B8">
        <w:rPr>
          <w:rFonts w:asciiTheme="minorHAnsi" w:hAnsiTheme="minorHAnsi"/>
          <w:sz w:val="24"/>
          <w:szCs w:val="24"/>
        </w:rPr>
        <w:t xml:space="preserve">, the </w:t>
      </w:r>
      <w:r w:rsidRPr="00BE15B8">
        <w:rPr>
          <w:rFonts w:asciiTheme="minorHAnsi" w:hAnsiTheme="minorHAnsi"/>
          <w:sz w:val="24"/>
          <w:szCs w:val="24"/>
        </w:rPr>
        <w:t xml:space="preserve"> execution of sentences</w:t>
      </w:r>
      <w:r w:rsidR="001734B3" w:rsidRPr="00BE15B8">
        <w:rPr>
          <w:rFonts w:asciiTheme="minorHAnsi" w:hAnsiTheme="minorHAnsi"/>
          <w:sz w:val="24"/>
          <w:szCs w:val="24"/>
        </w:rPr>
        <w:t>, coordination and research</w:t>
      </w:r>
      <w:r w:rsidRPr="00BE15B8">
        <w:rPr>
          <w:rFonts w:asciiTheme="minorHAnsi" w:hAnsiTheme="minorHAnsi"/>
          <w:sz w:val="24"/>
          <w:szCs w:val="24"/>
        </w:rPr>
        <w:t xml:space="preserve">. Law enforcement was subdivided into (1) actual law enforcement activity and (2) interdiction measures (Moore, 2005). </w:t>
      </w:r>
    </w:p>
    <w:p w:rsidR="00AC6F82" w:rsidRPr="00BE15B8" w:rsidRDefault="00AC6F82" w:rsidP="00355AFB">
      <w:pPr>
        <w:spacing w:after="0"/>
        <w:jc w:val="both"/>
        <w:rPr>
          <w:rFonts w:asciiTheme="minorHAnsi" w:hAnsiTheme="minorHAnsi"/>
          <w:sz w:val="24"/>
          <w:szCs w:val="24"/>
        </w:rPr>
      </w:pPr>
    </w:p>
    <w:p w:rsidR="00355AFB" w:rsidRPr="00BE15B8" w:rsidRDefault="00355AFB" w:rsidP="00355AFB">
      <w:pPr>
        <w:spacing w:after="0"/>
        <w:jc w:val="both"/>
        <w:rPr>
          <w:rFonts w:asciiTheme="minorHAnsi" w:hAnsiTheme="minorHAnsi"/>
          <w:b/>
          <w:i/>
          <w:iCs/>
          <w:sz w:val="24"/>
          <w:szCs w:val="24"/>
        </w:rPr>
      </w:pPr>
      <w:r w:rsidRPr="00BE15B8">
        <w:rPr>
          <w:rFonts w:asciiTheme="minorHAnsi" w:hAnsiTheme="minorHAnsi"/>
          <w:b/>
          <w:i/>
          <w:iCs/>
          <w:sz w:val="24"/>
          <w:szCs w:val="24"/>
        </w:rPr>
        <w:t>Italy</w:t>
      </w:r>
    </w:p>
    <w:p w:rsidR="00355AFB" w:rsidRPr="00BE15B8" w:rsidRDefault="00355AFB" w:rsidP="003A4E20">
      <w:pPr>
        <w:spacing w:after="0"/>
        <w:jc w:val="both"/>
        <w:rPr>
          <w:rFonts w:asciiTheme="minorHAnsi" w:hAnsiTheme="minorHAnsi"/>
          <w:iCs/>
          <w:sz w:val="24"/>
          <w:szCs w:val="24"/>
        </w:rPr>
      </w:pPr>
      <w:r w:rsidRPr="00BE15B8">
        <w:rPr>
          <w:rFonts w:asciiTheme="minorHAnsi" w:hAnsiTheme="minorHAnsi"/>
          <w:iCs/>
          <w:sz w:val="24"/>
          <w:szCs w:val="24"/>
        </w:rPr>
        <w:t xml:space="preserve">In the process of estimating the Italian </w:t>
      </w:r>
      <w:r w:rsidRPr="00BE15B8">
        <w:rPr>
          <w:rFonts w:asciiTheme="minorHAnsi" w:eastAsia="Arial Unicode MS" w:hAnsiTheme="minorHAnsi"/>
          <w:sz w:val="24"/>
          <w:szCs w:val="24"/>
          <w:shd w:val="clear" w:color="auto" w:fill="FFFFFF"/>
        </w:rPr>
        <w:t xml:space="preserve">drug-related </w:t>
      </w:r>
      <w:r w:rsidRPr="00BE15B8">
        <w:rPr>
          <w:rFonts w:asciiTheme="minorHAnsi" w:hAnsiTheme="minorHAnsi"/>
          <w:iCs/>
          <w:sz w:val="24"/>
          <w:szCs w:val="24"/>
        </w:rPr>
        <w:t>public expenditure</w:t>
      </w:r>
      <w:r w:rsidRPr="00BE15B8">
        <w:rPr>
          <w:rFonts w:asciiTheme="minorHAnsi" w:eastAsia="Arial Unicode MS" w:hAnsiTheme="minorHAnsi"/>
          <w:sz w:val="24"/>
          <w:szCs w:val="24"/>
          <w:shd w:val="clear" w:color="auto" w:fill="FFFFFF"/>
        </w:rPr>
        <w:t xml:space="preserve"> (Serpelloni</w:t>
      </w:r>
      <w:r w:rsidRPr="00BE15B8">
        <w:rPr>
          <w:rFonts w:asciiTheme="minorHAnsi" w:hAnsiTheme="minorHAnsi"/>
          <w:sz w:val="24"/>
          <w:szCs w:val="24"/>
        </w:rPr>
        <w:t xml:space="preserve"> et al., 2013)</w:t>
      </w:r>
      <w:r w:rsidRPr="00BE15B8">
        <w:rPr>
          <w:rFonts w:asciiTheme="minorHAnsi" w:eastAsia="Arial Unicode MS" w:hAnsiTheme="minorHAnsi"/>
          <w:sz w:val="24"/>
          <w:szCs w:val="24"/>
          <w:shd w:val="clear" w:color="auto" w:fill="FFFFFF"/>
        </w:rPr>
        <w:t xml:space="preserve"> a model </w:t>
      </w:r>
      <w:r w:rsidRPr="00BE15B8">
        <w:rPr>
          <w:rFonts w:asciiTheme="minorHAnsi" w:hAnsiTheme="minorHAnsi"/>
          <w:iCs/>
          <w:sz w:val="24"/>
          <w:szCs w:val="24"/>
        </w:rPr>
        <w:t>was developed for analysing the flow of information sources. This model consists of four components: private or indirect costs (individual costs and costs due to loss of productive capacity) and public expenditure or direct</w:t>
      </w:r>
      <w:r w:rsidR="00AC6F82" w:rsidRPr="00BE15B8">
        <w:rPr>
          <w:rFonts w:asciiTheme="minorHAnsi" w:hAnsiTheme="minorHAnsi"/>
          <w:iCs/>
          <w:sz w:val="24"/>
          <w:szCs w:val="24"/>
        </w:rPr>
        <w:t xml:space="preserve"> costs (costs of law enforcement</w:t>
      </w:r>
      <w:r w:rsidRPr="00BE15B8">
        <w:rPr>
          <w:rFonts w:asciiTheme="minorHAnsi" w:hAnsiTheme="minorHAnsi"/>
          <w:iCs/>
          <w:sz w:val="24"/>
          <w:szCs w:val="24"/>
        </w:rPr>
        <w:t xml:space="preserve">, social and health costs). To determine the costs of law enforcement, three different sources of information </w:t>
      </w:r>
      <w:r w:rsidRPr="00BE15B8">
        <w:rPr>
          <w:rFonts w:asciiTheme="minorHAnsi" w:hAnsiTheme="minorHAnsi"/>
          <w:iCs/>
          <w:sz w:val="24"/>
          <w:szCs w:val="24"/>
        </w:rPr>
        <w:lastRenderedPageBreak/>
        <w:t>were used: data about traffic control and traffic accidents, police data on people who were caught with drugs for personal use; data on the number of convictions for drug trafficking and; data on crimes related to drug trafficking.</w:t>
      </w:r>
    </w:p>
    <w:p w:rsidR="00355AFB" w:rsidRPr="00BE15B8" w:rsidRDefault="00355AFB">
      <w:pPr>
        <w:spacing w:after="0"/>
        <w:jc w:val="both"/>
        <w:rPr>
          <w:rFonts w:asciiTheme="minorHAnsi" w:hAnsiTheme="minorHAnsi"/>
          <w:iCs/>
          <w:sz w:val="24"/>
          <w:szCs w:val="24"/>
        </w:rPr>
      </w:pPr>
    </w:p>
    <w:p w:rsidR="00355AFB" w:rsidRPr="00BE15B8" w:rsidRDefault="00355AFB" w:rsidP="00355AFB">
      <w:pPr>
        <w:spacing w:after="0"/>
        <w:jc w:val="both"/>
        <w:rPr>
          <w:rFonts w:asciiTheme="minorHAnsi" w:hAnsiTheme="minorHAnsi"/>
          <w:b/>
          <w:i/>
          <w:sz w:val="24"/>
          <w:szCs w:val="24"/>
        </w:rPr>
      </w:pPr>
      <w:r w:rsidRPr="00BE15B8">
        <w:rPr>
          <w:rFonts w:asciiTheme="minorHAnsi" w:hAnsiTheme="minorHAnsi"/>
          <w:b/>
          <w:i/>
          <w:sz w:val="24"/>
          <w:szCs w:val="24"/>
        </w:rPr>
        <w:t>France</w:t>
      </w:r>
    </w:p>
    <w:p w:rsidR="00355AFB" w:rsidRPr="00BE15B8" w:rsidRDefault="00355AFB" w:rsidP="00355AFB">
      <w:pPr>
        <w:spacing w:after="0"/>
        <w:jc w:val="both"/>
        <w:rPr>
          <w:rFonts w:asciiTheme="minorHAnsi" w:hAnsiTheme="minorHAnsi"/>
          <w:sz w:val="24"/>
          <w:szCs w:val="24"/>
        </w:rPr>
      </w:pPr>
      <w:r w:rsidRPr="00BE15B8">
        <w:rPr>
          <w:rFonts w:asciiTheme="minorHAnsi" w:hAnsiTheme="minorHAnsi"/>
          <w:sz w:val="24"/>
          <w:szCs w:val="24"/>
        </w:rPr>
        <w:t xml:space="preserve">In </w:t>
      </w:r>
      <w:r w:rsidR="00F459CF" w:rsidRPr="00BE15B8">
        <w:rPr>
          <w:rFonts w:asciiTheme="minorHAnsi" w:hAnsiTheme="minorHAnsi"/>
          <w:sz w:val="24"/>
          <w:szCs w:val="24"/>
        </w:rPr>
        <w:t>a French</w:t>
      </w:r>
      <w:r w:rsidRPr="00BE15B8">
        <w:rPr>
          <w:rFonts w:asciiTheme="minorHAnsi" w:hAnsiTheme="minorHAnsi"/>
          <w:sz w:val="24"/>
          <w:szCs w:val="24"/>
        </w:rPr>
        <w:t xml:space="preserve"> study</w:t>
      </w:r>
      <w:r w:rsidR="005151DE" w:rsidRPr="00BE15B8">
        <w:rPr>
          <w:rFonts w:asciiTheme="minorHAnsi" w:hAnsiTheme="minorHAnsi"/>
          <w:sz w:val="24"/>
          <w:szCs w:val="24"/>
        </w:rPr>
        <w:t xml:space="preserve"> </w:t>
      </w:r>
      <w:r w:rsidRPr="00BE15B8">
        <w:rPr>
          <w:rFonts w:asciiTheme="minorHAnsi" w:hAnsiTheme="minorHAnsi"/>
          <w:sz w:val="24"/>
          <w:szCs w:val="24"/>
        </w:rPr>
        <w:t>the applied method relied on analysing activity records wherever available in the concerned services</w:t>
      </w:r>
      <w:r w:rsidR="00AC6F82" w:rsidRPr="00BE15B8">
        <w:rPr>
          <w:rFonts w:asciiTheme="minorHAnsi" w:hAnsiTheme="minorHAnsi"/>
          <w:sz w:val="24"/>
          <w:szCs w:val="24"/>
        </w:rPr>
        <w:t xml:space="preserve"> (Kopp, 2015)</w:t>
      </w:r>
      <w:r w:rsidRPr="00BE15B8">
        <w:rPr>
          <w:rFonts w:asciiTheme="minorHAnsi" w:hAnsiTheme="minorHAnsi"/>
          <w:sz w:val="24"/>
          <w:szCs w:val="24"/>
        </w:rPr>
        <w:t xml:space="preserve">. The estimation method varied from one activity to another depending on the availability of records. The total expenditure for drug-related activities was then aggregated. The applied top-down approach in this case provided an indication of the proportion of expenditure for drug control related activities as compared to the overall expenditures of the institutions and services concerned. </w:t>
      </w:r>
      <w:r w:rsidR="00601304" w:rsidRPr="00BE15B8">
        <w:rPr>
          <w:rFonts w:asciiTheme="minorHAnsi" w:hAnsiTheme="minorHAnsi"/>
          <w:sz w:val="24"/>
          <w:szCs w:val="24"/>
        </w:rPr>
        <w:t>To obtain an</w:t>
      </w:r>
      <w:r w:rsidRPr="00BE15B8">
        <w:rPr>
          <w:rFonts w:asciiTheme="minorHAnsi" w:hAnsiTheme="minorHAnsi"/>
          <w:sz w:val="24"/>
          <w:szCs w:val="24"/>
        </w:rPr>
        <w:t xml:space="preserve"> estimate, a fraction was applied to the total cost of staff and regular functioning of the service concerned. For the year 2010, for example, 10% of police activities were attributable to control activities, involving 60 police units accounting for several hundreds of thousands of hours/police officers. In this example, police expenditures attributable to drug-related activities have been calculated by multiplying the total expenditure of the police services by the fraction of 10%. </w:t>
      </w:r>
    </w:p>
    <w:p w:rsidR="00355AFB" w:rsidRPr="00BE15B8" w:rsidRDefault="00355AFB" w:rsidP="00355AFB">
      <w:pPr>
        <w:spacing w:after="0"/>
        <w:jc w:val="both"/>
        <w:rPr>
          <w:rFonts w:asciiTheme="minorHAnsi" w:hAnsiTheme="minorHAnsi"/>
          <w:sz w:val="24"/>
          <w:szCs w:val="24"/>
        </w:rPr>
      </w:pPr>
    </w:p>
    <w:p w:rsidR="00355AFB" w:rsidRPr="00BE15B8" w:rsidRDefault="00355AFB" w:rsidP="000C3617">
      <w:pPr>
        <w:spacing w:after="0"/>
        <w:jc w:val="both"/>
        <w:rPr>
          <w:rFonts w:asciiTheme="minorHAnsi" w:hAnsiTheme="minorHAnsi"/>
          <w:sz w:val="24"/>
          <w:szCs w:val="24"/>
        </w:rPr>
      </w:pPr>
      <w:r w:rsidRPr="00BE15B8">
        <w:rPr>
          <w:rFonts w:asciiTheme="minorHAnsi" w:hAnsiTheme="minorHAnsi"/>
          <w:sz w:val="24"/>
          <w:szCs w:val="24"/>
        </w:rPr>
        <w:t>The bottom up approach was also used based on the work time spent by staff in charge of supporting drug-related activities or the equipment used as recorded by the concerned services.</w:t>
      </w:r>
      <w:r w:rsidR="00601304" w:rsidRPr="00BE15B8">
        <w:rPr>
          <w:rFonts w:asciiTheme="minorHAnsi" w:hAnsiTheme="minorHAnsi"/>
          <w:sz w:val="24"/>
          <w:szCs w:val="24"/>
        </w:rPr>
        <w:t xml:space="preserve"> F</w:t>
      </w:r>
      <w:r w:rsidRPr="00BE15B8">
        <w:rPr>
          <w:rFonts w:asciiTheme="minorHAnsi" w:hAnsiTheme="minorHAnsi"/>
          <w:sz w:val="24"/>
          <w:szCs w:val="24"/>
        </w:rPr>
        <w:t>or example</w:t>
      </w:r>
      <w:r w:rsidR="00601304" w:rsidRPr="00BE15B8">
        <w:rPr>
          <w:rFonts w:asciiTheme="minorHAnsi" w:hAnsiTheme="minorHAnsi"/>
          <w:sz w:val="24"/>
          <w:szCs w:val="24"/>
        </w:rPr>
        <w:t>,</w:t>
      </w:r>
      <w:r w:rsidRPr="00BE15B8">
        <w:rPr>
          <w:rFonts w:asciiTheme="minorHAnsi" w:hAnsiTheme="minorHAnsi"/>
          <w:sz w:val="24"/>
          <w:szCs w:val="24"/>
        </w:rPr>
        <w:t xml:space="preserve"> the hours of prevention interventions in schools </w:t>
      </w:r>
      <w:r w:rsidR="00601304" w:rsidRPr="00BE15B8">
        <w:rPr>
          <w:rFonts w:asciiTheme="minorHAnsi" w:hAnsiTheme="minorHAnsi"/>
          <w:sz w:val="24"/>
          <w:szCs w:val="24"/>
        </w:rPr>
        <w:t>and</w:t>
      </w:r>
      <w:r w:rsidRPr="00BE15B8">
        <w:rPr>
          <w:rFonts w:asciiTheme="minorHAnsi" w:hAnsiTheme="minorHAnsi"/>
          <w:sz w:val="24"/>
          <w:szCs w:val="24"/>
        </w:rPr>
        <w:t xml:space="preserve"> </w:t>
      </w:r>
      <w:r w:rsidR="00601304" w:rsidRPr="00BE15B8">
        <w:rPr>
          <w:rFonts w:asciiTheme="minorHAnsi" w:hAnsiTheme="minorHAnsi"/>
          <w:sz w:val="24"/>
          <w:szCs w:val="24"/>
        </w:rPr>
        <w:t xml:space="preserve">the time spent by the police forces on </w:t>
      </w:r>
      <w:r w:rsidRPr="00BE15B8">
        <w:rPr>
          <w:rFonts w:asciiTheme="minorHAnsi" w:hAnsiTheme="minorHAnsi"/>
          <w:sz w:val="24"/>
          <w:szCs w:val="24"/>
        </w:rPr>
        <w:t xml:space="preserve">the alcohol tests </w:t>
      </w:r>
      <w:r w:rsidR="00601304" w:rsidRPr="00BE15B8">
        <w:rPr>
          <w:rFonts w:asciiTheme="minorHAnsi" w:hAnsiTheme="minorHAnsi"/>
          <w:sz w:val="24"/>
          <w:szCs w:val="24"/>
        </w:rPr>
        <w:t>were employed in calculations.</w:t>
      </w:r>
    </w:p>
    <w:p w:rsidR="00F134FF" w:rsidRPr="00BE15B8" w:rsidRDefault="005A2BBF" w:rsidP="00AA55E3">
      <w:pPr>
        <w:pStyle w:val="NormalWeb"/>
        <w:rPr>
          <w:rFonts w:asciiTheme="minorHAnsi" w:hAnsiTheme="minorHAnsi"/>
          <w:b/>
          <w:bCs/>
          <w:i/>
          <w:color w:val="000000"/>
          <w:lang w:val="en-GB"/>
        </w:rPr>
      </w:pPr>
      <w:r w:rsidRPr="00BE15B8">
        <w:rPr>
          <w:rFonts w:asciiTheme="minorHAnsi" w:hAnsiTheme="minorHAnsi"/>
          <w:b/>
          <w:bCs/>
          <w:i/>
          <w:color w:val="000000"/>
          <w:lang w:val="en-GB"/>
        </w:rPr>
        <w:t>Luxembourg</w:t>
      </w:r>
    </w:p>
    <w:p w:rsidR="002F55CD" w:rsidRPr="00BE15B8" w:rsidRDefault="00BF74F9" w:rsidP="00950737">
      <w:pPr>
        <w:pStyle w:val="NormalWeb"/>
        <w:spacing w:line="276" w:lineRule="auto"/>
        <w:jc w:val="both"/>
        <w:rPr>
          <w:rFonts w:asciiTheme="minorHAnsi" w:hAnsiTheme="minorHAnsi"/>
          <w:lang w:val="en-GB"/>
        </w:rPr>
      </w:pPr>
      <w:r w:rsidRPr="00BE15B8">
        <w:rPr>
          <w:rFonts w:asciiTheme="minorHAnsi" w:hAnsiTheme="minorHAnsi"/>
          <w:lang w:val="en-GB"/>
        </w:rPr>
        <w:t>Since</w:t>
      </w:r>
      <w:r w:rsidR="005179E0" w:rsidRPr="00BE15B8">
        <w:rPr>
          <w:rFonts w:asciiTheme="minorHAnsi" w:hAnsiTheme="minorHAnsi"/>
          <w:lang w:val="en-GB"/>
        </w:rPr>
        <w:t xml:space="preserve"> 1999</w:t>
      </w:r>
      <w:r w:rsidR="00950737" w:rsidRPr="00BE15B8">
        <w:rPr>
          <w:rFonts w:asciiTheme="minorHAnsi" w:hAnsiTheme="minorHAnsi"/>
          <w:lang w:val="en-GB"/>
        </w:rPr>
        <w:t>,</w:t>
      </w:r>
      <w:r w:rsidRPr="00BE15B8">
        <w:rPr>
          <w:rFonts w:asciiTheme="minorHAnsi" w:hAnsiTheme="minorHAnsi"/>
          <w:lang w:val="en-GB"/>
        </w:rPr>
        <w:t xml:space="preserve"> </w:t>
      </w:r>
      <w:r w:rsidR="00980302" w:rsidRPr="00BE15B8">
        <w:rPr>
          <w:rFonts w:asciiTheme="minorHAnsi" w:hAnsiTheme="minorHAnsi"/>
          <w:lang w:val="en-GB"/>
        </w:rPr>
        <w:t xml:space="preserve">the </w:t>
      </w:r>
      <w:r w:rsidR="005179E0" w:rsidRPr="00BE15B8">
        <w:rPr>
          <w:rFonts w:asciiTheme="minorHAnsi" w:eastAsia="Calibri" w:hAnsiTheme="minorHAnsi"/>
          <w:lang w:val="en-GB" w:eastAsia="en-US"/>
        </w:rPr>
        <w:t>social costs of drugs</w:t>
      </w:r>
      <w:r w:rsidR="00980302" w:rsidRPr="00BE15B8">
        <w:rPr>
          <w:rFonts w:asciiTheme="minorHAnsi" w:hAnsiTheme="minorHAnsi"/>
          <w:lang w:val="en-GB"/>
        </w:rPr>
        <w:t xml:space="preserve"> ha</w:t>
      </w:r>
      <w:r w:rsidR="00214E91" w:rsidRPr="00BE15B8">
        <w:rPr>
          <w:rFonts w:asciiTheme="minorHAnsi" w:hAnsiTheme="minorHAnsi"/>
          <w:lang w:val="en-GB"/>
        </w:rPr>
        <w:t xml:space="preserve">s </w:t>
      </w:r>
      <w:r w:rsidR="00950737" w:rsidRPr="00BE15B8">
        <w:rPr>
          <w:rFonts w:asciiTheme="minorHAnsi" w:hAnsiTheme="minorHAnsi"/>
          <w:lang w:val="en-GB"/>
        </w:rPr>
        <w:t xml:space="preserve">annually </w:t>
      </w:r>
      <w:r w:rsidR="00980302" w:rsidRPr="00BE15B8">
        <w:rPr>
          <w:rFonts w:asciiTheme="minorHAnsi" w:hAnsiTheme="minorHAnsi"/>
          <w:lang w:val="en-GB"/>
        </w:rPr>
        <w:t xml:space="preserve">been estimated </w:t>
      </w:r>
      <w:r w:rsidR="00950737" w:rsidRPr="00BE15B8">
        <w:rPr>
          <w:rFonts w:asciiTheme="minorHAnsi" w:hAnsiTheme="minorHAnsi"/>
          <w:lang w:val="en-GB"/>
        </w:rPr>
        <w:t xml:space="preserve">in Luxembourg </w:t>
      </w:r>
      <w:r w:rsidR="00980302" w:rsidRPr="00BE15B8">
        <w:rPr>
          <w:rFonts w:asciiTheme="minorHAnsi" w:hAnsiTheme="minorHAnsi"/>
          <w:lang w:val="en-GB"/>
        </w:rPr>
        <w:t>with a pre-defined methodology</w:t>
      </w:r>
      <w:r w:rsidRPr="00BE15B8">
        <w:rPr>
          <w:rFonts w:asciiTheme="minorHAnsi" w:hAnsiTheme="minorHAnsi"/>
          <w:lang w:val="en-GB"/>
        </w:rPr>
        <w:t>.</w:t>
      </w:r>
      <w:r w:rsidR="005179E0" w:rsidRPr="00BE15B8">
        <w:rPr>
          <w:rFonts w:asciiTheme="minorHAnsi" w:eastAsia="Calibri" w:hAnsiTheme="minorHAnsi"/>
          <w:lang w:val="en-GB" w:eastAsia="en-US"/>
        </w:rPr>
        <w:t xml:space="preserve"> </w:t>
      </w:r>
      <w:r w:rsidR="00980302" w:rsidRPr="00BE15B8">
        <w:rPr>
          <w:rFonts w:asciiTheme="minorHAnsi" w:hAnsiTheme="minorHAnsi"/>
          <w:lang w:val="en-GB"/>
        </w:rPr>
        <w:t>Estimates</w:t>
      </w:r>
      <w:r w:rsidRPr="00BE15B8">
        <w:rPr>
          <w:rFonts w:asciiTheme="minorHAnsi" w:hAnsiTheme="minorHAnsi"/>
          <w:lang w:val="en-GB"/>
        </w:rPr>
        <w:t xml:space="preserve"> include</w:t>
      </w:r>
      <w:r w:rsidR="00950737" w:rsidRPr="00BE15B8">
        <w:rPr>
          <w:rFonts w:asciiTheme="minorHAnsi" w:hAnsiTheme="minorHAnsi"/>
          <w:lang w:val="en-GB"/>
        </w:rPr>
        <w:t xml:space="preserve"> the</w:t>
      </w:r>
      <w:r w:rsidRPr="00BE15B8">
        <w:rPr>
          <w:rFonts w:asciiTheme="minorHAnsi" w:hAnsiTheme="minorHAnsi"/>
          <w:lang w:val="en-GB"/>
        </w:rPr>
        <w:t xml:space="preserve"> </w:t>
      </w:r>
      <w:r w:rsidR="00214E91" w:rsidRPr="00BE15B8">
        <w:rPr>
          <w:rFonts w:asciiTheme="minorHAnsi" w:hAnsiTheme="minorHAnsi"/>
          <w:lang w:val="en-GB"/>
        </w:rPr>
        <w:t>total</w:t>
      </w:r>
      <w:r w:rsidRPr="00BE15B8">
        <w:rPr>
          <w:rFonts w:asciiTheme="minorHAnsi" w:hAnsiTheme="minorHAnsi"/>
          <w:lang w:val="en-GB"/>
        </w:rPr>
        <w:t xml:space="preserve"> </w:t>
      </w:r>
      <w:r w:rsidR="00214E91" w:rsidRPr="00BE15B8">
        <w:rPr>
          <w:rFonts w:asciiTheme="minorHAnsi" w:hAnsiTheme="minorHAnsi"/>
          <w:lang w:val="en-GB"/>
        </w:rPr>
        <w:t>costs</w:t>
      </w:r>
      <w:r w:rsidRPr="00BE15B8">
        <w:rPr>
          <w:rFonts w:asciiTheme="minorHAnsi" w:hAnsiTheme="minorHAnsi"/>
          <w:lang w:val="en-GB"/>
        </w:rPr>
        <w:t xml:space="preserve"> </w:t>
      </w:r>
      <w:r w:rsidR="00950737" w:rsidRPr="00BE15B8">
        <w:rPr>
          <w:rFonts w:asciiTheme="minorHAnsi" w:hAnsiTheme="minorHAnsi"/>
          <w:lang w:val="en-GB"/>
        </w:rPr>
        <w:t xml:space="preserve">for public and private agents </w:t>
      </w:r>
      <w:r w:rsidR="00214E91" w:rsidRPr="00BE15B8">
        <w:rPr>
          <w:rFonts w:asciiTheme="minorHAnsi" w:hAnsiTheme="minorHAnsi"/>
          <w:lang w:val="en-GB"/>
        </w:rPr>
        <w:t>of</w:t>
      </w:r>
      <w:r w:rsidRPr="00BE15B8">
        <w:rPr>
          <w:rFonts w:asciiTheme="minorHAnsi" w:hAnsiTheme="minorHAnsi"/>
          <w:lang w:val="en-GB"/>
        </w:rPr>
        <w:t xml:space="preserve"> </w:t>
      </w:r>
      <w:r w:rsidR="00950737" w:rsidRPr="00BE15B8">
        <w:rPr>
          <w:rFonts w:asciiTheme="minorHAnsi" w:hAnsiTheme="minorHAnsi"/>
          <w:lang w:val="en-GB"/>
        </w:rPr>
        <w:t xml:space="preserve">consequences of </w:t>
      </w:r>
      <w:r w:rsidRPr="00BE15B8">
        <w:rPr>
          <w:rFonts w:asciiTheme="minorHAnsi" w:hAnsiTheme="minorHAnsi"/>
          <w:lang w:val="en-GB"/>
        </w:rPr>
        <w:t xml:space="preserve">drug use and trafficking. Public spending has been accounted </w:t>
      </w:r>
      <w:r w:rsidR="00980302" w:rsidRPr="00BE15B8">
        <w:rPr>
          <w:rFonts w:asciiTheme="minorHAnsi" w:hAnsiTheme="minorHAnsi"/>
          <w:lang w:val="en-GB"/>
        </w:rPr>
        <w:t>with</w:t>
      </w:r>
      <w:r w:rsidR="0096003A" w:rsidRPr="00BE15B8">
        <w:rPr>
          <w:rFonts w:asciiTheme="minorHAnsi" w:hAnsiTheme="minorHAnsi"/>
          <w:lang w:val="en-GB"/>
        </w:rPr>
        <w:t>in</w:t>
      </w:r>
      <w:r w:rsidRPr="00BE15B8">
        <w:rPr>
          <w:rFonts w:asciiTheme="minorHAnsi" w:hAnsiTheme="minorHAnsi"/>
          <w:lang w:val="en-GB"/>
        </w:rPr>
        <w:t xml:space="preserve"> five different </w:t>
      </w:r>
      <w:r w:rsidR="00950737" w:rsidRPr="00BE15B8">
        <w:rPr>
          <w:rFonts w:asciiTheme="minorHAnsi" w:hAnsiTheme="minorHAnsi"/>
          <w:lang w:val="en-GB"/>
        </w:rPr>
        <w:t>sectors</w:t>
      </w:r>
      <w:r w:rsidRPr="00BE15B8">
        <w:rPr>
          <w:rFonts w:asciiTheme="minorHAnsi" w:hAnsiTheme="minorHAnsi"/>
          <w:lang w:val="en-GB"/>
        </w:rPr>
        <w:t>: prevention, treatment, harm reduction, law enforcement and research</w:t>
      </w:r>
      <w:r w:rsidR="00980302" w:rsidRPr="00BE15B8">
        <w:rPr>
          <w:rFonts w:asciiTheme="minorHAnsi" w:hAnsiTheme="minorHAnsi"/>
          <w:lang w:val="en-GB"/>
        </w:rPr>
        <w:t>.</w:t>
      </w:r>
      <w:r w:rsidRPr="00BE15B8">
        <w:rPr>
          <w:rFonts w:asciiTheme="minorHAnsi" w:hAnsiTheme="minorHAnsi"/>
          <w:lang w:val="en-GB"/>
        </w:rPr>
        <w:t xml:space="preserve"> </w:t>
      </w:r>
      <w:r w:rsidR="00214E91" w:rsidRPr="00BE15B8">
        <w:rPr>
          <w:rFonts w:asciiTheme="minorHAnsi" w:hAnsiTheme="minorHAnsi"/>
          <w:lang w:val="en-GB"/>
        </w:rPr>
        <w:t xml:space="preserve">In the law enforcement field, as in other fields, </w:t>
      </w:r>
      <w:r w:rsidR="00950737" w:rsidRPr="00BE15B8">
        <w:rPr>
          <w:rFonts w:asciiTheme="minorHAnsi" w:hAnsiTheme="minorHAnsi"/>
          <w:lang w:val="en-GB"/>
        </w:rPr>
        <w:t>analysts</w:t>
      </w:r>
      <w:r w:rsidRPr="00BE15B8">
        <w:rPr>
          <w:rFonts w:asciiTheme="minorHAnsi" w:hAnsiTheme="minorHAnsi"/>
          <w:lang w:val="en-GB"/>
        </w:rPr>
        <w:t xml:space="preserve"> faced </w:t>
      </w:r>
      <w:r w:rsidR="00214E91" w:rsidRPr="00BE15B8">
        <w:rPr>
          <w:rFonts w:asciiTheme="minorHAnsi" w:hAnsiTheme="minorHAnsi"/>
          <w:lang w:val="en-GB"/>
        </w:rPr>
        <w:t xml:space="preserve">both </w:t>
      </w:r>
      <w:r w:rsidR="0096003A" w:rsidRPr="00BE15B8">
        <w:rPr>
          <w:rFonts w:asciiTheme="minorHAnsi" w:hAnsiTheme="minorHAnsi"/>
          <w:lang w:val="en-GB"/>
        </w:rPr>
        <w:t xml:space="preserve">the challenge </w:t>
      </w:r>
      <w:r w:rsidR="00214E91" w:rsidRPr="00BE15B8">
        <w:rPr>
          <w:rFonts w:asciiTheme="minorHAnsi" w:hAnsiTheme="minorHAnsi"/>
          <w:lang w:val="en-GB"/>
        </w:rPr>
        <w:t>of accounting for</w:t>
      </w:r>
      <w:r w:rsidR="0096003A" w:rsidRPr="00BE15B8">
        <w:rPr>
          <w:rFonts w:asciiTheme="minorHAnsi" w:hAnsiTheme="minorHAnsi"/>
          <w:lang w:val="en-GB"/>
        </w:rPr>
        <w:t xml:space="preserve"> drug-related spending </w:t>
      </w:r>
      <w:r w:rsidR="00214E91" w:rsidRPr="00BE15B8">
        <w:rPr>
          <w:rFonts w:asciiTheme="minorHAnsi" w:hAnsiTheme="minorHAnsi"/>
          <w:lang w:val="en-GB"/>
        </w:rPr>
        <w:t>financed by</w:t>
      </w:r>
      <w:r w:rsidR="0096003A" w:rsidRPr="00BE15B8">
        <w:rPr>
          <w:rFonts w:asciiTheme="minorHAnsi" w:hAnsiTheme="minorHAnsi"/>
          <w:lang w:val="en-GB"/>
        </w:rPr>
        <w:t xml:space="preserve"> different levels of the general government and </w:t>
      </w:r>
      <w:r w:rsidR="00214E91" w:rsidRPr="00BE15B8">
        <w:rPr>
          <w:rFonts w:asciiTheme="minorHAnsi" w:hAnsiTheme="minorHAnsi"/>
          <w:lang w:val="en-GB"/>
        </w:rPr>
        <w:t>of</w:t>
      </w:r>
      <w:r w:rsidR="0096003A" w:rsidRPr="00BE15B8">
        <w:rPr>
          <w:rFonts w:asciiTheme="minorHAnsi" w:hAnsiTheme="minorHAnsi"/>
          <w:lang w:val="en-GB"/>
        </w:rPr>
        <w:t xml:space="preserve"> develop</w:t>
      </w:r>
      <w:r w:rsidR="00214E91" w:rsidRPr="00BE15B8">
        <w:rPr>
          <w:rFonts w:asciiTheme="minorHAnsi" w:hAnsiTheme="minorHAnsi"/>
          <w:lang w:val="en-GB"/>
        </w:rPr>
        <w:t>ing</w:t>
      </w:r>
      <w:r w:rsidR="0096003A" w:rsidRPr="00BE15B8">
        <w:rPr>
          <w:rFonts w:asciiTheme="minorHAnsi" w:hAnsiTheme="minorHAnsi"/>
          <w:lang w:val="en-GB"/>
        </w:rPr>
        <w:t xml:space="preserve"> models to extract </w:t>
      </w:r>
      <w:r w:rsidR="00214E91" w:rsidRPr="00BE15B8">
        <w:rPr>
          <w:rFonts w:asciiTheme="minorHAnsi" w:hAnsiTheme="minorHAnsi"/>
          <w:lang w:val="en-GB"/>
        </w:rPr>
        <w:t xml:space="preserve">unlabelled </w:t>
      </w:r>
      <w:r w:rsidR="0096003A" w:rsidRPr="00BE15B8">
        <w:rPr>
          <w:rFonts w:asciiTheme="minorHAnsi" w:hAnsiTheme="minorHAnsi"/>
          <w:lang w:val="en-GB"/>
        </w:rPr>
        <w:t xml:space="preserve">drug-related expenditure </w:t>
      </w:r>
      <w:r w:rsidR="00214E91" w:rsidRPr="00BE15B8">
        <w:rPr>
          <w:rFonts w:asciiTheme="minorHAnsi" w:hAnsiTheme="minorHAnsi"/>
          <w:lang w:val="en-GB"/>
        </w:rPr>
        <w:t xml:space="preserve">from broader budgets (Origer, 2002). </w:t>
      </w:r>
      <w:r w:rsidR="0096003A" w:rsidRPr="00BE15B8">
        <w:rPr>
          <w:rFonts w:asciiTheme="minorHAnsi" w:hAnsiTheme="minorHAnsi"/>
          <w:lang w:val="en-GB"/>
        </w:rPr>
        <w:t xml:space="preserve"> </w:t>
      </w:r>
    </w:p>
    <w:p w:rsidR="00AA55E3" w:rsidRPr="00BE15B8" w:rsidRDefault="00AA55E3" w:rsidP="00AA55E3">
      <w:pPr>
        <w:pStyle w:val="NormalWeb"/>
        <w:rPr>
          <w:rFonts w:asciiTheme="minorHAnsi" w:hAnsiTheme="minorHAnsi"/>
          <w:i/>
          <w:lang w:val="en-GB"/>
        </w:rPr>
      </w:pPr>
      <w:r w:rsidRPr="00BE15B8">
        <w:rPr>
          <w:rFonts w:asciiTheme="minorHAnsi" w:hAnsiTheme="minorHAnsi"/>
          <w:b/>
          <w:bCs/>
          <w:i/>
          <w:color w:val="000000"/>
          <w:lang w:val="en-GB"/>
        </w:rPr>
        <w:t>Russia</w:t>
      </w:r>
    </w:p>
    <w:p w:rsidR="00AA55E3" w:rsidRPr="00BE15B8" w:rsidRDefault="00AA55E3" w:rsidP="00F56056">
      <w:pPr>
        <w:pStyle w:val="NormalWeb"/>
        <w:spacing w:line="276" w:lineRule="auto"/>
        <w:jc w:val="both"/>
        <w:rPr>
          <w:rFonts w:asciiTheme="minorHAnsi" w:hAnsiTheme="minorHAnsi"/>
          <w:color w:val="000000"/>
          <w:lang w:val="en-GB"/>
        </w:rPr>
      </w:pPr>
      <w:r w:rsidRPr="00BE15B8">
        <w:rPr>
          <w:rFonts w:asciiTheme="minorHAnsi" w:hAnsiTheme="minorHAnsi"/>
          <w:color w:val="000000"/>
          <w:lang w:val="en-GB"/>
        </w:rPr>
        <w:t>To estimate  public expenditures in Russia</w:t>
      </w:r>
      <w:r w:rsidR="00950737" w:rsidRPr="00BE15B8">
        <w:rPr>
          <w:rFonts w:asciiTheme="minorHAnsi" w:hAnsiTheme="minorHAnsi"/>
          <w:color w:val="000000"/>
          <w:lang w:val="en-GB"/>
        </w:rPr>
        <w:t>,</w:t>
      </w:r>
      <w:r w:rsidRPr="00BE15B8">
        <w:rPr>
          <w:rFonts w:asciiTheme="minorHAnsi" w:hAnsiTheme="minorHAnsi"/>
          <w:color w:val="000000"/>
          <w:lang w:val="en-GB"/>
        </w:rPr>
        <w:t xml:space="preserve"> </w:t>
      </w:r>
      <w:r w:rsidR="00F728C5" w:rsidRPr="00BE15B8">
        <w:rPr>
          <w:rFonts w:asciiTheme="minorHAnsi" w:hAnsiTheme="minorHAnsi"/>
          <w:color w:val="000000"/>
          <w:lang w:val="en-GB"/>
        </w:rPr>
        <w:t xml:space="preserve">a </w:t>
      </w:r>
      <w:r w:rsidR="00950737" w:rsidRPr="00BE15B8">
        <w:rPr>
          <w:rFonts w:asciiTheme="minorHAnsi" w:hAnsiTheme="minorHAnsi"/>
          <w:color w:val="000000"/>
          <w:lang w:val="en-GB"/>
        </w:rPr>
        <w:t>drug-related model was used</w:t>
      </w:r>
      <w:r w:rsidRPr="00BE15B8">
        <w:rPr>
          <w:rFonts w:asciiTheme="minorHAnsi" w:hAnsiTheme="minorHAnsi"/>
          <w:color w:val="000000"/>
          <w:lang w:val="en-GB"/>
        </w:rPr>
        <w:t xml:space="preserve"> which </w:t>
      </w:r>
      <w:r w:rsidR="00F728C5" w:rsidRPr="00BE15B8">
        <w:rPr>
          <w:rFonts w:asciiTheme="minorHAnsi" w:hAnsiTheme="minorHAnsi"/>
          <w:color w:val="000000"/>
          <w:lang w:val="en-GB"/>
        </w:rPr>
        <w:t>applied</w:t>
      </w:r>
      <w:r w:rsidRPr="00BE15B8">
        <w:rPr>
          <w:rFonts w:asciiTheme="minorHAnsi" w:hAnsiTheme="minorHAnsi"/>
          <w:color w:val="000000"/>
          <w:lang w:val="en-GB"/>
        </w:rPr>
        <w:t xml:space="preserve"> several sources of information</w:t>
      </w:r>
      <w:r w:rsidR="00950737" w:rsidRPr="00BE15B8">
        <w:rPr>
          <w:rFonts w:asciiTheme="minorHAnsi" w:hAnsiTheme="minorHAnsi"/>
          <w:color w:val="000000"/>
          <w:lang w:val="en-GB"/>
        </w:rPr>
        <w:t xml:space="preserve"> (Potapchik and Popovich, 2014)</w:t>
      </w:r>
      <w:r w:rsidRPr="00BE15B8">
        <w:rPr>
          <w:rFonts w:asciiTheme="minorHAnsi" w:hAnsiTheme="minorHAnsi"/>
          <w:color w:val="000000"/>
          <w:lang w:val="en-GB"/>
        </w:rPr>
        <w:t>. Th</w:t>
      </w:r>
      <w:r w:rsidR="00950737" w:rsidRPr="00BE15B8">
        <w:rPr>
          <w:rFonts w:asciiTheme="minorHAnsi" w:hAnsiTheme="minorHAnsi"/>
          <w:color w:val="000000"/>
          <w:lang w:val="en-GB"/>
        </w:rPr>
        <w:t>e model included</w:t>
      </w:r>
      <w:r w:rsidRPr="00BE15B8">
        <w:rPr>
          <w:rFonts w:asciiTheme="minorHAnsi" w:hAnsiTheme="minorHAnsi"/>
          <w:color w:val="000000"/>
          <w:lang w:val="en-GB"/>
        </w:rPr>
        <w:t xml:space="preserve"> private and indirect costs (the cost of the individual and the costs due to l</w:t>
      </w:r>
      <w:r w:rsidR="00F56056" w:rsidRPr="00BE15B8">
        <w:rPr>
          <w:rFonts w:asciiTheme="minorHAnsi" w:hAnsiTheme="minorHAnsi"/>
          <w:color w:val="000000"/>
          <w:lang w:val="en-GB"/>
        </w:rPr>
        <w:t xml:space="preserve">oss of production capacity) and public spending, including direct spending </w:t>
      </w:r>
      <w:r w:rsidR="006F33F2" w:rsidRPr="00BE15B8">
        <w:rPr>
          <w:rFonts w:asciiTheme="minorHAnsi" w:hAnsiTheme="minorHAnsi"/>
          <w:color w:val="000000"/>
          <w:lang w:val="en-GB"/>
        </w:rPr>
        <w:t xml:space="preserve">on supply reduction </w:t>
      </w:r>
      <w:r w:rsidR="00F56056" w:rsidRPr="00BE15B8">
        <w:rPr>
          <w:rFonts w:asciiTheme="minorHAnsi" w:hAnsiTheme="minorHAnsi"/>
          <w:color w:val="000000"/>
          <w:lang w:val="en-GB"/>
        </w:rPr>
        <w:t>services</w:t>
      </w:r>
      <w:r w:rsidR="006F33F2" w:rsidRPr="00BE15B8">
        <w:rPr>
          <w:rFonts w:asciiTheme="minorHAnsi" w:hAnsiTheme="minorHAnsi"/>
          <w:color w:val="000000"/>
          <w:lang w:val="en-GB"/>
        </w:rPr>
        <w:t xml:space="preserve">. These </w:t>
      </w:r>
      <w:r w:rsidR="00F56056" w:rsidRPr="00BE15B8">
        <w:rPr>
          <w:rFonts w:asciiTheme="minorHAnsi" w:hAnsiTheme="minorHAnsi"/>
          <w:color w:val="000000"/>
          <w:lang w:val="en-GB"/>
        </w:rPr>
        <w:t>were digr</w:t>
      </w:r>
      <w:r w:rsidR="006F33F2" w:rsidRPr="00BE15B8">
        <w:rPr>
          <w:rFonts w:asciiTheme="minorHAnsi" w:hAnsiTheme="minorHAnsi"/>
          <w:color w:val="000000"/>
          <w:lang w:val="en-GB"/>
        </w:rPr>
        <w:t>agated by spending</w:t>
      </w:r>
      <w:r w:rsidRPr="00BE15B8">
        <w:rPr>
          <w:rFonts w:asciiTheme="minorHAnsi" w:hAnsiTheme="minorHAnsi"/>
          <w:color w:val="000000"/>
          <w:lang w:val="en-GB"/>
        </w:rPr>
        <w:t xml:space="preserve"> o</w:t>
      </w:r>
      <w:r w:rsidR="006F33F2" w:rsidRPr="00BE15B8">
        <w:rPr>
          <w:rFonts w:asciiTheme="minorHAnsi" w:hAnsiTheme="minorHAnsi"/>
          <w:color w:val="000000"/>
          <w:lang w:val="en-GB"/>
        </w:rPr>
        <w:t>n</w:t>
      </w:r>
      <w:r w:rsidRPr="00BE15B8">
        <w:rPr>
          <w:rFonts w:asciiTheme="minorHAnsi" w:hAnsiTheme="minorHAnsi"/>
          <w:color w:val="000000"/>
          <w:lang w:val="en-GB"/>
        </w:rPr>
        <w:t xml:space="preserve"> </w:t>
      </w:r>
      <w:r w:rsidR="006F33F2" w:rsidRPr="00BE15B8">
        <w:rPr>
          <w:rFonts w:asciiTheme="minorHAnsi" w:hAnsiTheme="minorHAnsi"/>
          <w:color w:val="000000"/>
          <w:lang w:val="en-GB"/>
        </w:rPr>
        <w:t>law enforcement and the criminal justice</w:t>
      </w:r>
      <w:r w:rsidR="00F56056" w:rsidRPr="00BE15B8">
        <w:rPr>
          <w:rFonts w:asciiTheme="minorHAnsi" w:hAnsiTheme="minorHAnsi"/>
          <w:color w:val="000000"/>
          <w:lang w:val="en-GB"/>
        </w:rPr>
        <w:t>,</w:t>
      </w:r>
      <w:r w:rsidR="006F33F2" w:rsidRPr="00BE15B8">
        <w:rPr>
          <w:rFonts w:asciiTheme="minorHAnsi" w:hAnsiTheme="minorHAnsi"/>
          <w:color w:val="000000"/>
          <w:lang w:val="en-GB"/>
        </w:rPr>
        <w:t xml:space="preserve"> which induded law enforcement agencies, the federal drug control service and the maintenance of medical departments of sobriety and spending on drug-related fires and road accidents</w:t>
      </w:r>
      <w:r w:rsidRPr="00BE15B8">
        <w:rPr>
          <w:rFonts w:asciiTheme="minorHAnsi" w:hAnsiTheme="minorHAnsi"/>
          <w:color w:val="000000"/>
          <w:lang w:val="en-GB"/>
        </w:rPr>
        <w:t xml:space="preserve">. To determine </w:t>
      </w:r>
      <w:r w:rsidRPr="00BE15B8">
        <w:rPr>
          <w:rFonts w:asciiTheme="minorHAnsi" w:hAnsiTheme="minorHAnsi"/>
          <w:color w:val="000000"/>
          <w:lang w:val="en-GB"/>
        </w:rPr>
        <w:lastRenderedPageBreak/>
        <w:t xml:space="preserve">the cost of law enforcement, various sources of information were used: police data on persons who were caught with drugs for personal use; data on the number of sentences for drug trafficking and; </w:t>
      </w:r>
      <w:r w:rsidR="006F33F2" w:rsidRPr="00BE15B8">
        <w:rPr>
          <w:rFonts w:asciiTheme="minorHAnsi" w:hAnsiTheme="minorHAnsi"/>
          <w:color w:val="000000"/>
          <w:lang w:val="en-GB"/>
        </w:rPr>
        <w:t xml:space="preserve">data </w:t>
      </w:r>
      <w:r w:rsidRPr="00BE15B8">
        <w:rPr>
          <w:rFonts w:asciiTheme="minorHAnsi" w:hAnsiTheme="minorHAnsi"/>
          <w:color w:val="000000"/>
          <w:lang w:val="en-GB"/>
        </w:rPr>
        <w:t xml:space="preserve">on crimes related to drug trafficking. </w:t>
      </w:r>
    </w:p>
    <w:p w:rsidR="007941AF" w:rsidRPr="00BE15B8" w:rsidRDefault="007941AF" w:rsidP="007941AF">
      <w:pPr>
        <w:pStyle w:val="HTML-forhndsformatert"/>
        <w:shd w:val="clear" w:color="auto" w:fill="FFFFFF"/>
        <w:spacing w:line="276" w:lineRule="auto"/>
        <w:jc w:val="both"/>
        <w:rPr>
          <w:rFonts w:asciiTheme="minorHAnsi" w:hAnsiTheme="minorHAnsi" w:cs="Times New Roman"/>
          <w:i/>
          <w:iCs/>
          <w:sz w:val="24"/>
          <w:szCs w:val="24"/>
          <w:lang w:val="en-GB"/>
        </w:rPr>
      </w:pPr>
      <w:r w:rsidRPr="00BE15B8">
        <w:rPr>
          <w:rFonts w:asciiTheme="minorHAnsi" w:hAnsiTheme="minorHAnsi" w:cs="Times New Roman"/>
          <w:b/>
          <w:i/>
          <w:iCs/>
          <w:sz w:val="24"/>
          <w:szCs w:val="24"/>
          <w:lang w:val="en-GB"/>
        </w:rPr>
        <w:t>Portugal</w:t>
      </w:r>
    </w:p>
    <w:p w:rsidR="007941AF" w:rsidRPr="00BE15B8" w:rsidRDefault="007941AF" w:rsidP="007941AF">
      <w:pPr>
        <w:pStyle w:val="HTML-forhndsformatert"/>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iCs/>
          <w:sz w:val="24"/>
          <w:szCs w:val="24"/>
          <w:lang w:val="en-GB"/>
        </w:rPr>
        <w:t>There are few examples of attempts to estimate the impact of changes in the legal system on drug-related public expenditures and drug-related budgets. Gonçalves et al. (2014) represent an exception as they conducted a comprehensive analysis of the situation before and after the decriminalization in Portugal. The authors found a significant reduction in non-health related costs of drug policy between 2000 and 2004, in particular in the legal system (direct) costs. Whilst these observations highlight significant changes, prudence is still to be exercised in concluding causal relationships related to the new Portuguese National Strategy for the Fight against Drugs</w:t>
      </w:r>
      <w:r w:rsidRPr="00BE15B8">
        <w:rPr>
          <w:rFonts w:asciiTheme="minorHAnsi" w:hAnsiTheme="minorHAnsi" w:cs="Times New Roman"/>
          <w:sz w:val="24"/>
          <w:szCs w:val="24"/>
          <w:lang w:val="en-GB"/>
        </w:rPr>
        <w:t xml:space="preserve"> </w:t>
      </w:r>
      <w:r w:rsidRPr="00BE15B8">
        <w:rPr>
          <w:rFonts w:asciiTheme="minorHAnsi" w:hAnsiTheme="minorHAnsi" w:cs="Times New Roman"/>
          <w:iCs/>
          <w:sz w:val="24"/>
          <w:szCs w:val="24"/>
          <w:lang w:val="en-GB"/>
        </w:rPr>
        <w:t>(NSFAD).</w:t>
      </w:r>
    </w:p>
    <w:p w:rsidR="007941AF" w:rsidRPr="00BE15B8" w:rsidRDefault="007941AF" w:rsidP="007941AF">
      <w:pPr>
        <w:pStyle w:val="HTML-forhndsformatert"/>
        <w:shd w:val="clear" w:color="auto" w:fill="FFFFFF"/>
        <w:spacing w:line="276" w:lineRule="auto"/>
        <w:jc w:val="both"/>
        <w:rPr>
          <w:rFonts w:asciiTheme="minorHAnsi" w:hAnsiTheme="minorHAnsi" w:cs="Times New Roman"/>
          <w:iCs/>
          <w:sz w:val="24"/>
          <w:szCs w:val="24"/>
          <w:lang w:val="en-GB"/>
        </w:rPr>
      </w:pPr>
    </w:p>
    <w:p w:rsidR="0092522F" w:rsidRPr="00BE15B8" w:rsidRDefault="0092522F" w:rsidP="007C5937">
      <w:pPr>
        <w:spacing w:after="0"/>
        <w:jc w:val="both"/>
        <w:rPr>
          <w:rFonts w:asciiTheme="minorHAnsi" w:hAnsiTheme="minorHAnsi"/>
          <w:b/>
          <w:i/>
          <w:sz w:val="28"/>
          <w:szCs w:val="24"/>
          <w:shd w:val="clear" w:color="auto" w:fill="FFFFFF"/>
        </w:rPr>
      </w:pPr>
    </w:p>
    <w:p w:rsidR="007C5937" w:rsidRPr="00BE15B8" w:rsidRDefault="007C5937" w:rsidP="007C5937">
      <w:pPr>
        <w:spacing w:after="0"/>
        <w:jc w:val="both"/>
        <w:rPr>
          <w:rFonts w:asciiTheme="minorHAnsi" w:hAnsiTheme="minorHAnsi"/>
          <w:b/>
          <w:i/>
          <w:sz w:val="28"/>
          <w:szCs w:val="24"/>
          <w:shd w:val="clear" w:color="auto" w:fill="FFFFFF"/>
        </w:rPr>
      </w:pPr>
      <w:r w:rsidRPr="00BE15B8">
        <w:rPr>
          <w:rFonts w:asciiTheme="minorHAnsi" w:hAnsiTheme="minorHAnsi"/>
          <w:b/>
          <w:i/>
          <w:sz w:val="28"/>
          <w:szCs w:val="24"/>
          <w:shd w:val="clear" w:color="auto" w:fill="FFFFFF"/>
        </w:rPr>
        <w:t>Available databases and potential indicators for drug-related public expenditures</w:t>
      </w:r>
    </w:p>
    <w:p w:rsidR="007C5937" w:rsidRPr="00BE15B8" w:rsidRDefault="007C5937" w:rsidP="007C5937">
      <w:pPr>
        <w:spacing w:after="0"/>
        <w:jc w:val="both"/>
        <w:rPr>
          <w:rFonts w:asciiTheme="minorHAnsi" w:hAnsiTheme="minorHAnsi"/>
          <w:sz w:val="24"/>
          <w:szCs w:val="24"/>
        </w:rPr>
      </w:pPr>
      <w:r w:rsidRPr="00BE15B8">
        <w:rPr>
          <w:rFonts w:asciiTheme="minorHAnsi" w:hAnsiTheme="minorHAnsi"/>
          <w:sz w:val="24"/>
          <w:szCs w:val="24"/>
        </w:rPr>
        <w:t>The only available international compilation of up-dated estimates for drug-related public expenditure on supply reduction is published by the EMCDDA</w:t>
      </w:r>
      <w:r w:rsidRPr="00BE15B8">
        <w:rPr>
          <w:rStyle w:val="Fotnotereferanse"/>
          <w:rFonts w:asciiTheme="minorHAnsi" w:hAnsiTheme="minorHAnsi"/>
          <w:sz w:val="24"/>
          <w:szCs w:val="24"/>
        </w:rPr>
        <w:footnoteReference w:id="3"/>
      </w:r>
      <w:r w:rsidRPr="00BE15B8">
        <w:rPr>
          <w:rFonts w:asciiTheme="minorHAnsi" w:hAnsiTheme="minorHAnsi"/>
          <w:sz w:val="24"/>
          <w:szCs w:val="24"/>
        </w:rPr>
        <w:t xml:space="preserve">. Here, available national estimates of total drug-related spending, and spending </w:t>
      </w:r>
      <w:r w:rsidR="00B7373E">
        <w:rPr>
          <w:rFonts w:asciiTheme="minorHAnsi" w:hAnsiTheme="minorHAnsi"/>
          <w:sz w:val="24"/>
          <w:szCs w:val="24"/>
        </w:rPr>
        <w:t>separated by</w:t>
      </w:r>
      <w:r w:rsidRPr="00BE15B8">
        <w:rPr>
          <w:rFonts w:asciiTheme="minorHAnsi" w:hAnsiTheme="minorHAnsi"/>
          <w:sz w:val="24"/>
          <w:szCs w:val="24"/>
        </w:rPr>
        <w:t xml:space="preserve"> supply and demand reduction initiatives, are reported. </w:t>
      </w:r>
      <w:r w:rsidR="0092522F" w:rsidRPr="00BE15B8">
        <w:rPr>
          <w:rFonts w:asciiTheme="minorHAnsi" w:hAnsiTheme="minorHAnsi"/>
          <w:sz w:val="24"/>
          <w:szCs w:val="24"/>
        </w:rPr>
        <w:t>Still</w:t>
      </w:r>
      <w:r w:rsidRPr="00BE15B8">
        <w:rPr>
          <w:rFonts w:asciiTheme="minorHAnsi" w:hAnsiTheme="minorHAnsi"/>
          <w:sz w:val="24"/>
          <w:szCs w:val="24"/>
        </w:rPr>
        <w:t>, the scope for cross-country comparisons are limited because the estimates often do not use comparable definitions, datasets or methodologies.</w:t>
      </w:r>
    </w:p>
    <w:p w:rsidR="007C5937" w:rsidRPr="00BE15B8" w:rsidRDefault="007C5937" w:rsidP="007C5937">
      <w:pPr>
        <w:spacing w:after="0"/>
        <w:jc w:val="both"/>
        <w:rPr>
          <w:rFonts w:asciiTheme="minorHAnsi" w:hAnsiTheme="minorHAnsi"/>
          <w:sz w:val="24"/>
          <w:szCs w:val="24"/>
        </w:rPr>
      </w:pPr>
    </w:p>
    <w:p w:rsidR="007C5937" w:rsidRPr="00BE15B8" w:rsidRDefault="007C5937" w:rsidP="007C5937">
      <w:pPr>
        <w:spacing w:after="0"/>
        <w:jc w:val="both"/>
        <w:rPr>
          <w:rFonts w:asciiTheme="minorHAnsi" w:hAnsiTheme="minorHAnsi"/>
          <w:sz w:val="24"/>
          <w:szCs w:val="24"/>
        </w:rPr>
      </w:pPr>
      <w:r w:rsidRPr="00BE15B8">
        <w:rPr>
          <w:rFonts w:asciiTheme="minorHAnsi" w:hAnsiTheme="minorHAnsi"/>
          <w:sz w:val="24"/>
          <w:szCs w:val="24"/>
        </w:rPr>
        <w:t xml:space="preserve">Another database of particular relevance is </w:t>
      </w:r>
      <w:r w:rsidR="00A6132B" w:rsidRPr="00BE15B8">
        <w:rPr>
          <w:rFonts w:asciiTheme="minorHAnsi" w:hAnsiTheme="minorHAnsi"/>
          <w:sz w:val="24"/>
          <w:szCs w:val="24"/>
        </w:rPr>
        <w:t>EUROSTAT</w:t>
      </w:r>
      <w:r w:rsidRPr="00BE15B8">
        <w:rPr>
          <w:rFonts w:asciiTheme="minorHAnsi" w:hAnsiTheme="minorHAnsi"/>
          <w:sz w:val="24"/>
          <w:szCs w:val="24"/>
        </w:rPr>
        <w:t xml:space="preserve">. This is partly because </w:t>
      </w:r>
      <w:r w:rsidR="009B5FC7" w:rsidRPr="00BE15B8">
        <w:rPr>
          <w:rFonts w:asciiTheme="minorHAnsi" w:hAnsiTheme="minorHAnsi"/>
          <w:sz w:val="24"/>
          <w:szCs w:val="24"/>
        </w:rPr>
        <w:t xml:space="preserve">it is based on </w:t>
      </w:r>
      <w:r w:rsidRPr="00BE15B8">
        <w:rPr>
          <w:rFonts w:asciiTheme="minorHAnsi" w:hAnsiTheme="minorHAnsi"/>
          <w:sz w:val="24"/>
          <w:szCs w:val="24"/>
        </w:rPr>
        <w:t xml:space="preserve"> a consistent categorisation system</w:t>
      </w:r>
      <w:r w:rsidR="009B5FC7" w:rsidRPr="00BE15B8">
        <w:rPr>
          <w:rFonts w:asciiTheme="minorHAnsi" w:hAnsiTheme="minorHAnsi"/>
          <w:sz w:val="24"/>
          <w:szCs w:val="24"/>
        </w:rPr>
        <w:t xml:space="preserve"> and on </w:t>
      </w:r>
      <w:r w:rsidRPr="00BE15B8">
        <w:rPr>
          <w:rFonts w:asciiTheme="minorHAnsi" w:hAnsiTheme="minorHAnsi"/>
          <w:sz w:val="24"/>
          <w:szCs w:val="24"/>
        </w:rPr>
        <w:t xml:space="preserve">international agreed definitions, </w:t>
      </w:r>
      <w:r w:rsidR="009B5FC7" w:rsidRPr="00BE15B8">
        <w:rPr>
          <w:rFonts w:asciiTheme="minorHAnsi" w:hAnsiTheme="minorHAnsi"/>
          <w:sz w:val="24"/>
          <w:szCs w:val="24"/>
        </w:rPr>
        <w:t xml:space="preserve">which are </w:t>
      </w:r>
      <w:r w:rsidRPr="00BE15B8">
        <w:rPr>
          <w:rFonts w:asciiTheme="minorHAnsi" w:hAnsiTheme="minorHAnsi"/>
          <w:sz w:val="24"/>
          <w:szCs w:val="24"/>
        </w:rPr>
        <w:t>desirable feature</w:t>
      </w:r>
      <w:r w:rsidR="009B5FC7" w:rsidRPr="00BE15B8">
        <w:rPr>
          <w:rFonts w:asciiTheme="minorHAnsi" w:hAnsiTheme="minorHAnsi"/>
          <w:sz w:val="24"/>
          <w:szCs w:val="24"/>
        </w:rPr>
        <w:t>s</w:t>
      </w:r>
      <w:r w:rsidRPr="00BE15B8">
        <w:rPr>
          <w:rFonts w:asciiTheme="minorHAnsi" w:hAnsiTheme="minorHAnsi"/>
          <w:sz w:val="24"/>
          <w:szCs w:val="24"/>
        </w:rPr>
        <w:t xml:space="preserve"> for a database. </w:t>
      </w:r>
      <w:r w:rsidR="00A6132B" w:rsidRPr="00BE15B8">
        <w:rPr>
          <w:rFonts w:asciiTheme="minorHAnsi" w:hAnsiTheme="minorHAnsi"/>
          <w:sz w:val="24"/>
          <w:szCs w:val="24"/>
        </w:rPr>
        <w:t>T</w:t>
      </w:r>
      <w:r w:rsidRPr="00BE15B8">
        <w:rPr>
          <w:rFonts w:asciiTheme="minorHAnsi" w:hAnsiTheme="minorHAnsi"/>
          <w:sz w:val="24"/>
          <w:szCs w:val="24"/>
        </w:rPr>
        <w:t>he Classification of the Functions of Government (COFOG) is a detailed classification system for the functions or socioeconomic objectives that general government units aim to achieve through a range of outlays</w:t>
      </w:r>
      <w:r w:rsidR="009B5FC7" w:rsidRPr="00BE15B8">
        <w:rPr>
          <w:rFonts w:asciiTheme="minorHAnsi" w:hAnsiTheme="minorHAnsi"/>
          <w:sz w:val="24"/>
          <w:szCs w:val="24"/>
        </w:rPr>
        <w:t xml:space="preserve">. </w:t>
      </w:r>
      <w:r w:rsidRPr="00BE15B8">
        <w:rPr>
          <w:rFonts w:asciiTheme="minorHAnsi" w:hAnsiTheme="minorHAnsi"/>
          <w:sz w:val="24"/>
          <w:szCs w:val="24"/>
        </w:rPr>
        <w:t>EUROSTAT has published annual data according to the COFOG classification for European countries since early 1990’s. This data source has proved to be relevant and amenable to a wide variety of analytic applications. However, this dataset does not publish data on specific spending on drug-related public initiatives.</w:t>
      </w:r>
    </w:p>
    <w:p w:rsidR="007C5937" w:rsidRPr="00BE15B8" w:rsidRDefault="007C5937" w:rsidP="007C5937">
      <w:pPr>
        <w:spacing w:after="0"/>
        <w:jc w:val="both"/>
        <w:rPr>
          <w:rFonts w:asciiTheme="minorHAnsi" w:hAnsiTheme="minorHAnsi"/>
          <w:sz w:val="24"/>
          <w:szCs w:val="24"/>
        </w:rPr>
      </w:pPr>
    </w:p>
    <w:p w:rsidR="00A6132B" w:rsidRPr="00BE15B8" w:rsidRDefault="00A6132B" w:rsidP="00A6132B">
      <w:pPr>
        <w:spacing w:after="0"/>
        <w:jc w:val="both"/>
        <w:rPr>
          <w:rFonts w:asciiTheme="minorHAnsi" w:hAnsiTheme="minorHAnsi"/>
          <w:sz w:val="24"/>
          <w:szCs w:val="24"/>
        </w:rPr>
      </w:pPr>
      <w:r w:rsidRPr="00BE15B8">
        <w:rPr>
          <w:rFonts w:asciiTheme="minorHAnsi" w:hAnsiTheme="minorHAnsi"/>
          <w:sz w:val="24"/>
          <w:szCs w:val="24"/>
        </w:rPr>
        <w:t>Appendix 1 provides a list of relevant data sources. In addition to the two data sources already mentioned, there is information on the international reporting on supply reduction factors like:</w:t>
      </w:r>
    </w:p>
    <w:p w:rsidR="00A6132B" w:rsidRPr="00BE15B8" w:rsidRDefault="00A6132B" w:rsidP="00A6132B">
      <w:pPr>
        <w:pStyle w:val="Listeavsnitt"/>
        <w:numPr>
          <w:ilvl w:val="0"/>
          <w:numId w:val="13"/>
        </w:numPr>
        <w:autoSpaceDE w:val="0"/>
        <w:autoSpaceDN w:val="0"/>
        <w:adjustRightInd w:val="0"/>
        <w:spacing w:after="0"/>
        <w:jc w:val="both"/>
        <w:rPr>
          <w:rFonts w:asciiTheme="minorHAnsi" w:eastAsia="Times New Roman" w:hAnsiTheme="minorHAnsi"/>
          <w:iCs/>
          <w:sz w:val="24"/>
          <w:szCs w:val="24"/>
          <w:lang w:eastAsia="hr-HR"/>
        </w:rPr>
      </w:pPr>
      <w:r w:rsidRPr="00BE15B8">
        <w:rPr>
          <w:rFonts w:asciiTheme="minorHAnsi" w:eastAsia="Times New Roman" w:hAnsiTheme="minorHAnsi"/>
          <w:iCs/>
          <w:sz w:val="24"/>
          <w:szCs w:val="24"/>
          <w:lang w:eastAsia="hr-HR"/>
        </w:rPr>
        <w:t xml:space="preserve">drug related crime (EMCDDA and European Institute for Crime Prevention and Control); </w:t>
      </w:r>
    </w:p>
    <w:p w:rsidR="00A6132B" w:rsidRPr="00BE15B8" w:rsidRDefault="00A6132B" w:rsidP="00A6132B">
      <w:pPr>
        <w:pStyle w:val="Listeavsnitt"/>
        <w:numPr>
          <w:ilvl w:val="0"/>
          <w:numId w:val="13"/>
        </w:numPr>
        <w:autoSpaceDE w:val="0"/>
        <w:autoSpaceDN w:val="0"/>
        <w:adjustRightInd w:val="0"/>
        <w:spacing w:after="0"/>
        <w:jc w:val="both"/>
        <w:rPr>
          <w:rFonts w:asciiTheme="minorHAnsi" w:eastAsia="Times New Roman" w:hAnsiTheme="minorHAnsi"/>
          <w:iCs/>
          <w:sz w:val="24"/>
          <w:szCs w:val="24"/>
          <w:lang w:eastAsia="hr-HR"/>
        </w:rPr>
      </w:pPr>
      <w:r w:rsidRPr="00BE15B8">
        <w:rPr>
          <w:rFonts w:asciiTheme="minorHAnsi" w:eastAsia="Times New Roman" w:hAnsiTheme="minorHAnsi"/>
          <w:iCs/>
          <w:sz w:val="24"/>
          <w:szCs w:val="24"/>
          <w:lang w:eastAsia="hr-HR"/>
        </w:rPr>
        <w:t>prison activity and costs (the Council of Europe);</w:t>
      </w:r>
    </w:p>
    <w:p w:rsidR="00A6132B" w:rsidRPr="00BE15B8" w:rsidRDefault="00A6132B" w:rsidP="00A6132B">
      <w:pPr>
        <w:pStyle w:val="Listeavsnitt"/>
        <w:numPr>
          <w:ilvl w:val="0"/>
          <w:numId w:val="13"/>
        </w:numPr>
        <w:autoSpaceDE w:val="0"/>
        <w:autoSpaceDN w:val="0"/>
        <w:adjustRightInd w:val="0"/>
        <w:spacing w:after="0"/>
        <w:jc w:val="both"/>
        <w:rPr>
          <w:rFonts w:asciiTheme="minorHAnsi" w:eastAsia="Times New Roman" w:hAnsiTheme="minorHAnsi"/>
          <w:iCs/>
          <w:sz w:val="24"/>
          <w:szCs w:val="24"/>
          <w:lang w:eastAsia="hr-HR"/>
        </w:rPr>
      </w:pPr>
      <w:r w:rsidRPr="00BE15B8">
        <w:rPr>
          <w:rFonts w:asciiTheme="minorHAnsi" w:eastAsia="Times New Roman" w:hAnsiTheme="minorHAnsi"/>
          <w:iCs/>
          <w:sz w:val="24"/>
          <w:szCs w:val="24"/>
          <w:lang w:eastAsia="hr-HR"/>
        </w:rPr>
        <w:lastRenderedPageBreak/>
        <w:t>crime and criminal justice systems (EUROSTAT and the European Institute for Crime Prevention and Control).</w:t>
      </w:r>
    </w:p>
    <w:p w:rsidR="00A6132B" w:rsidRPr="00BE15B8" w:rsidRDefault="00A6132B" w:rsidP="00A6132B">
      <w:pPr>
        <w:pStyle w:val="NormalWeb"/>
        <w:kinsoku w:val="0"/>
        <w:overflowPunct w:val="0"/>
        <w:spacing w:before="0" w:beforeAutospacing="0" w:after="0" w:afterAutospacing="0"/>
        <w:jc w:val="both"/>
        <w:textAlignment w:val="baseline"/>
        <w:rPr>
          <w:rFonts w:asciiTheme="minorHAnsi" w:hAnsiTheme="minorHAnsi"/>
          <w:lang w:val="en-GB"/>
        </w:rPr>
      </w:pPr>
    </w:p>
    <w:p w:rsidR="007C5937" w:rsidRPr="00BE15B8" w:rsidRDefault="007C5937" w:rsidP="00FB5D5E">
      <w:pPr>
        <w:jc w:val="both"/>
        <w:rPr>
          <w:rFonts w:asciiTheme="minorHAnsi" w:eastAsiaTheme="majorEastAsia" w:hAnsiTheme="minorHAnsi"/>
          <w:b/>
          <w:sz w:val="28"/>
          <w:szCs w:val="28"/>
        </w:rPr>
      </w:pPr>
    </w:p>
    <w:p w:rsidR="007C5937" w:rsidRPr="00BE15B8" w:rsidRDefault="007C5937">
      <w:pPr>
        <w:rPr>
          <w:rFonts w:asciiTheme="minorHAnsi" w:eastAsiaTheme="majorEastAsia" w:hAnsiTheme="minorHAnsi"/>
          <w:b/>
          <w:sz w:val="28"/>
          <w:szCs w:val="28"/>
        </w:rPr>
      </w:pPr>
    </w:p>
    <w:p w:rsidR="00DD3D94" w:rsidRPr="00BE15B8" w:rsidRDefault="00DD3D94" w:rsidP="00FB5D5E">
      <w:pPr>
        <w:jc w:val="both"/>
        <w:rPr>
          <w:rFonts w:asciiTheme="minorHAnsi" w:eastAsiaTheme="majorEastAsia" w:hAnsiTheme="minorHAnsi"/>
          <w:b/>
          <w:sz w:val="28"/>
          <w:szCs w:val="28"/>
        </w:rPr>
      </w:pPr>
      <w:r w:rsidRPr="00BE15B8">
        <w:rPr>
          <w:rFonts w:asciiTheme="minorHAnsi" w:eastAsiaTheme="majorEastAsia" w:hAnsiTheme="minorHAnsi"/>
          <w:b/>
          <w:sz w:val="28"/>
          <w:szCs w:val="28"/>
        </w:rPr>
        <w:t>Conclusions</w:t>
      </w:r>
    </w:p>
    <w:p w:rsidR="0052326E" w:rsidRPr="00BE15B8" w:rsidRDefault="00B11880" w:rsidP="00E53E98">
      <w:pPr>
        <w:pStyle w:val="Merknadstekst"/>
        <w:numPr>
          <w:ilvl w:val="0"/>
          <w:numId w:val="5"/>
        </w:numPr>
        <w:shd w:val="clear" w:color="auto" w:fill="FFFFFF"/>
        <w:spacing w:line="276" w:lineRule="auto"/>
        <w:jc w:val="both"/>
        <w:rPr>
          <w:rFonts w:asciiTheme="minorHAnsi" w:hAnsiTheme="minorHAnsi"/>
          <w:iCs/>
          <w:sz w:val="24"/>
          <w:szCs w:val="24"/>
        </w:rPr>
      </w:pPr>
      <w:r w:rsidRPr="00BE15B8">
        <w:rPr>
          <w:rFonts w:asciiTheme="minorHAnsi" w:hAnsiTheme="minorHAnsi"/>
          <w:iCs/>
          <w:sz w:val="24"/>
          <w:szCs w:val="24"/>
        </w:rPr>
        <w:t xml:space="preserve">Every European country </w:t>
      </w:r>
      <w:r w:rsidR="00DD3D94" w:rsidRPr="00BE15B8">
        <w:rPr>
          <w:rFonts w:asciiTheme="minorHAnsi" w:hAnsiTheme="minorHAnsi"/>
          <w:iCs/>
          <w:sz w:val="24"/>
          <w:szCs w:val="24"/>
        </w:rPr>
        <w:t>allocate</w:t>
      </w:r>
      <w:r w:rsidRPr="00BE15B8">
        <w:rPr>
          <w:rFonts w:asciiTheme="minorHAnsi" w:hAnsiTheme="minorHAnsi"/>
          <w:iCs/>
          <w:sz w:val="24"/>
          <w:szCs w:val="24"/>
        </w:rPr>
        <w:t>s</w:t>
      </w:r>
      <w:r w:rsidR="00DD3D94" w:rsidRPr="00BE15B8">
        <w:rPr>
          <w:rFonts w:asciiTheme="minorHAnsi" w:hAnsiTheme="minorHAnsi"/>
          <w:iCs/>
          <w:sz w:val="24"/>
          <w:szCs w:val="24"/>
        </w:rPr>
        <w:t xml:space="preserve"> </w:t>
      </w:r>
      <w:r w:rsidR="0029508B" w:rsidRPr="00BE15B8">
        <w:rPr>
          <w:rFonts w:asciiTheme="minorHAnsi" w:hAnsiTheme="minorHAnsi"/>
          <w:iCs/>
          <w:sz w:val="24"/>
          <w:szCs w:val="24"/>
        </w:rPr>
        <w:t xml:space="preserve">significant public </w:t>
      </w:r>
      <w:r w:rsidR="00DD3D94" w:rsidRPr="00BE15B8">
        <w:rPr>
          <w:rFonts w:asciiTheme="minorHAnsi" w:hAnsiTheme="minorHAnsi"/>
          <w:iCs/>
          <w:sz w:val="24"/>
          <w:szCs w:val="24"/>
        </w:rPr>
        <w:t xml:space="preserve">resources to </w:t>
      </w:r>
      <w:r w:rsidRPr="00BE15B8">
        <w:rPr>
          <w:rFonts w:asciiTheme="minorHAnsi" w:hAnsiTheme="minorHAnsi"/>
          <w:iCs/>
          <w:sz w:val="24"/>
          <w:szCs w:val="24"/>
        </w:rPr>
        <w:t>the drug policy field</w:t>
      </w:r>
      <w:r w:rsidR="00DD3D94" w:rsidRPr="00BE15B8">
        <w:rPr>
          <w:rFonts w:asciiTheme="minorHAnsi" w:hAnsiTheme="minorHAnsi"/>
          <w:iCs/>
          <w:sz w:val="24"/>
          <w:szCs w:val="24"/>
        </w:rPr>
        <w:t xml:space="preserve">. </w:t>
      </w:r>
      <w:r w:rsidRPr="00BE15B8">
        <w:rPr>
          <w:rFonts w:asciiTheme="minorHAnsi" w:hAnsiTheme="minorHAnsi"/>
          <w:iCs/>
          <w:sz w:val="24"/>
          <w:szCs w:val="24"/>
        </w:rPr>
        <w:t>P</w:t>
      </w:r>
      <w:r w:rsidR="0052326E" w:rsidRPr="00BE15B8">
        <w:rPr>
          <w:rFonts w:asciiTheme="minorHAnsi" w:hAnsiTheme="minorHAnsi"/>
          <w:sz w:val="24"/>
          <w:szCs w:val="24"/>
        </w:rPr>
        <w:t xml:space="preserve">ublic expenditure studies </w:t>
      </w:r>
      <w:r w:rsidR="00A001AB" w:rsidRPr="00BE15B8">
        <w:rPr>
          <w:rFonts w:asciiTheme="minorHAnsi" w:hAnsiTheme="minorHAnsi"/>
          <w:sz w:val="24"/>
          <w:szCs w:val="24"/>
        </w:rPr>
        <w:t xml:space="preserve">can reveal </w:t>
      </w:r>
      <w:r w:rsidR="0052326E" w:rsidRPr="00BE15B8">
        <w:rPr>
          <w:rFonts w:asciiTheme="minorHAnsi" w:hAnsiTheme="minorHAnsi"/>
          <w:sz w:val="24"/>
          <w:szCs w:val="24"/>
        </w:rPr>
        <w:t xml:space="preserve">how much public authorities are spending on drug policy and for which ends such expenditure is used. </w:t>
      </w:r>
      <w:r w:rsidR="00A73EEB" w:rsidRPr="00BE15B8">
        <w:rPr>
          <w:rFonts w:asciiTheme="minorHAnsi" w:hAnsiTheme="minorHAnsi"/>
          <w:sz w:val="24"/>
          <w:szCs w:val="24"/>
        </w:rPr>
        <w:t>Further, t</w:t>
      </w:r>
      <w:r w:rsidR="00FB1061" w:rsidRPr="00BE15B8">
        <w:rPr>
          <w:rFonts w:asciiTheme="minorHAnsi" w:hAnsiTheme="minorHAnsi"/>
          <w:sz w:val="24"/>
          <w:szCs w:val="24"/>
        </w:rPr>
        <w:t>hey</w:t>
      </w:r>
      <w:r w:rsidR="00B42095" w:rsidRPr="00BE15B8">
        <w:rPr>
          <w:rFonts w:asciiTheme="minorHAnsi" w:hAnsiTheme="minorHAnsi"/>
          <w:sz w:val="24"/>
          <w:szCs w:val="24"/>
        </w:rPr>
        <w:t xml:space="preserve"> can be used as a </w:t>
      </w:r>
      <w:r w:rsidR="00D15E85" w:rsidRPr="00BE15B8">
        <w:rPr>
          <w:rFonts w:asciiTheme="minorHAnsi" w:hAnsiTheme="minorHAnsi"/>
          <w:sz w:val="24"/>
          <w:szCs w:val="24"/>
        </w:rPr>
        <w:t xml:space="preserve">tool for assessing </w:t>
      </w:r>
      <w:r w:rsidR="0052326E" w:rsidRPr="00BE15B8">
        <w:rPr>
          <w:rFonts w:asciiTheme="minorHAnsi" w:hAnsiTheme="minorHAnsi"/>
          <w:sz w:val="24"/>
          <w:szCs w:val="24"/>
        </w:rPr>
        <w:t xml:space="preserve">whether policy intentions are actually reflected in </w:t>
      </w:r>
      <w:r w:rsidR="00D15E85" w:rsidRPr="00BE15B8">
        <w:rPr>
          <w:rFonts w:asciiTheme="minorHAnsi" w:hAnsiTheme="minorHAnsi"/>
          <w:sz w:val="24"/>
          <w:szCs w:val="24"/>
        </w:rPr>
        <w:t>action</w:t>
      </w:r>
      <w:r w:rsidR="00D1049C" w:rsidRPr="00BE15B8">
        <w:rPr>
          <w:rFonts w:asciiTheme="minorHAnsi" w:hAnsiTheme="minorHAnsi"/>
          <w:sz w:val="24"/>
          <w:szCs w:val="24"/>
        </w:rPr>
        <w:t>,</w:t>
      </w:r>
      <w:r w:rsidR="00D15E85" w:rsidRPr="00BE15B8">
        <w:rPr>
          <w:rFonts w:asciiTheme="minorHAnsi" w:hAnsiTheme="minorHAnsi"/>
          <w:sz w:val="24"/>
          <w:szCs w:val="24"/>
        </w:rPr>
        <w:t xml:space="preserve"> and </w:t>
      </w:r>
      <w:r w:rsidR="00FB1061" w:rsidRPr="00BE15B8">
        <w:rPr>
          <w:rFonts w:asciiTheme="minorHAnsi" w:hAnsiTheme="minorHAnsi"/>
          <w:sz w:val="24"/>
          <w:szCs w:val="24"/>
        </w:rPr>
        <w:t>they constitute</w:t>
      </w:r>
      <w:r w:rsidR="00D15E85" w:rsidRPr="00BE15B8">
        <w:rPr>
          <w:rFonts w:asciiTheme="minorHAnsi" w:hAnsiTheme="minorHAnsi"/>
          <w:sz w:val="24"/>
          <w:szCs w:val="24"/>
        </w:rPr>
        <w:t xml:space="preserve"> a necessary tool for implementing </w:t>
      </w:r>
      <w:r w:rsidR="00F459CF" w:rsidRPr="00BE15B8">
        <w:rPr>
          <w:rFonts w:asciiTheme="minorHAnsi" w:hAnsiTheme="minorHAnsi"/>
          <w:sz w:val="24"/>
          <w:szCs w:val="24"/>
        </w:rPr>
        <w:t>thoroug</w:t>
      </w:r>
      <w:r w:rsidR="000004E0" w:rsidRPr="00BE15B8">
        <w:rPr>
          <w:rFonts w:asciiTheme="minorHAnsi" w:hAnsiTheme="minorHAnsi"/>
          <w:sz w:val="24"/>
          <w:szCs w:val="24"/>
        </w:rPr>
        <w:t>h</w:t>
      </w:r>
      <w:r w:rsidR="00D15E85" w:rsidRPr="00BE15B8">
        <w:rPr>
          <w:rFonts w:asciiTheme="minorHAnsi" w:hAnsiTheme="minorHAnsi"/>
          <w:sz w:val="24"/>
          <w:szCs w:val="24"/>
        </w:rPr>
        <w:t xml:space="preserve"> policy evaluations</w:t>
      </w:r>
      <w:r w:rsidR="0052326E" w:rsidRPr="00BE15B8">
        <w:rPr>
          <w:rFonts w:asciiTheme="minorHAnsi" w:hAnsiTheme="minorHAnsi"/>
          <w:sz w:val="24"/>
          <w:szCs w:val="24"/>
        </w:rPr>
        <w:t>.</w:t>
      </w:r>
      <w:r w:rsidR="003A0861" w:rsidRPr="00BE15B8">
        <w:rPr>
          <w:rFonts w:asciiTheme="minorHAnsi" w:hAnsiTheme="minorHAnsi"/>
          <w:sz w:val="24"/>
          <w:szCs w:val="24"/>
        </w:rPr>
        <w:t xml:space="preserve"> Public expenditure studies should mirror all relevant activities and policy approaches</w:t>
      </w:r>
      <w:r w:rsidR="00B56B2B" w:rsidRPr="00BE15B8">
        <w:rPr>
          <w:rFonts w:asciiTheme="minorHAnsi" w:hAnsiTheme="minorHAnsi"/>
          <w:sz w:val="24"/>
          <w:szCs w:val="24"/>
        </w:rPr>
        <w:t xml:space="preserve"> and may particularly be needed in times of austerity</w:t>
      </w:r>
      <w:r w:rsidR="003A0861" w:rsidRPr="00BE15B8">
        <w:rPr>
          <w:rFonts w:asciiTheme="minorHAnsi" w:hAnsiTheme="minorHAnsi"/>
          <w:sz w:val="24"/>
          <w:szCs w:val="24"/>
        </w:rPr>
        <w:t>.</w:t>
      </w:r>
    </w:p>
    <w:p w:rsidR="00BE3D5A" w:rsidRPr="00BE15B8" w:rsidRDefault="008479DE" w:rsidP="00BE3D5A">
      <w:pPr>
        <w:pStyle w:val="Merknadstekst"/>
        <w:numPr>
          <w:ilvl w:val="0"/>
          <w:numId w:val="5"/>
        </w:numPr>
        <w:shd w:val="clear" w:color="auto" w:fill="FFFFFF"/>
        <w:spacing w:line="276" w:lineRule="auto"/>
        <w:jc w:val="both"/>
        <w:rPr>
          <w:rFonts w:asciiTheme="minorHAnsi" w:hAnsiTheme="minorHAnsi"/>
          <w:iCs/>
          <w:sz w:val="24"/>
          <w:szCs w:val="24"/>
        </w:rPr>
      </w:pPr>
      <w:r w:rsidRPr="00BE15B8">
        <w:rPr>
          <w:rFonts w:asciiTheme="minorHAnsi" w:hAnsiTheme="minorHAnsi"/>
          <w:sz w:val="24"/>
          <w:szCs w:val="24"/>
        </w:rPr>
        <w:t xml:space="preserve">Estimates from </w:t>
      </w:r>
      <w:r w:rsidR="00DD3D94" w:rsidRPr="00BE15B8">
        <w:rPr>
          <w:rFonts w:asciiTheme="minorHAnsi" w:hAnsiTheme="minorHAnsi"/>
          <w:sz w:val="24"/>
          <w:szCs w:val="24"/>
        </w:rPr>
        <w:t>16 EU countries</w:t>
      </w:r>
      <w:r w:rsidR="00FB1061" w:rsidRPr="00BE15B8">
        <w:rPr>
          <w:rFonts w:asciiTheme="minorHAnsi" w:hAnsiTheme="minorHAnsi"/>
          <w:sz w:val="24"/>
          <w:szCs w:val="24"/>
        </w:rPr>
        <w:t xml:space="preserve"> </w:t>
      </w:r>
      <w:r w:rsidR="00B7373E" w:rsidRPr="00BE15B8">
        <w:rPr>
          <w:rFonts w:asciiTheme="minorHAnsi" w:hAnsiTheme="minorHAnsi"/>
          <w:iCs/>
          <w:sz w:val="24"/>
          <w:szCs w:val="24"/>
        </w:rPr>
        <w:t>(EMCDDA, 2014b)</w:t>
      </w:r>
      <w:r w:rsidR="00B7373E">
        <w:rPr>
          <w:rFonts w:asciiTheme="minorHAnsi" w:hAnsiTheme="minorHAnsi"/>
          <w:iCs/>
          <w:sz w:val="24"/>
          <w:szCs w:val="24"/>
        </w:rPr>
        <w:t xml:space="preserve"> </w:t>
      </w:r>
      <w:r w:rsidRPr="00BE15B8">
        <w:rPr>
          <w:rFonts w:asciiTheme="minorHAnsi" w:hAnsiTheme="minorHAnsi"/>
          <w:iCs/>
          <w:sz w:val="24"/>
          <w:szCs w:val="24"/>
        </w:rPr>
        <w:t>suggest</w:t>
      </w:r>
      <w:r w:rsidR="00D1049C" w:rsidRPr="00BE15B8">
        <w:rPr>
          <w:rFonts w:asciiTheme="minorHAnsi" w:hAnsiTheme="minorHAnsi"/>
          <w:iCs/>
          <w:sz w:val="24"/>
          <w:szCs w:val="24"/>
        </w:rPr>
        <w:t>ed</w:t>
      </w:r>
      <w:r w:rsidRPr="00BE15B8">
        <w:rPr>
          <w:rFonts w:asciiTheme="minorHAnsi" w:hAnsiTheme="minorHAnsi"/>
          <w:iCs/>
          <w:sz w:val="24"/>
          <w:szCs w:val="24"/>
        </w:rPr>
        <w:t xml:space="preserve"> that drug-related expenditure ranged from 0.01 % to 0.5 % of the gross domestic product (GDP), and </w:t>
      </w:r>
      <w:r w:rsidR="00FB1061" w:rsidRPr="00BE15B8">
        <w:rPr>
          <w:rFonts w:asciiTheme="minorHAnsi" w:hAnsiTheme="minorHAnsi"/>
          <w:sz w:val="24"/>
          <w:szCs w:val="24"/>
        </w:rPr>
        <w:t xml:space="preserve">revealed that </w:t>
      </w:r>
      <w:r w:rsidR="00DD3D94" w:rsidRPr="00BE15B8">
        <w:rPr>
          <w:rFonts w:asciiTheme="minorHAnsi" w:hAnsiTheme="minorHAnsi"/>
          <w:sz w:val="24"/>
          <w:szCs w:val="24"/>
        </w:rPr>
        <w:t xml:space="preserve">the largest share of drug-related public expenditure </w:t>
      </w:r>
      <w:r w:rsidR="00FB1061" w:rsidRPr="00BE15B8">
        <w:rPr>
          <w:rFonts w:asciiTheme="minorHAnsi" w:hAnsiTheme="minorHAnsi"/>
          <w:sz w:val="24"/>
          <w:szCs w:val="24"/>
        </w:rPr>
        <w:t>was</w:t>
      </w:r>
      <w:r w:rsidR="00F728C5" w:rsidRPr="00BE15B8">
        <w:rPr>
          <w:rFonts w:asciiTheme="minorHAnsi" w:hAnsiTheme="minorHAnsi"/>
          <w:sz w:val="24"/>
          <w:szCs w:val="24"/>
        </w:rPr>
        <w:t xml:space="preserve"> </w:t>
      </w:r>
      <w:r w:rsidR="00DD3D94" w:rsidRPr="00BE15B8">
        <w:rPr>
          <w:rFonts w:asciiTheme="minorHAnsi" w:hAnsiTheme="minorHAnsi"/>
          <w:sz w:val="24"/>
          <w:szCs w:val="24"/>
        </w:rPr>
        <w:t>allocated to supply reduction activities</w:t>
      </w:r>
      <w:r w:rsidR="00BE3D5A" w:rsidRPr="00BE15B8">
        <w:rPr>
          <w:rFonts w:asciiTheme="minorHAnsi" w:hAnsiTheme="minorHAnsi"/>
          <w:sz w:val="24"/>
          <w:szCs w:val="24"/>
        </w:rPr>
        <w:t>.</w:t>
      </w:r>
      <w:r w:rsidR="00B024ED" w:rsidRPr="00BE15B8">
        <w:rPr>
          <w:rFonts w:asciiTheme="minorHAnsi" w:hAnsiTheme="minorHAnsi"/>
          <w:iCs/>
          <w:sz w:val="24"/>
          <w:szCs w:val="24"/>
        </w:rPr>
        <w:t xml:space="preserve"> </w:t>
      </w:r>
    </w:p>
    <w:p w:rsidR="00A73EEB" w:rsidRPr="00BE15B8" w:rsidRDefault="004515BB" w:rsidP="00A73EEB">
      <w:pPr>
        <w:pStyle w:val="HTML-forhndsformatert"/>
        <w:numPr>
          <w:ilvl w:val="0"/>
          <w:numId w:val="5"/>
        </w:numPr>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iCs/>
          <w:sz w:val="24"/>
          <w:szCs w:val="24"/>
          <w:lang w:val="en-GB"/>
        </w:rPr>
        <w:t xml:space="preserve">Data availability is one of the main limitations in this field. International databases are </w:t>
      </w:r>
      <w:r w:rsidR="000004E0" w:rsidRPr="00BE15B8">
        <w:rPr>
          <w:rFonts w:asciiTheme="minorHAnsi" w:hAnsiTheme="minorHAnsi" w:cs="Times New Roman"/>
          <w:iCs/>
          <w:sz w:val="24"/>
          <w:szCs w:val="24"/>
          <w:lang w:val="en-GB"/>
        </w:rPr>
        <w:t xml:space="preserve">recommended </w:t>
      </w:r>
      <w:r w:rsidRPr="00BE15B8">
        <w:rPr>
          <w:rFonts w:asciiTheme="minorHAnsi" w:hAnsiTheme="minorHAnsi" w:cs="Times New Roman"/>
          <w:iCs/>
          <w:sz w:val="24"/>
          <w:szCs w:val="24"/>
          <w:lang w:val="en-GB"/>
        </w:rPr>
        <w:t xml:space="preserve">because they </w:t>
      </w:r>
      <w:r w:rsidR="00B11880" w:rsidRPr="00BE15B8">
        <w:rPr>
          <w:rFonts w:asciiTheme="minorHAnsi" w:hAnsiTheme="minorHAnsi" w:cs="Times New Roman"/>
          <w:iCs/>
          <w:sz w:val="24"/>
          <w:szCs w:val="24"/>
          <w:lang w:val="en-GB"/>
        </w:rPr>
        <w:t>employ</w:t>
      </w:r>
      <w:r w:rsidRPr="00BE15B8">
        <w:rPr>
          <w:rFonts w:asciiTheme="minorHAnsi" w:hAnsiTheme="minorHAnsi" w:cs="Times New Roman"/>
          <w:iCs/>
          <w:sz w:val="24"/>
          <w:szCs w:val="24"/>
          <w:lang w:val="en-GB"/>
        </w:rPr>
        <w:t xml:space="preserve"> broadly accepted concepts and definitions</w:t>
      </w:r>
      <w:r w:rsidR="00B11880" w:rsidRPr="00BE15B8">
        <w:rPr>
          <w:rFonts w:asciiTheme="minorHAnsi" w:hAnsiTheme="minorHAnsi" w:cs="Times New Roman"/>
          <w:iCs/>
          <w:sz w:val="24"/>
          <w:szCs w:val="24"/>
          <w:lang w:val="en-GB"/>
        </w:rPr>
        <w:t xml:space="preserve"> and</w:t>
      </w:r>
      <w:r w:rsidRPr="00BE15B8">
        <w:rPr>
          <w:rFonts w:asciiTheme="minorHAnsi" w:hAnsiTheme="minorHAnsi" w:cs="Times New Roman"/>
          <w:iCs/>
          <w:sz w:val="24"/>
          <w:szCs w:val="24"/>
          <w:lang w:val="en-GB"/>
        </w:rPr>
        <w:t xml:space="preserve"> </w:t>
      </w:r>
      <w:r w:rsidR="00A73EEB" w:rsidRPr="00BE15B8">
        <w:rPr>
          <w:rFonts w:asciiTheme="minorHAnsi" w:hAnsiTheme="minorHAnsi" w:cs="Times New Roman"/>
          <w:iCs/>
          <w:sz w:val="24"/>
          <w:szCs w:val="24"/>
          <w:lang w:val="en-GB"/>
        </w:rPr>
        <w:t xml:space="preserve">provide </w:t>
      </w:r>
      <w:r w:rsidR="008479DE" w:rsidRPr="00BE15B8">
        <w:rPr>
          <w:rFonts w:asciiTheme="minorHAnsi" w:hAnsiTheme="minorHAnsi" w:cs="Times New Roman"/>
          <w:iCs/>
          <w:sz w:val="24"/>
          <w:szCs w:val="24"/>
          <w:lang w:val="en-GB"/>
        </w:rPr>
        <w:t xml:space="preserve">better comparable </w:t>
      </w:r>
      <w:r w:rsidR="00F728C5" w:rsidRPr="00BE15B8">
        <w:rPr>
          <w:rFonts w:asciiTheme="minorHAnsi" w:hAnsiTheme="minorHAnsi" w:cs="Times New Roman"/>
          <w:iCs/>
          <w:sz w:val="24"/>
          <w:szCs w:val="24"/>
          <w:lang w:val="en-GB"/>
        </w:rPr>
        <w:t>data</w:t>
      </w:r>
      <w:r w:rsidRPr="00BE15B8">
        <w:rPr>
          <w:rFonts w:asciiTheme="minorHAnsi" w:hAnsiTheme="minorHAnsi" w:cs="Times New Roman"/>
          <w:iCs/>
          <w:sz w:val="24"/>
          <w:szCs w:val="24"/>
          <w:lang w:val="en-GB"/>
        </w:rPr>
        <w:t xml:space="preserve">. Sometimes, </w:t>
      </w:r>
      <w:r w:rsidR="003A0861" w:rsidRPr="00BE15B8">
        <w:rPr>
          <w:rFonts w:asciiTheme="minorHAnsi" w:hAnsiTheme="minorHAnsi" w:cs="Times New Roman"/>
          <w:iCs/>
          <w:sz w:val="24"/>
          <w:szCs w:val="24"/>
          <w:lang w:val="en-GB"/>
        </w:rPr>
        <w:t xml:space="preserve">however, </w:t>
      </w:r>
      <w:r w:rsidRPr="00BE15B8">
        <w:rPr>
          <w:rFonts w:asciiTheme="minorHAnsi" w:hAnsiTheme="minorHAnsi" w:cs="Times New Roman"/>
          <w:iCs/>
          <w:sz w:val="24"/>
          <w:szCs w:val="24"/>
          <w:lang w:val="en-GB"/>
        </w:rPr>
        <w:t>national dataset can have more detailed or reliable information.</w:t>
      </w:r>
      <w:r w:rsidR="003A0861" w:rsidRPr="00BE15B8">
        <w:rPr>
          <w:rFonts w:asciiTheme="minorHAnsi" w:hAnsiTheme="minorHAnsi" w:cs="Times New Roman"/>
          <w:iCs/>
          <w:sz w:val="24"/>
          <w:szCs w:val="24"/>
          <w:lang w:val="en-GB"/>
        </w:rPr>
        <w:t xml:space="preserve"> </w:t>
      </w:r>
    </w:p>
    <w:p w:rsidR="00A73EEB" w:rsidRPr="00BE15B8" w:rsidRDefault="00A73EEB" w:rsidP="00A73EEB">
      <w:pPr>
        <w:pStyle w:val="HTML-forhndsformatert"/>
        <w:shd w:val="clear" w:color="auto" w:fill="FFFFFF"/>
        <w:spacing w:line="276" w:lineRule="auto"/>
        <w:ind w:left="720"/>
        <w:jc w:val="both"/>
        <w:rPr>
          <w:rFonts w:asciiTheme="minorHAnsi" w:hAnsiTheme="minorHAnsi" w:cs="Times New Roman"/>
          <w:iCs/>
          <w:sz w:val="24"/>
          <w:szCs w:val="24"/>
          <w:lang w:val="en-GB"/>
        </w:rPr>
      </w:pPr>
    </w:p>
    <w:p w:rsidR="00A73EEB" w:rsidRPr="00BE15B8" w:rsidRDefault="00A73EEB" w:rsidP="004515BB">
      <w:pPr>
        <w:pStyle w:val="HTML-forhndsformatert"/>
        <w:numPr>
          <w:ilvl w:val="0"/>
          <w:numId w:val="5"/>
        </w:numPr>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iCs/>
          <w:sz w:val="24"/>
          <w:szCs w:val="24"/>
          <w:lang w:val="en-GB"/>
        </w:rPr>
        <w:t xml:space="preserve">The total budget for supply reduction services is the sum of labelled and unlabelled expenditures. Labelled expenditures are clearly identified in </w:t>
      </w:r>
      <w:r w:rsidR="00D1049C" w:rsidRPr="00BE15B8">
        <w:rPr>
          <w:rFonts w:asciiTheme="minorHAnsi" w:hAnsiTheme="minorHAnsi" w:cs="Times New Roman"/>
          <w:iCs/>
          <w:sz w:val="24"/>
          <w:szCs w:val="24"/>
          <w:lang w:val="en-GB"/>
        </w:rPr>
        <w:t xml:space="preserve">public </w:t>
      </w:r>
      <w:r w:rsidRPr="00BE15B8">
        <w:rPr>
          <w:rFonts w:asciiTheme="minorHAnsi" w:hAnsiTheme="minorHAnsi" w:cs="Times New Roman"/>
          <w:iCs/>
          <w:sz w:val="24"/>
          <w:szCs w:val="24"/>
          <w:lang w:val="en-GB"/>
        </w:rPr>
        <w:t>budget</w:t>
      </w:r>
      <w:r w:rsidR="00D1049C" w:rsidRPr="00BE15B8">
        <w:rPr>
          <w:rFonts w:asciiTheme="minorHAnsi" w:hAnsiTheme="minorHAnsi" w:cs="Times New Roman"/>
          <w:iCs/>
          <w:sz w:val="24"/>
          <w:szCs w:val="24"/>
          <w:lang w:val="en-GB"/>
        </w:rPr>
        <w:t>,</w:t>
      </w:r>
      <w:r w:rsidRPr="00BE15B8">
        <w:rPr>
          <w:rFonts w:asciiTheme="minorHAnsi" w:hAnsiTheme="minorHAnsi" w:cs="Times New Roman"/>
          <w:iCs/>
          <w:sz w:val="24"/>
          <w:szCs w:val="24"/>
          <w:lang w:val="en-GB"/>
        </w:rPr>
        <w:t xml:space="preserve"> whereas </w:t>
      </w:r>
      <w:r w:rsidR="00D1049C" w:rsidRPr="00BE15B8">
        <w:rPr>
          <w:rFonts w:asciiTheme="minorHAnsi" w:hAnsiTheme="minorHAnsi" w:cs="Times New Roman"/>
          <w:iCs/>
          <w:sz w:val="24"/>
          <w:szCs w:val="24"/>
          <w:lang w:val="en-GB"/>
        </w:rPr>
        <w:t xml:space="preserve">a modelling procedure is required for estimating </w:t>
      </w:r>
      <w:r w:rsidRPr="00BE15B8">
        <w:rPr>
          <w:rFonts w:asciiTheme="minorHAnsi" w:hAnsiTheme="minorHAnsi" w:cs="Times New Roman"/>
          <w:iCs/>
          <w:sz w:val="24"/>
          <w:szCs w:val="24"/>
          <w:lang w:val="en-GB"/>
        </w:rPr>
        <w:t>unla</w:t>
      </w:r>
      <w:r w:rsidR="00D1049C" w:rsidRPr="00BE15B8">
        <w:rPr>
          <w:rFonts w:asciiTheme="minorHAnsi" w:hAnsiTheme="minorHAnsi" w:cs="Times New Roman"/>
          <w:iCs/>
          <w:sz w:val="24"/>
          <w:szCs w:val="24"/>
          <w:lang w:val="en-GB"/>
        </w:rPr>
        <w:t xml:space="preserve">belled ones. The modelling is either based on a top-down or a bottom-up approach. </w:t>
      </w:r>
      <w:r w:rsidR="007A7BBB" w:rsidRPr="00BE15B8">
        <w:rPr>
          <w:rFonts w:asciiTheme="minorHAnsi" w:hAnsiTheme="minorHAnsi" w:cs="Times New Roman"/>
          <w:iCs/>
          <w:sz w:val="24"/>
          <w:szCs w:val="24"/>
          <w:lang w:val="en-GB"/>
        </w:rPr>
        <w:t xml:space="preserve">A list of advantages and limitations for both alternatives is provided, in addition to empirical expenditure studies for supply reduction sectors and some European countries. </w:t>
      </w:r>
    </w:p>
    <w:p w:rsidR="00A73EEB" w:rsidRPr="00BE15B8" w:rsidRDefault="00A73EEB" w:rsidP="00A73EEB">
      <w:pPr>
        <w:pStyle w:val="Listeavsnitt"/>
        <w:rPr>
          <w:rFonts w:asciiTheme="minorHAnsi" w:hAnsiTheme="minorHAnsi"/>
          <w:iCs/>
          <w:sz w:val="24"/>
          <w:szCs w:val="24"/>
        </w:rPr>
      </w:pPr>
    </w:p>
    <w:p w:rsidR="000C17CB" w:rsidRPr="00BE15B8" w:rsidRDefault="000C17CB" w:rsidP="004515BB">
      <w:pPr>
        <w:pStyle w:val="HTML-forhndsformatert"/>
        <w:numPr>
          <w:ilvl w:val="0"/>
          <w:numId w:val="5"/>
        </w:numPr>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sz w:val="24"/>
          <w:szCs w:val="24"/>
          <w:lang w:val="en-GB"/>
        </w:rPr>
        <w:t xml:space="preserve">Improving estimation methods, agreeing on best practices and finding reliable standardized data will increase and expand the utility of public expenditure estimates, as analysis over time and across policy areas and countries can be made. Improved data quality and further methodological developments are needed to achieve this. </w:t>
      </w:r>
    </w:p>
    <w:p w:rsidR="000C17CB" w:rsidRPr="00BE15B8" w:rsidRDefault="000C17CB" w:rsidP="000C17CB">
      <w:pPr>
        <w:pStyle w:val="Listeavsnitt"/>
        <w:rPr>
          <w:rFonts w:asciiTheme="minorHAnsi" w:hAnsiTheme="minorHAnsi"/>
          <w:iCs/>
          <w:sz w:val="24"/>
          <w:szCs w:val="24"/>
        </w:rPr>
      </w:pPr>
    </w:p>
    <w:p w:rsidR="00B024ED" w:rsidRPr="00BE15B8" w:rsidRDefault="00B024ED" w:rsidP="00B024ED">
      <w:pPr>
        <w:pStyle w:val="Listeavsnitt"/>
        <w:rPr>
          <w:rFonts w:asciiTheme="minorHAnsi" w:hAnsiTheme="minorHAnsi"/>
          <w:iCs/>
          <w:sz w:val="24"/>
          <w:szCs w:val="24"/>
        </w:rPr>
      </w:pPr>
    </w:p>
    <w:p w:rsidR="007A7BBB" w:rsidRPr="00BE15B8" w:rsidRDefault="007A7BBB">
      <w:pPr>
        <w:rPr>
          <w:rFonts w:asciiTheme="minorHAnsi" w:hAnsiTheme="minorHAnsi"/>
          <w:b/>
          <w:iCs/>
          <w:sz w:val="28"/>
          <w:szCs w:val="28"/>
        </w:rPr>
      </w:pPr>
      <w:r w:rsidRPr="00BE15B8">
        <w:rPr>
          <w:rFonts w:asciiTheme="minorHAnsi" w:hAnsiTheme="minorHAnsi"/>
          <w:b/>
          <w:iCs/>
          <w:sz w:val="28"/>
          <w:szCs w:val="28"/>
        </w:rPr>
        <w:br w:type="page"/>
      </w:r>
    </w:p>
    <w:p w:rsidR="00B024ED" w:rsidRPr="00BE15B8" w:rsidRDefault="00B024ED" w:rsidP="00B024ED">
      <w:pPr>
        <w:rPr>
          <w:rFonts w:asciiTheme="minorHAnsi" w:hAnsiTheme="minorHAnsi"/>
          <w:b/>
          <w:iCs/>
          <w:sz w:val="28"/>
          <w:szCs w:val="28"/>
        </w:rPr>
      </w:pPr>
      <w:r w:rsidRPr="00BE15B8">
        <w:rPr>
          <w:rFonts w:asciiTheme="minorHAnsi" w:hAnsiTheme="minorHAnsi"/>
          <w:b/>
          <w:iCs/>
          <w:sz w:val="28"/>
          <w:szCs w:val="28"/>
        </w:rPr>
        <w:lastRenderedPageBreak/>
        <w:t>Recommendations</w:t>
      </w:r>
    </w:p>
    <w:p w:rsidR="00B024ED" w:rsidRPr="00BE15B8" w:rsidRDefault="000C17CB" w:rsidP="0052326E">
      <w:pPr>
        <w:pStyle w:val="HTML-forhndsformatert"/>
        <w:numPr>
          <w:ilvl w:val="0"/>
          <w:numId w:val="7"/>
        </w:numPr>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iCs/>
          <w:sz w:val="24"/>
          <w:szCs w:val="24"/>
          <w:lang w:val="en-GB"/>
        </w:rPr>
        <w:t xml:space="preserve">In order to conduct </w:t>
      </w:r>
      <w:r w:rsidR="008F4C26" w:rsidRPr="00BE15B8">
        <w:rPr>
          <w:rFonts w:asciiTheme="minorHAnsi" w:hAnsiTheme="minorHAnsi" w:cs="Times New Roman"/>
          <w:iCs/>
          <w:sz w:val="24"/>
          <w:szCs w:val="24"/>
          <w:lang w:val="en-GB"/>
        </w:rPr>
        <w:t>meaningful estimation</w:t>
      </w:r>
      <w:r w:rsidRPr="00BE15B8">
        <w:rPr>
          <w:rFonts w:asciiTheme="minorHAnsi" w:hAnsiTheme="minorHAnsi" w:cs="Times New Roman"/>
          <w:iCs/>
          <w:sz w:val="24"/>
          <w:szCs w:val="24"/>
          <w:lang w:val="en-GB"/>
        </w:rPr>
        <w:t>s</w:t>
      </w:r>
      <w:r w:rsidR="008F4C26" w:rsidRPr="00BE15B8">
        <w:rPr>
          <w:rFonts w:asciiTheme="minorHAnsi" w:hAnsiTheme="minorHAnsi" w:cs="Times New Roman"/>
          <w:iCs/>
          <w:sz w:val="24"/>
          <w:szCs w:val="24"/>
          <w:lang w:val="en-GB"/>
        </w:rPr>
        <w:t xml:space="preserve"> of resources spent on </w:t>
      </w:r>
      <w:r w:rsidR="0052326E" w:rsidRPr="00BE15B8">
        <w:rPr>
          <w:rFonts w:asciiTheme="minorHAnsi" w:hAnsiTheme="minorHAnsi" w:cs="Times New Roman"/>
          <w:iCs/>
          <w:sz w:val="24"/>
          <w:szCs w:val="24"/>
          <w:lang w:val="en-GB"/>
        </w:rPr>
        <w:t>drug control measures and</w:t>
      </w:r>
      <w:r w:rsidR="008F4C26" w:rsidRPr="00BE15B8">
        <w:rPr>
          <w:rFonts w:asciiTheme="minorHAnsi" w:hAnsiTheme="minorHAnsi" w:cs="Times New Roman"/>
          <w:iCs/>
          <w:sz w:val="24"/>
          <w:szCs w:val="24"/>
          <w:lang w:val="en-GB"/>
        </w:rPr>
        <w:t xml:space="preserve"> </w:t>
      </w:r>
      <w:r w:rsidRPr="00BE15B8">
        <w:rPr>
          <w:rFonts w:asciiTheme="minorHAnsi" w:hAnsiTheme="minorHAnsi" w:cs="Times New Roman"/>
          <w:iCs/>
          <w:sz w:val="24"/>
          <w:szCs w:val="24"/>
          <w:lang w:val="en-GB"/>
        </w:rPr>
        <w:t xml:space="preserve">to </w:t>
      </w:r>
      <w:r w:rsidR="008F4C26" w:rsidRPr="00BE15B8">
        <w:rPr>
          <w:rFonts w:asciiTheme="minorHAnsi" w:hAnsiTheme="minorHAnsi" w:cs="Times New Roman"/>
          <w:iCs/>
          <w:sz w:val="24"/>
          <w:szCs w:val="24"/>
          <w:lang w:val="en-GB"/>
        </w:rPr>
        <w:t>measur</w:t>
      </w:r>
      <w:r w:rsidRPr="00BE15B8">
        <w:rPr>
          <w:rFonts w:asciiTheme="minorHAnsi" w:hAnsiTheme="minorHAnsi" w:cs="Times New Roman"/>
          <w:iCs/>
          <w:sz w:val="24"/>
          <w:szCs w:val="24"/>
          <w:lang w:val="en-GB"/>
        </w:rPr>
        <w:t>e</w:t>
      </w:r>
      <w:r w:rsidR="008F4C26" w:rsidRPr="00BE15B8">
        <w:rPr>
          <w:rFonts w:asciiTheme="minorHAnsi" w:hAnsiTheme="minorHAnsi" w:cs="Times New Roman"/>
          <w:iCs/>
          <w:sz w:val="24"/>
          <w:szCs w:val="24"/>
          <w:lang w:val="en-GB"/>
        </w:rPr>
        <w:t xml:space="preserve"> the impact of drug control policies</w:t>
      </w:r>
      <w:r w:rsidR="0052326E" w:rsidRPr="00BE15B8">
        <w:rPr>
          <w:rFonts w:asciiTheme="minorHAnsi" w:hAnsiTheme="minorHAnsi" w:cs="Times New Roman"/>
          <w:iCs/>
          <w:sz w:val="24"/>
          <w:szCs w:val="24"/>
          <w:lang w:val="en-GB"/>
        </w:rPr>
        <w:t>,</w:t>
      </w:r>
      <w:r w:rsidR="008F4C26" w:rsidRPr="00BE15B8">
        <w:rPr>
          <w:rFonts w:asciiTheme="minorHAnsi" w:hAnsiTheme="minorHAnsi" w:cs="Times New Roman"/>
          <w:iCs/>
          <w:sz w:val="24"/>
          <w:szCs w:val="24"/>
          <w:lang w:val="en-GB"/>
        </w:rPr>
        <w:t xml:space="preserve"> it would be </w:t>
      </w:r>
      <w:r w:rsidR="00D717C8" w:rsidRPr="00BE15B8">
        <w:rPr>
          <w:rFonts w:asciiTheme="minorHAnsi" w:hAnsiTheme="minorHAnsi" w:cs="Times New Roman"/>
          <w:iCs/>
          <w:sz w:val="24"/>
          <w:szCs w:val="24"/>
          <w:lang w:val="en-GB"/>
        </w:rPr>
        <w:t>useful</w:t>
      </w:r>
      <w:r w:rsidR="008F4C26" w:rsidRPr="00BE15B8">
        <w:rPr>
          <w:rFonts w:asciiTheme="minorHAnsi" w:hAnsiTheme="minorHAnsi" w:cs="Times New Roman"/>
          <w:iCs/>
          <w:sz w:val="24"/>
          <w:szCs w:val="24"/>
          <w:lang w:val="en-GB"/>
        </w:rPr>
        <w:t xml:space="preserve"> to </w:t>
      </w:r>
      <w:r w:rsidRPr="00BE15B8">
        <w:rPr>
          <w:rFonts w:asciiTheme="minorHAnsi" w:hAnsiTheme="minorHAnsi" w:cs="Times New Roman"/>
          <w:iCs/>
          <w:sz w:val="24"/>
          <w:szCs w:val="24"/>
          <w:lang w:val="en-GB"/>
        </w:rPr>
        <w:t xml:space="preserve">improve </w:t>
      </w:r>
      <w:r w:rsidR="00BF7247" w:rsidRPr="00BE15B8">
        <w:rPr>
          <w:rFonts w:asciiTheme="minorHAnsi" w:hAnsiTheme="minorHAnsi" w:cs="Times New Roman"/>
          <w:iCs/>
          <w:sz w:val="24"/>
          <w:szCs w:val="24"/>
          <w:lang w:val="en-GB"/>
        </w:rPr>
        <w:t xml:space="preserve">relevant </w:t>
      </w:r>
      <w:r w:rsidR="00B13082" w:rsidRPr="00BE15B8">
        <w:rPr>
          <w:rFonts w:asciiTheme="minorHAnsi" w:hAnsiTheme="minorHAnsi" w:cs="Times New Roman"/>
          <w:iCs/>
          <w:sz w:val="24"/>
          <w:szCs w:val="24"/>
          <w:lang w:val="en-GB"/>
        </w:rPr>
        <w:t>data</w:t>
      </w:r>
      <w:r w:rsidRPr="00BE15B8">
        <w:rPr>
          <w:rFonts w:asciiTheme="minorHAnsi" w:hAnsiTheme="minorHAnsi" w:cs="Times New Roman"/>
          <w:iCs/>
          <w:sz w:val="24"/>
          <w:szCs w:val="24"/>
          <w:lang w:val="en-GB"/>
        </w:rPr>
        <w:t xml:space="preserve"> sources.</w:t>
      </w:r>
      <w:r w:rsidR="00B13082" w:rsidRPr="00BE15B8">
        <w:rPr>
          <w:rFonts w:asciiTheme="minorHAnsi" w:hAnsiTheme="minorHAnsi" w:cs="Times New Roman"/>
          <w:iCs/>
          <w:sz w:val="24"/>
          <w:szCs w:val="24"/>
          <w:lang w:val="en-GB"/>
        </w:rPr>
        <w:t xml:space="preserve"> </w:t>
      </w:r>
      <w:r w:rsidR="00BF7247" w:rsidRPr="00BE15B8">
        <w:rPr>
          <w:rFonts w:asciiTheme="minorHAnsi" w:hAnsiTheme="minorHAnsi" w:cs="Times New Roman"/>
          <w:iCs/>
          <w:sz w:val="24"/>
          <w:szCs w:val="24"/>
          <w:lang w:val="en-GB"/>
        </w:rPr>
        <w:t>One option is to</w:t>
      </w:r>
      <w:r w:rsidR="00B13082" w:rsidRPr="00BE15B8">
        <w:rPr>
          <w:rFonts w:asciiTheme="minorHAnsi" w:hAnsiTheme="minorHAnsi" w:cs="Times New Roman"/>
          <w:iCs/>
          <w:sz w:val="24"/>
          <w:szCs w:val="24"/>
          <w:lang w:val="en-GB"/>
        </w:rPr>
        <w:t xml:space="preserve"> </w:t>
      </w:r>
      <w:r w:rsidR="00BF7247" w:rsidRPr="00BE15B8">
        <w:rPr>
          <w:rFonts w:asciiTheme="minorHAnsi" w:hAnsiTheme="minorHAnsi" w:cs="Times New Roman"/>
          <w:iCs/>
          <w:sz w:val="24"/>
          <w:szCs w:val="24"/>
          <w:lang w:val="en-GB"/>
        </w:rPr>
        <w:t>develop</w:t>
      </w:r>
      <w:r w:rsidR="00B13082" w:rsidRPr="00BE15B8">
        <w:rPr>
          <w:rFonts w:asciiTheme="minorHAnsi" w:hAnsiTheme="minorHAnsi" w:cs="Times New Roman"/>
          <w:iCs/>
          <w:sz w:val="24"/>
          <w:szCs w:val="24"/>
          <w:lang w:val="en-GB"/>
        </w:rPr>
        <w:t xml:space="preserve"> </w:t>
      </w:r>
      <w:r w:rsidR="00B024ED" w:rsidRPr="00BE15B8">
        <w:rPr>
          <w:rFonts w:asciiTheme="minorHAnsi" w:hAnsiTheme="minorHAnsi" w:cs="Times New Roman"/>
          <w:iCs/>
          <w:sz w:val="24"/>
          <w:szCs w:val="24"/>
          <w:lang w:val="en-GB"/>
        </w:rPr>
        <w:t>guidelines</w:t>
      </w:r>
      <w:r w:rsidR="008F4C26" w:rsidRPr="00BE15B8">
        <w:rPr>
          <w:rFonts w:asciiTheme="minorHAnsi" w:hAnsiTheme="minorHAnsi" w:cs="Times New Roman"/>
          <w:iCs/>
          <w:sz w:val="24"/>
          <w:szCs w:val="24"/>
          <w:lang w:val="en-GB"/>
        </w:rPr>
        <w:t xml:space="preserve"> for </w:t>
      </w:r>
      <w:r w:rsidR="00B13082" w:rsidRPr="00BE15B8">
        <w:rPr>
          <w:rFonts w:asciiTheme="minorHAnsi" w:hAnsiTheme="minorHAnsi" w:cs="Times New Roman"/>
          <w:iCs/>
          <w:sz w:val="24"/>
          <w:szCs w:val="24"/>
          <w:lang w:val="en-GB"/>
        </w:rPr>
        <w:t xml:space="preserve">data collection and </w:t>
      </w:r>
      <w:r w:rsidR="00B024ED" w:rsidRPr="00BE15B8">
        <w:rPr>
          <w:rFonts w:asciiTheme="minorHAnsi" w:hAnsiTheme="minorHAnsi" w:cs="Times New Roman"/>
          <w:iCs/>
          <w:sz w:val="24"/>
          <w:szCs w:val="24"/>
          <w:lang w:val="en-GB"/>
        </w:rPr>
        <w:t xml:space="preserve">economic </w:t>
      </w:r>
      <w:r w:rsidR="00B13082" w:rsidRPr="00BE15B8">
        <w:rPr>
          <w:rFonts w:asciiTheme="minorHAnsi" w:hAnsiTheme="minorHAnsi" w:cs="Times New Roman"/>
          <w:iCs/>
          <w:sz w:val="24"/>
          <w:szCs w:val="24"/>
          <w:lang w:val="en-GB"/>
        </w:rPr>
        <w:t>modelling of evaluations</w:t>
      </w:r>
      <w:r w:rsidR="0058061F" w:rsidRPr="00BE15B8">
        <w:rPr>
          <w:rFonts w:asciiTheme="minorHAnsi" w:hAnsiTheme="minorHAnsi" w:cs="Times New Roman"/>
          <w:iCs/>
          <w:sz w:val="24"/>
          <w:szCs w:val="24"/>
          <w:lang w:val="en-GB"/>
        </w:rPr>
        <w:t>.</w:t>
      </w:r>
    </w:p>
    <w:p w:rsidR="008F4C26" w:rsidRPr="00BE15B8" w:rsidRDefault="008F4C26" w:rsidP="0052326E">
      <w:pPr>
        <w:pStyle w:val="HTML-forhndsformatert"/>
        <w:shd w:val="clear" w:color="auto" w:fill="FFFFFF"/>
        <w:spacing w:line="276" w:lineRule="auto"/>
        <w:jc w:val="both"/>
        <w:rPr>
          <w:rFonts w:asciiTheme="minorHAnsi" w:hAnsiTheme="minorHAnsi" w:cs="Times New Roman"/>
          <w:iCs/>
          <w:sz w:val="24"/>
          <w:szCs w:val="24"/>
          <w:lang w:val="en-GB"/>
        </w:rPr>
      </w:pPr>
    </w:p>
    <w:p w:rsidR="000365A6" w:rsidRPr="00BE15B8" w:rsidRDefault="00DB5C37" w:rsidP="000365A6">
      <w:pPr>
        <w:pStyle w:val="Listeavsnitt"/>
        <w:numPr>
          <w:ilvl w:val="0"/>
          <w:numId w:val="7"/>
        </w:numPr>
        <w:spacing w:after="0"/>
        <w:jc w:val="both"/>
        <w:rPr>
          <w:rFonts w:asciiTheme="minorHAnsi" w:hAnsiTheme="minorHAnsi"/>
          <w:sz w:val="24"/>
          <w:szCs w:val="24"/>
        </w:rPr>
      </w:pPr>
      <w:r w:rsidRPr="00BE15B8">
        <w:rPr>
          <w:rFonts w:asciiTheme="minorHAnsi" w:hAnsiTheme="minorHAnsi"/>
          <w:sz w:val="24"/>
          <w:szCs w:val="24"/>
        </w:rPr>
        <w:t>I</w:t>
      </w:r>
      <w:r w:rsidR="000365A6" w:rsidRPr="00BE15B8">
        <w:rPr>
          <w:rFonts w:asciiTheme="minorHAnsi" w:hAnsiTheme="minorHAnsi"/>
          <w:sz w:val="24"/>
          <w:szCs w:val="24"/>
        </w:rPr>
        <w:t xml:space="preserve">t is essential to classify public expenditure based </w:t>
      </w:r>
      <w:r w:rsidR="00BF7247" w:rsidRPr="00BE15B8">
        <w:rPr>
          <w:rFonts w:asciiTheme="minorHAnsi" w:hAnsiTheme="minorHAnsi"/>
          <w:sz w:val="24"/>
          <w:szCs w:val="24"/>
        </w:rPr>
        <w:t>o</w:t>
      </w:r>
      <w:r w:rsidR="000365A6" w:rsidRPr="00BE15B8">
        <w:rPr>
          <w:rFonts w:asciiTheme="minorHAnsi" w:hAnsiTheme="minorHAnsi"/>
          <w:sz w:val="24"/>
          <w:szCs w:val="24"/>
        </w:rPr>
        <w:t xml:space="preserve">n the purpose which the expenditure is intended for. It therefore </w:t>
      </w:r>
      <w:r w:rsidR="00B13082" w:rsidRPr="00BE15B8">
        <w:rPr>
          <w:rFonts w:asciiTheme="minorHAnsi" w:hAnsiTheme="minorHAnsi"/>
          <w:sz w:val="24"/>
          <w:szCs w:val="24"/>
        </w:rPr>
        <w:t xml:space="preserve">useful </w:t>
      </w:r>
      <w:r w:rsidR="000365A6" w:rsidRPr="00BE15B8">
        <w:rPr>
          <w:rFonts w:asciiTheme="minorHAnsi" w:hAnsiTheme="minorHAnsi"/>
          <w:sz w:val="24"/>
          <w:szCs w:val="24"/>
        </w:rPr>
        <w:t>to use a consistent categorisation system</w:t>
      </w:r>
      <w:r w:rsidR="00B13082" w:rsidRPr="00BE15B8">
        <w:rPr>
          <w:rFonts w:asciiTheme="minorHAnsi" w:hAnsiTheme="minorHAnsi"/>
          <w:sz w:val="24"/>
          <w:szCs w:val="24"/>
        </w:rPr>
        <w:t>, as the</w:t>
      </w:r>
      <w:r w:rsidR="000365A6" w:rsidRPr="00BE15B8">
        <w:rPr>
          <w:rFonts w:asciiTheme="minorHAnsi" w:hAnsiTheme="minorHAnsi"/>
          <w:sz w:val="24"/>
          <w:szCs w:val="24"/>
        </w:rPr>
        <w:t xml:space="preserve"> international Classification of the Functions of Government (COFOG).</w:t>
      </w:r>
    </w:p>
    <w:p w:rsidR="000365A6" w:rsidRPr="00BE15B8" w:rsidRDefault="000365A6" w:rsidP="000365A6">
      <w:pPr>
        <w:pStyle w:val="Listeavsnitt"/>
        <w:rPr>
          <w:rFonts w:asciiTheme="minorHAnsi" w:hAnsiTheme="minorHAnsi"/>
          <w:sz w:val="24"/>
          <w:szCs w:val="24"/>
        </w:rPr>
      </w:pPr>
    </w:p>
    <w:p w:rsidR="000365A6" w:rsidRPr="00BE15B8" w:rsidRDefault="007142B3" w:rsidP="000365A6">
      <w:pPr>
        <w:pStyle w:val="Listeavsnitt"/>
        <w:numPr>
          <w:ilvl w:val="0"/>
          <w:numId w:val="7"/>
        </w:numPr>
        <w:spacing w:after="0"/>
        <w:jc w:val="both"/>
        <w:rPr>
          <w:rFonts w:asciiTheme="minorHAnsi" w:hAnsiTheme="minorHAnsi"/>
          <w:sz w:val="24"/>
          <w:szCs w:val="24"/>
        </w:rPr>
      </w:pPr>
      <w:r w:rsidRPr="00BE15B8">
        <w:rPr>
          <w:rFonts w:asciiTheme="minorHAnsi" w:hAnsiTheme="minorHAnsi"/>
          <w:sz w:val="24"/>
          <w:szCs w:val="24"/>
        </w:rPr>
        <w:t xml:space="preserve">In order to estimate unlabelled drug-related expenditures </w:t>
      </w:r>
      <w:r w:rsidR="000365A6" w:rsidRPr="00BE15B8">
        <w:rPr>
          <w:rFonts w:asciiTheme="minorHAnsi" w:hAnsiTheme="minorHAnsi"/>
          <w:sz w:val="24"/>
          <w:szCs w:val="24"/>
        </w:rPr>
        <w:t xml:space="preserve">a methodology of using a set of repartition keys according </w:t>
      </w:r>
      <w:r w:rsidRPr="00BE15B8">
        <w:rPr>
          <w:rFonts w:asciiTheme="minorHAnsi" w:hAnsiTheme="minorHAnsi"/>
          <w:sz w:val="24"/>
          <w:szCs w:val="24"/>
        </w:rPr>
        <w:t xml:space="preserve">to COFOG categories </w:t>
      </w:r>
      <w:r w:rsidR="00B13082" w:rsidRPr="00BE15B8">
        <w:rPr>
          <w:rFonts w:asciiTheme="minorHAnsi" w:hAnsiTheme="minorHAnsi"/>
          <w:sz w:val="24"/>
          <w:szCs w:val="24"/>
        </w:rPr>
        <w:t xml:space="preserve">can be used as a </w:t>
      </w:r>
      <w:r w:rsidRPr="00BE15B8">
        <w:rPr>
          <w:rFonts w:asciiTheme="minorHAnsi" w:hAnsiTheme="minorHAnsi"/>
          <w:sz w:val="24"/>
          <w:szCs w:val="24"/>
        </w:rPr>
        <w:t xml:space="preserve">starting point. A </w:t>
      </w:r>
      <w:r w:rsidR="00BF7247" w:rsidRPr="00BE15B8">
        <w:rPr>
          <w:rFonts w:asciiTheme="minorHAnsi" w:hAnsiTheme="minorHAnsi"/>
          <w:sz w:val="24"/>
          <w:szCs w:val="24"/>
        </w:rPr>
        <w:t>general</w:t>
      </w:r>
      <w:r w:rsidRPr="00BE15B8">
        <w:rPr>
          <w:rFonts w:asciiTheme="minorHAnsi" w:hAnsiTheme="minorHAnsi"/>
          <w:sz w:val="24"/>
          <w:szCs w:val="24"/>
        </w:rPr>
        <w:t xml:space="preserve"> </w:t>
      </w:r>
      <w:r w:rsidR="00B13082" w:rsidRPr="00BE15B8">
        <w:rPr>
          <w:rFonts w:asciiTheme="minorHAnsi" w:hAnsiTheme="minorHAnsi"/>
          <w:sz w:val="24"/>
          <w:szCs w:val="24"/>
        </w:rPr>
        <w:t xml:space="preserve">agreement </w:t>
      </w:r>
      <w:r w:rsidR="00BF7247" w:rsidRPr="00BE15B8">
        <w:rPr>
          <w:rFonts w:asciiTheme="minorHAnsi" w:hAnsiTheme="minorHAnsi"/>
          <w:sz w:val="24"/>
          <w:szCs w:val="24"/>
        </w:rPr>
        <w:t xml:space="preserve">by all participating countries </w:t>
      </w:r>
      <w:r w:rsidR="00B13082" w:rsidRPr="00BE15B8">
        <w:rPr>
          <w:rFonts w:asciiTheme="minorHAnsi" w:hAnsiTheme="minorHAnsi"/>
          <w:sz w:val="24"/>
          <w:szCs w:val="24"/>
        </w:rPr>
        <w:t>on definitions and methods will</w:t>
      </w:r>
      <w:r w:rsidRPr="00BE15B8">
        <w:rPr>
          <w:rFonts w:asciiTheme="minorHAnsi" w:hAnsiTheme="minorHAnsi"/>
          <w:sz w:val="24"/>
          <w:szCs w:val="24"/>
        </w:rPr>
        <w:t xml:space="preserve"> contribute</w:t>
      </w:r>
      <w:r w:rsidR="000365A6" w:rsidRPr="00BE15B8">
        <w:rPr>
          <w:rFonts w:asciiTheme="minorHAnsi" w:hAnsiTheme="minorHAnsi"/>
          <w:sz w:val="24"/>
          <w:szCs w:val="24"/>
        </w:rPr>
        <w:t xml:space="preserve"> to getting more comparable results among countries.</w:t>
      </w:r>
    </w:p>
    <w:p w:rsidR="006B215B" w:rsidRPr="00BE15B8" w:rsidRDefault="006B215B" w:rsidP="0052326E">
      <w:pPr>
        <w:pStyle w:val="Listeavsnitt"/>
        <w:rPr>
          <w:rFonts w:asciiTheme="minorHAnsi" w:hAnsiTheme="minorHAnsi"/>
          <w:iCs/>
          <w:sz w:val="24"/>
          <w:szCs w:val="24"/>
        </w:rPr>
      </w:pPr>
    </w:p>
    <w:p w:rsidR="009451EB" w:rsidRPr="00BE15B8" w:rsidRDefault="009451EB" w:rsidP="0052326E">
      <w:pPr>
        <w:pStyle w:val="Listeavsnitt"/>
        <w:numPr>
          <w:ilvl w:val="0"/>
          <w:numId w:val="7"/>
        </w:numPr>
        <w:spacing w:after="0"/>
        <w:jc w:val="both"/>
        <w:rPr>
          <w:rFonts w:asciiTheme="minorHAnsi" w:hAnsiTheme="minorHAnsi"/>
          <w:sz w:val="24"/>
          <w:szCs w:val="24"/>
        </w:rPr>
      </w:pPr>
      <w:r w:rsidRPr="00BE15B8">
        <w:rPr>
          <w:rFonts w:asciiTheme="minorHAnsi" w:hAnsiTheme="minorHAnsi"/>
          <w:color w:val="000000"/>
          <w:sz w:val="24"/>
          <w:szCs w:val="24"/>
          <w:shd w:val="clear" w:color="auto" w:fill="FFFFFF"/>
        </w:rPr>
        <w:t>Studies o</w:t>
      </w:r>
      <w:r w:rsidR="00BF7247" w:rsidRPr="00BE15B8">
        <w:rPr>
          <w:rFonts w:asciiTheme="minorHAnsi" w:hAnsiTheme="minorHAnsi"/>
          <w:color w:val="000000"/>
          <w:sz w:val="24"/>
          <w:szCs w:val="24"/>
          <w:shd w:val="clear" w:color="auto" w:fill="FFFFFF"/>
        </w:rPr>
        <w:t>f</w:t>
      </w:r>
      <w:r w:rsidRPr="00BE15B8">
        <w:rPr>
          <w:rFonts w:asciiTheme="minorHAnsi" w:hAnsiTheme="minorHAnsi"/>
          <w:color w:val="000000"/>
          <w:sz w:val="24"/>
          <w:szCs w:val="24"/>
          <w:shd w:val="clear" w:color="auto" w:fill="FFFFFF"/>
        </w:rPr>
        <w:t xml:space="preserve"> public expenditure require analytical work</w:t>
      </w:r>
      <w:r w:rsidR="00B56B2B" w:rsidRPr="00BE15B8">
        <w:rPr>
          <w:rFonts w:asciiTheme="minorHAnsi" w:hAnsiTheme="minorHAnsi"/>
          <w:color w:val="000000"/>
          <w:sz w:val="24"/>
          <w:szCs w:val="24"/>
          <w:shd w:val="clear" w:color="auto" w:fill="FFFFFF"/>
        </w:rPr>
        <w:t>,</w:t>
      </w:r>
      <w:r w:rsidRPr="00BE15B8">
        <w:rPr>
          <w:rFonts w:asciiTheme="minorHAnsi" w:hAnsiTheme="minorHAnsi"/>
          <w:color w:val="000000"/>
          <w:sz w:val="24"/>
          <w:szCs w:val="24"/>
          <w:shd w:val="clear" w:color="auto" w:fill="FFFFFF"/>
        </w:rPr>
        <w:t xml:space="preserve"> </w:t>
      </w:r>
      <w:r w:rsidR="00BF7247" w:rsidRPr="00BE15B8">
        <w:rPr>
          <w:rFonts w:asciiTheme="minorHAnsi" w:hAnsiTheme="minorHAnsi"/>
          <w:color w:val="000000"/>
          <w:sz w:val="24"/>
          <w:szCs w:val="24"/>
          <w:shd w:val="clear" w:color="auto" w:fill="FFFFFF"/>
        </w:rPr>
        <w:t xml:space="preserve">which require </w:t>
      </w:r>
      <w:r w:rsidRPr="00BE15B8">
        <w:rPr>
          <w:rFonts w:asciiTheme="minorHAnsi" w:hAnsiTheme="minorHAnsi"/>
          <w:color w:val="000000"/>
          <w:sz w:val="24"/>
          <w:szCs w:val="24"/>
          <w:shd w:val="clear" w:color="auto" w:fill="FFFFFF"/>
        </w:rPr>
        <w:t xml:space="preserve">adequate human technical capacities in place in the domains of all relevant stakeholders. This is important </w:t>
      </w:r>
      <w:r w:rsidR="00B56B2B" w:rsidRPr="00BE15B8">
        <w:rPr>
          <w:rFonts w:asciiTheme="minorHAnsi" w:hAnsiTheme="minorHAnsi"/>
          <w:color w:val="000000"/>
          <w:sz w:val="24"/>
          <w:szCs w:val="24"/>
          <w:shd w:val="clear" w:color="auto" w:fill="FFFFFF"/>
        </w:rPr>
        <w:t>for</w:t>
      </w:r>
      <w:r w:rsidRPr="00BE15B8">
        <w:rPr>
          <w:rFonts w:asciiTheme="minorHAnsi" w:hAnsiTheme="minorHAnsi"/>
          <w:color w:val="000000"/>
          <w:sz w:val="24"/>
          <w:szCs w:val="24"/>
          <w:shd w:val="clear" w:color="auto" w:fill="FFFFFF"/>
        </w:rPr>
        <w:t xml:space="preserve"> obtain</w:t>
      </w:r>
      <w:r w:rsidR="00B56B2B" w:rsidRPr="00BE15B8">
        <w:rPr>
          <w:rFonts w:asciiTheme="minorHAnsi" w:hAnsiTheme="minorHAnsi"/>
          <w:color w:val="000000"/>
          <w:sz w:val="24"/>
          <w:szCs w:val="24"/>
          <w:shd w:val="clear" w:color="auto" w:fill="FFFFFF"/>
        </w:rPr>
        <w:t>ing</w:t>
      </w:r>
      <w:r w:rsidRPr="00BE15B8">
        <w:rPr>
          <w:rFonts w:asciiTheme="minorHAnsi" w:hAnsiTheme="minorHAnsi"/>
          <w:color w:val="000000"/>
          <w:sz w:val="24"/>
          <w:szCs w:val="24"/>
          <w:shd w:val="clear" w:color="auto" w:fill="FFFFFF"/>
        </w:rPr>
        <w:t xml:space="preserve"> the necessary </w:t>
      </w:r>
      <w:r w:rsidR="00B56B2B" w:rsidRPr="00BE15B8">
        <w:rPr>
          <w:rFonts w:asciiTheme="minorHAnsi" w:hAnsiTheme="minorHAnsi"/>
          <w:color w:val="000000"/>
          <w:sz w:val="24"/>
          <w:szCs w:val="24"/>
          <w:shd w:val="clear" w:color="auto" w:fill="FFFFFF"/>
        </w:rPr>
        <w:t xml:space="preserve">data </w:t>
      </w:r>
      <w:r w:rsidRPr="00BE15B8">
        <w:rPr>
          <w:rFonts w:asciiTheme="minorHAnsi" w:hAnsiTheme="minorHAnsi"/>
          <w:color w:val="000000"/>
          <w:sz w:val="24"/>
          <w:szCs w:val="24"/>
          <w:shd w:val="clear" w:color="auto" w:fill="FFFFFF"/>
        </w:rPr>
        <w:t xml:space="preserve">quality </w:t>
      </w:r>
      <w:r w:rsidR="00B56B2B" w:rsidRPr="00BE15B8">
        <w:rPr>
          <w:rFonts w:asciiTheme="minorHAnsi" w:hAnsiTheme="minorHAnsi"/>
          <w:color w:val="000000"/>
          <w:sz w:val="24"/>
          <w:szCs w:val="24"/>
          <w:shd w:val="clear" w:color="auto" w:fill="FFFFFF"/>
        </w:rPr>
        <w:t xml:space="preserve">needed </w:t>
      </w:r>
      <w:r w:rsidRPr="00BE15B8">
        <w:rPr>
          <w:rFonts w:asciiTheme="minorHAnsi" w:hAnsiTheme="minorHAnsi"/>
          <w:color w:val="000000"/>
          <w:sz w:val="24"/>
          <w:szCs w:val="24"/>
          <w:shd w:val="clear" w:color="auto" w:fill="FFFFFF"/>
        </w:rPr>
        <w:t>for aggregation and comparison.</w:t>
      </w:r>
    </w:p>
    <w:p w:rsidR="003F1D8F" w:rsidRPr="00BE15B8" w:rsidRDefault="003F1D8F" w:rsidP="00F459CF">
      <w:pPr>
        <w:pStyle w:val="Listeavsnitt"/>
        <w:spacing w:after="0"/>
        <w:jc w:val="both"/>
        <w:rPr>
          <w:rFonts w:asciiTheme="minorHAnsi" w:hAnsiTheme="minorHAnsi"/>
        </w:rPr>
      </w:pPr>
    </w:p>
    <w:p w:rsidR="003F1D8F" w:rsidRPr="00BE15B8" w:rsidRDefault="00B56B2B" w:rsidP="00F459CF">
      <w:pPr>
        <w:pStyle w:val="Listeavsnitt"/>
        <w:numPr>
          <w:ilvl w:val="0"/>
          <w:numId w:val="7"/>
        </w:numPr>
        <w:spacing w:after="0"/>
        <w:jc w:val="both"/>
        <w:rPr>
          <w:rFonts w:asciiTheme="minorHAnsi" w:hAnsiTheme="minorHAnsi"/>
          <w:sz w:val="24"/>
          <w:szCs w:val="24"/>
        </w:rPr>
      </w:pPr>
      <w:r w:rsidRPr="00BE15B8">
        <w:rPr>
          <w:rFonts w:asciiTheme="minorHAnsi" w:hAnsiTheme="minorHAnsi"/>
          <w:sz w:val="24"/>
          <w:szCs w:val="24"/>
        </w:rPr>
        <w:t>Cross-country</w:t>
      </w:r>
      <w:r w:rsidR="003F1D8F" w:rsidRPr="00BE15B8">
        <w:rPr>
          <w:rFonts w:asciiTheme="minorHAnsi" w:hAnsiTheme="minorHAnsi"/>
          <w:sz w:val="24"/>
          <w:szCs w:val="24"/>
        </w:rPr>
        <w:t xml:space="preserve"> comparisons are important, but they are only possible with a common methodology of public expenditure estimates.</w:t>
      </w:r>
      <w:r w:rsidR="004515BB" w:rsidRPr="00BE15B8">
        <w:rPr>
          <w:rFonts w:asciiTheme="minorHAnsi" w:hAnsiTheme="minorHAnsi"/>
          <w:sz w:val="24"/>
          <w:szCs w:val="24"/>
        </w:rPr>
        <w:t xml:space="preserve"> Expanding and improving international datasets and modelling techniques are required in order to increase the capacity to carry evidence based drug policy evaluations in the drug field.</w:t>
      </w:r>
    </w:p>
    <w:p w:rsidR="003A0861" w:rsidRPr="00BE15B8" w:rsidRDefault="003A0861" w:rsidP="003A0861">
      <w:pPr>
        <w:pStyle w:val="Listeavsnitt"/>
        <w:rPr>
          <w:rFonts w:asciiTheme="minorHAnsi" w:hAnsiTheme="minorHAnsi"/>
          <w:sz w:val="24"/>
          <w:szCs w:val="24"/>
        </w:rPr>
      </w:pPr>
    </w:p>
    <w:p w:rsidR="003A0861" w:rsidRPr="00BE15B8" w:rsidRDefault="003A0861" w:rsidP="00B56B2B">
      <w:pPr>
        <w:spacing w:after="0"/>
        <w:ind w:left="360"/>
        <w:jc w:val="both"/>
        <w:rPr>
          <w:rFonts w:asciiTheme="minorHAnsi" w:hAnsiTheme="minorHAnsi"/>
          <w:sz w:val="24"/>
          <w:szCs w:val="24"/>
        </w:rPr>
      </w:pPr>
    </w:p>
    <w:p w:rsidR="00DB5C37" w:rsidRPr="00BE15B8" w:rsidRDefault="00DB5C37" w:rsidP="00DB5C37">
      <w:pPr>
        <w:pStyle w:val="HTML-forhndsformatert"/>
        <w:shd w:val="clear" w:color="auto" w:fill="FFFFFF"/>
        <w:spacing w:line="276" w:lineRule="auto"/>
        <w:ind w:left="720"/>
        <w:jc w:val="both"/>
        <w:rPr>
          <w:rFonts w:asciiTheme="minorHAnsi" w:hAnsiTheme="minorHAnsi" w:cs="Times New Roman"/>
          <w:iCs/>
          <w:sz w:val="24"/>
          <w:szCs w:val="24"/>
          <w:lang w:val="en-GB"/>
        </w:rPr>
      </w:pPr>
    </w:p>
    <w:p w:rsidR="00DB5C37" w:rsidRPr="00BE15B8" w:rsidRDefault="00DB5C37" w:rsidP="00F459CF">
      <w:pPr>
        <w:spacing w:after="0"/>
        <w:jc w:val="both"/>
        <w:rPr>
          <w:rFonts w:asciiTheme="minorHAnsi" w:hAnsiTheme="minorHAnsi"/>
          <w:sz w:val="24"/>
          <w:szCs w:val="24"/>
        </w:rPr>
      </w:pPr>
    </w:p>
    <w:p w:rsidR="007142B3" w:rsidRPr="00BE15B8" w:rsidRDefault="007142B3">
      <w:pPr>
        <w:rPr>
          <w:rFonts w:asciiTheme="minorHAnsi" w:hAnsiTheme="minorHAnsi"/>
          <w:sz w:val="24"/>
          <w:szCs w:val="24"/>
        </w:rPr>
      </w:pPr>
      <w:r w:rsidRPr="00BE15B8">
        <w:rPr>
          <w:rFonts w:asciiTheme="minorHAnsi" w:hAnsiTheme="minorHAnsi"/>
          <w:sz w:val="24"/>
          <w:szCs w:val="24"/>
        </w:rPr>
        <w:br w:type="page"/>
      </w:r>
    </w:p>
    <w:p w:rsidR="00265DE2" w:rsidRPr="00BE15B8" w:rsidRDefault="00265DE2" w:rsidP="0052326E">
      <w:pPr>
        <w:pStyle w:val="Listeavsnitt"/>
        <w:rPr>
          <w:rFonts w:asciiTheme="minorHAnsi" w:hAnsiTheme="minorHAnsi"/>
          <w:sz w:val="24"/>
          <w:szCs w:val="24"/>
        </w:rPr>
      </w:pPr>
    </w:p>
    <w:p w:rsidR="00793FAF" w:rsidRPr="00BE15B8" w:rsidRDefault="00314497" w:rsidP="007F7E10">
      <w:pPr>
        <w:pStyle w:val="Listeavsnitt"/>
        <w:spacing w:after="0" w:line="240" w:lineRule="auto"/>
        <w:jc w:val="center"/>
        <w:rPr>
          <w:rFonts w:asciiTheme="minorHAnsi" w:hAnsiTheme="minorHAnsi"/>
          <w:sz w:val="24"/>
          <w:szCs w:val="24"/>
        </w:rPr>
      </w:pPr>
      <w:r w:rsidRPr="00BE15B8">
        <w:rPr>
          <w:rFonts w:asciiTheme="minorHAnsi" w:hAnsiTheme="minorHAnsi"/>
          <w:b/>
          <w:color w:val="000000" w:themeColor="text1"/>
          <w:sz w:val="28"/>
          <w:szCs w:val="28"/>
          <w:shd w:val="clear" w:color="auto" w:fill="FFFFFF"/>
        </w:rPr>
        <w:t>APPENDIX 1</w:t>
      </w:r>
    </w:p>
    <w:p w:rsidR="00314497" w:rsidRPr="00BE15B8" w:rsidRDefault="00314497" w:rsidP="008866FB">
      <w:pPr>
        <w:spacing w:after="0" w:line="240" w:lineRule="auto"/>
        <w:jc w:val="center"/>
        <w:rPr>
          <w:rFonts w:asciiTheme="minorHAnsi" w:hAnsiTheme="minorHAnsi"/>
          <w:b/>
          <w:sz w:val="28"/>
          <w:szCs w:val="28"/>
        </w:rPr>
      </w:pPr>
      <w:r w:rsidRPr="00BE15B8">
        <w:rPr>
          <w:rFonts w:asciiTheme="minorHAnsi" w:hAnsiTheme="minorHAnsi"/>
          <w:b/>
          <w:sz w:val="28"/>
          <w:szCs w:val="28"/>
        </w:rPr>
        <w:t>Available database</w:t>
      </w:r>
      <w:r w:rsidR="001368F2" w:rsidRPr="00BE15B8">
        <w:rPr>
          <w:rFonts w:asciiTheme="minorHAnsi" w:hAnsiTheme="minorHAnsi"/>
          <w:b/>
          <w:sz w:val="28"/>
          <w:szCs w:val="28"/>
        </w:rPr>
        <w:t>s</w:t>
      </w:r>
      <w:r w:rsidRPr="00BE15B8">
        <w:rPr>
          <w:rFonts w:asciiTheme="minorHAnsi" w:hAnsiTheme="minorHAnsi"/>
          <w:b/>
          <w:sz w:val="28"/>
          <w:szCs w:val="28"/>
        </w:rPr>
        <w:t xml:space="preserve"> and potential ind</w:t>
      </w:r>
      <w:r w:rsidR="008866FB" w:rsidRPr="00BE15B8">
        <w:rPr>
          <w:rFonts w:asciiTheme="minorHAnsi" w:hAnsiTheme="minorHAnsi"/>
          <w:b/>
          <w:sz w:val="28"/>
          <w:szCs w:val="28"/>
        </w:rPr>
        <w:t>icators for drug related p</w:t>
      </w:r>
      <w:r w:rsidRPr="00BE15B8">
        <w:rPr>
          <w:rFonts w:asciiTheme="minorHAnsi" w:hAnsiTheme="minorHAnsi"/>
          <w:b/>
          <w:sz w:val="28"/>
          <w:szCs w:val="28"/>
        </w:rPr>
        <w:t>ublic expend</w:t>
      </w:r>
      <w:r w:rsidR="008866FB" w:rsidRPr="00BE15B8">
        <w:rPr>
          <w:rFonts w:asciiTheme="minorHAnsi" w:hAnsiTheme="minorHAnsi"/>
          <w:b/>
          <w:sz w:val="28"/>
          <w:szCs w:val="28"/>
        </w:rPr>
        <w:t xml:space="preserve">itures </w:t>
      </w:r>
    </w:p>
    <w:p w:rsidR="008866FB" w:rsidRPr="00BE15B8" w:rsidRDefault="008866FB" w:rsidP="008866FB">
      <w:pPr>
        <w:spacing w:after="0" w:line="240" w:lineRule="auto"/>
        <w:jc w:val="both"/>
        <w:rPr>
          <w:rFonts w:asciiTheme="minorHAnsi" w:hAnsiTheme="minorHAnsi"/>
          <w:i/>
        </w:rPr>
      </w:pPr>
    </w:p>
    <w:p w:rsidR="00314497" w:rsidRPr="00BE15B8" w:rsidRDefault="00314497" w:rsidP="00314497">
      <w:pPr>
        <w:rPr>
          <w:rFonts w:asciiTheme="minorHAnsi" w:hAnsiTheme="minorHAnsi"/>
          <w:i/>
        </w:rPr>
      </w:pPr>
      <w:r w:rsidRPr="00BE15B8">
        <w:rPr>
          <w:rFonts w:asciiTheme="minorHAnsi" w:hAnsiTheme="minorHAnsi"/>
          <w:bCs/>
          <w:i/>
        </w:rPr>
        <w:t>Examples</w:t>
      </w:r>
      <w:r w:rsidRPr="00BE15B8">
        <w:rPr>
          <w:rFonts w:asciiTheme="minorHAnsi" w:eastAsiaTheme="minorEastAsia" w:hAnsiTheme="minorHAnsi"/>
          <w:i/>
          <w:color w:val="000000"/>
          <w:lang w:eastAsia="hr-HR"/>
        </w:rPr>
        <w:t xml:space="preserve"> of international and other types of databases, which can be used for</w:t>
      </w:r>
      <w:r w:rsidRPr="00BE15B8">
        <w:rPr>
          <w:rFonts w:asciiTheme="minorHAnsi" w:hAnsiTheme="minorHAnsi"/>
          <w:i/>
        </w:rPr>
        <w:t xml:space="preserve"> estimation of the Public expenditures</w:t>
      </w:r>
    </w:p>
    <w:tbl>
      <w:tblPr>
        <w:tblStyle w:val="Tabellrutenett"/>
        <w:tblW w:w="0" w:type="auto"/>
        <w:tblLook w:val="04A0" w:firstRow="1" w:lastRow="0" w:firstColumn="1" w:lastColumn="0" w:noHBand="0" w:noVBand="1"/>
      </w:tblPr>
      <w:tblGrid>
        <w:gridCol w:w="1683"/>
        <w:gridCol w:w="2440"/>
        <w:gridCol w:w="4939"/>
      </w:tblGrid>
      <w:tr w:rsidR="00314497" w:rsidRPr="00BE15B8" w:rsidTr="00314497">
        <w:tc>
          <w:tcPr>
            <w:tcW w:w="1720" w:type="dxa"/>
            <w:tcBorders>
              <w:bottom w:val="single" w:sz="4" w:space="0" w:color="000000" w:themeColor="text1"/>
            </w:tcBorders>
            <w:shd w:val="clear" w:color="auto" w:fill="C00000"/>
          </w:tcPr>
          <w:p w:rsidR="00314497" w:rsidRPr="00BE15B8" w:rsidRDefault="00314497" w:rsidP="006B65F6">
            <w:pPr>
              <w:jc w:val="center"/>
              <w:rPr>
                <w:rFonts w:asciiTheme="minorHAnsi" w:hAnsiTheme="minorHAnsi"/>
                <w:b/>
              </w:rPr>
            </w:pPr>
            <w:r w:rsidRPr="00BE15B8">
              <w:rPr>
                <w:rFonts w:asciiTheme="minorHAnsi" w:hAnsiTheme="minorHAnsi"/>
                <w:b/>
              </w:rPr>
              <w:t>Level of estimation</w:t>
            </w:r>
          </w:p>
        </w:tc>
        <w:tc>
          <w:tcPr>
            <w:tcW w:w="2574" w:type="dxa"/>
            <w:tcBorders>
              <w:bottom w:val="single" w:sz="4" w:space="0" w:color="000000" w:themeColor="text1"/>
            </w:tcBorders>
            <w:shd w:val="clear" w:color="auto" w:fill="C00000"/>
          </w:tcPr>
          <w:p w:rsidR="00314497" w:rsidRPr="00BE15B8" w:rsidRDefault="00314497" w:rsidP="006B65F6">
            <w:pPr>
              <w:jc w:val="center"/>
              <w:rPr>
                <w:rFonts w:asciiTheme="minorHAnsi" w:hAnsiTheme="minorHAnsi"/>
                <w:b/>
              </w:rPr>
            </w:pPr>
            <w:r w:rsidRPr="00BE15B8">
              <w:rPr>
                <w:rFonts w:asciiTheme="minorHAnsi" w:hAnsiTheme="minorHAnsi"/>
                <w:b/>
              </w:rPr>
              <w:t>Examples of databases</w:t>
            </w:r>
          </w:p>
        </w:tc>
        <w:tc>
          <w:tcPr>
            <w:tcW w:w="4994" w:type="dxa"/>
            <w:shd w:val="clear" w:color="auto" w:fill="C00000"/>
          </w:tcPr>
          <w:p w:rsidR="00314497" w:rsidRPr="00BE15B8" w:rsidRDefault="00314497" w:rsidP="006B65F6">
            <w:pPr>
              <w:jc w:val="center"/>
              <w:rPr>
                <w:rFonts w:asciiTheme="minorHAnsi" w:hAnsiTheme="minorHAnsi"/>
                <w:b/>
              </w:rPr>
            </w:pPr>
            <w:r w:rsidRPr="00BE15B8">
              <w:rPr>
                <w:rFonts w:asciiTheme="minorHAnsi" w:hAnsiTheme="minorHAnsi"/>
                <w:b/>
              </w:rPr>
              <w:t>Data’s of estimation</w:t>
            </w:r>
          </w:p>
        </w:tc>
      </w:tr>
      <w:tr w:rsidR="00E85628" w:rsidRPr="00BE15B8" w:rsidTr="00314497">
        <w:tc>
          <w:tcPr>
            <w:tcW w:w="1720" w:type="dxa"/>
            <w:vMerge w:val="restart"/>
            <w:shd w:val="clear" w:color="auto" w:fill="BFBFBF" w:themeFill="background1" w:themeFillShade="BF"/>
          </w:tcPr>
          <w:p w:rsidR="00E85628" w:rsidRPr="00BE15B8" w:rsidRDefault="00E85628" w:rsidP="006B65F6">
            <w:pPr>
              <w:rPr>
                <w:rFonts w:asciiTheme="minorHAnsi" w:hAnsiTheme="minorHAnsi"/>
              </w:rPr>
            </w:pPr>
            <w:r w:rsidRPr="00BE15B8">
              <w:rPr>
                <w:rFonts w:asciiTheme="minorHAnsi" w:hAnsiTheme="minorHAnsi"/>
              </w:rPr>
              <w:t>International</w:t>
            </w:r>
          </w:p>
        </w:tc>
        <w:tc>
          <w:tcPr>
            <w:tcW w:w="2574" w:type="dxa"/>
            <w:shd w:val="clear" w:color="auto" w:fill="BFBFBF" w:themeFill="background1" w:themeFillShade="BF"/>
          </w:tcPr>
          <w:p w:rsidR="00E85628" w:rsidRPr="00BE15B8" w:rsidRDefault="00E85628" w:rsidP="005179E0">
            <w:pPr>
              <w:rPr>
                <w:rFonts w:asciiTheme="minorHAnsi" w:hAnsiTheme="minorHAnsi"/>
                <w:b/>
              </w:rPr>
            </w:pPr>
            <w:r w:rsidRPr="00BE15B8">
              <w:rPr>
                <w:rFonts w:asciiTheme="minorHAnsi" w:hAnsiTheme="minorHAnsi"/>
                <w:b/>
              </w:rPr>
              <w:t>EMCDDA Statistical bulletin</w:t>
            </w:r>
          </w:p>
          <w:p w:rsidR="00E85628" w:rsidRPr="00BE15B8" w:rsidRDefault="00E85628" w:rsidP="005179E0">
            <w:pPr>
              <w:rPr>
                <w:rFonts w:asciiTheme="minorHAnsi" w:hAnsiTheme="minorHAnsi"/>
                <w:b/>
              </w:rPr>
            </w:pPr>
          </w:p>
          <w:p w:rsidR="00E85628" w:rsidRPr="00BE15B8" w:rsidRDefault="00E85628" w:rsidP="005179E0">
            <w:pPr>
              <w:rPr>
                <w:rFonts w:asciiTheme="minorHAnsi" w:hAnsiTheme="minorHAnsi"/>
                <w:b/>
              </w:rPr>
            </w:pPr>
            <w:r w:rsidRPr="00BE15B8">
              <w:rPr>
                <w:rFonts w:asciiTheme="minorHAnsi" w:hAnsiTheme="minorHAnsi"/>
                <w:b/>
              </w:rPr>
              <w:t xml:space="preserve">and </w:t>
            </w:r>
          </w:p>
          <w:p w:rsidR="00E85628" w:rsidRPr="00BE15B8" w:rsidRDefault="00E85628" w:rsidP="005179E0">
            <w:pPr>
              <w:rPr>
                <w:rFonts w:asciiTheme="minorHAnsi" w:hAnsiTheme="minorHAnsi"/>
                <w:b/>
              </w:rPr>
            </w:pPr>
          </w:p>
          <w:p w:rsidR="00E85628" w:rsidRPr="00BE15B8" w:rsidRDefault="00E85628" w:rsidP="006B65F6">
            <w:pPr>
              <w:rPr>
                <w:rFonts w:asciiTheme="minorHAnsi" w:hAnsiTheme="minorHAnsi"/>
                <w:b/>
              </w:rPr>
            </w:pPr>
            <w:r w:rsidRPr="00BE15B8">
              <w:rPr>
                <w:rFonts w:asciiTheme="minorHAnsi" w:hAnsiTheme="minorHAnsi"/>
                <w:b/>
              </w:rPr>
              <w:t>Public expenditure database</w:t>
            </w:r>
          </w:p>
        </w:tc>
        <w:tc>
          <w:tcPr>
            <w:tcW w:w="4994" w:type="dxa"/>
          </w:tcPr>
          <w:p w:rsidR="00E85628" w:rsidRPr="00BE15B8" w:rsidRDefault="00E85628" w:rsidP="005179E0">
            <w:pPr>
              <w:numPr>
                <w:ilvl w:val="0"/>
                <w:numId w:val="3"/>
              </w:numPr>
              <w:shd w:val="clear" w:color="auto" w:fill="FFFFFF"/>
              <w:spacing w:line="225" w:lineRule="atLeast"/>
              <w:ind w:left="0"/>
              <w:jc w:val="both"/>
              <w:textAlignment w:val="baseline"/>
              <w:rPr>
                <w:rFonts w:asciiTheme="minorHAnsi" w:eastAsia="Times New Roman" w:hAnsiTheme="minorHAnsi"/>
                <w:bCs/>
                <w:lang w:eastAsia="ru-RU"/>
              </w:rPr>
            </w:pPr>
            <w:r w:rsidRPr="00BE15B8">
              <w:rPr>
                <w:rFonts w:asciiTheme="minorHAnsi" w:eastAsia="Times New Roman" w:hAnsiTheme="minorHAnsi"/>
                <w:bCs/>
                <w:lang w:eastAsia="ru-RU"/>
              </w:rPr>
              <w:t>The EMCDDA statistical bulletin covers a broad range of areas including the most recent estimates of drug related crime in the form of drug seizures, types of offence, price, purity and use in prison, and country responses to the drug situation in Europe.</w:t>
            </w:r>
            <w:r w:rsidRPr="00BE15B8">
              <w:rPr>
                <w:rFonts w:asciiTheme="minorHAnsi" w:eastAsiaTheme="minorHAnsi" w:hAnsiTheme="minorHAnsi"/>
                <w:color w:val="212121"/>
                <w:sz w:val="32"/>
                <w:szCs w:val="32"/>
              </w:rPr>
              <w:t xml:space="preserve"> </w:t>
            </w:r>
            <w:r w:rsidRPr="00BE15B8">
              <w:rPr>
                <w:rFonts w:asciiTheme="minorHAnsi" w:eastAsia="Times New Roman" w:hAnsiTheme="minorHAnsi"/>
                <w:bCs/>
                <w:lang w:eastAsia="ru-RU"/>
              </w:rPr>
              <w:t>http://www.emcdda.europa.eu/data/stats2015</w:t>
            </w:r>
          </w:p>
          <w:p w:rsidR="00E85628" w:rsidRPr="00BE15B8" w:rsidRDefault="00E85628" w:rsidP="002F55CD">
            <w:pPr>
              <w:numPr>
                <w:ilvl w:val="0"/>
                <w:numId w:val="3"/>
              </w:numPr>
              <w:shd w:val="clear" w:color="auto" w:fill="FFFFFF"/>
              <w:spacing w:line="225" w:lineRule="atLeast"/>
              <w:ind w:left="0"/>
              <w:jc w:val="both"/>
              <w:textAlignment w:val="baseline"/>
              <w:rPr>
                <w:rFonts w:asciiTheme="minorHAnsi" w:eastAsia="Times New Roman" w:hAnsiTheme="minorHAnsi"/>
                <w:bCs/>
                <w:lang w:eastAsia="ru-RU"/>
              </w:rPr>
            </w:pPr>
            <w:r w:rsidRPr="00BE15B8">
              <w:rPr>
                <w:rFonts w:asciiTheme="minorHAnsi" w:eastAsia="Times New Roman" w:hAnsiTheme="minorHAnsi"/>
                <w:bCs/>
                <w:lang w:eastAsia="ru-RU"/>
              </w:rPr>
              <w:t xml:space="preserve">The EMCDDA publishes also the most recent national data on drug-related public expenditures available in Europe.  </w:t>
            </w:r>
          </w:p>
          <w:p w:rsidR="00E85628" w:rsidRPr="00BE15B8" w:rsidRDefault="00E85628" w:rsidP="006B65F6">
            <w:pPr>
              <w:numPr>
                <w:ilvl w:val="0"/>
                <w:numId w:val="3"/>
              </w:numPr>
              <w:shd w:val="clear" w:color="auto" w:fill="FFFFFF"/>
              <w:spacing w:line="225" w:lineRule="atLeast"/>
              <w:ind w:left="0"/>
              <w:jc w:val="both"/>
              <w:textAlignment w:val="baseline"/>
              <w:rPr>
                <w:rFonts w:asciiTheme="minorHAnsi" w:eastAsia="Times New Roman" w:hAnsiTheme="minorHAnsi"/>
                <w:b/>
                <w:bCs/>
                <w:lang w:eastAsia="ru-RU"/>
              </w:rPr>
            </w:pPr>
            <w:r w:rsidRPr="00BE15B8">
              <w:rPr>
                <w:rFonts w:asciiTheme="minorHAnsi" w:eastAsia="Times New Roman" w:hAnsiTheme="minorHAnsi"/>
                <w:bCs/>
                <w:lang w:eastAsia="ru-RU"/>
              </w:rPr>
              <w:t>http://www.emcdda.europa.eu/topics/drug-related-public-expenditure</w:t>
            </w:r>
          </w:p>
        </w:tc>
      </w:tr>
      <w:tr w:rsidR="00E85628" w:rsidRPr="00BE15B8" w:rsidTr="00314497">
        <w:tc>
          <w:tcPr>
            <w:tcW w:w="1720" w:type="dxa"/>
            <w:vMerge/>
            <w:shd w:val="clear" w:color="auto" w:fill="BFBFBF" w:themeFill="background1" w:themeFillShade="BF"/>
          </w:tcPr>
          <w:p w:rsidR="00E85628" w:rsidRPr="00BE15B8" w:rsidRDefault="00E85628" w:rsidP="006B65F6">
            <w:pPr>
              <w:rPr>
                <w:rFonts w:asciiTheme="minorHAnsi" w:hAnsiTheme="minorHAnsi"/>
              </w:rPr>
            </w:pPr>
          </w:p>
        </w:tc>
        <w:tc>
          <w:tcPr>
            <w:tcW w:w="2574" w:type="dxa"/>
            <w:shd w:val="clear" w:color="auto" w:fill="BFBFBF" w:themeFill="background1" w:themeFillShade="BF"/>
          </w:tcPr>
          <w:p w:rsidR="00E85628" w:rsidRPr="00BE15B8" w:rsidRDefault="00E85628" w:rsidP="006B65F6">
            <w:pPr>
              <w:rPr>
                <w:rFonts w:asciiTheme="minorHAnsi" w:hAnsiTheme="minorHAnsi"/>
                <w:b/>
              </w:rPr>
            </w:pPr>
            <w:r w:rsidRPr="00BE15B8">
              <w:rPr>
                <w:rFonts w:asciiTheme="minorHAnsi" w:hAnsiTheme="minorHAnsi"/>
                <w:b/>
              </w:rPr>
              <w:t>WHO Database</w:t>
            </w:r>
          </w:p>
        </w:tc>
        <w:tc>
          <w:tcPr>
            <w:tcW w:w="4994" w:type="dxa"/>
          </w:tcPr>
          <w:p w:rsidR="00E85628" w:rsidRPr="00BE15B8" w:rsidRDefault="00E85628" w:rsidP="006B65F6">
            <w:pPr>
              <w:numPr>
                <w:ilvl w:val="0"/>
                <w:numId w:val="3"/>
              </w:numPr>
              <w:shd w:val="clear" w:color="auto" w:fill="FFFFFF"/>
              <w:spacing w:line="225" w:lineRule="atLeast"/>
              <w:ind w:left="0"/>
              <w:jc w:val="both"/>
              <w:textAlignment w:val="baseline"/>
              <w:rPr>
                <w:rFonts w:asciiTheme="minorHAnsi" w:eastAsia="Times New Roman" w:hAnsiTheme="minorHAnsi"/>
                <w:lang w:eastAsia="ru-RU"/>
              </w:rPr>
            </w:pPr>
            <w:r w:rsidRPr="00BE15B8">
              <w:rPr>
                <w:rFonts w:asciiTheme="minorHAnsi" w:eastAsia="Times New Roman" w:hAnsiTheme="minorHAnsi"/>
                <w:b/>
                <w:bCs/>
                <w:lang w:eastAsia="ru-RU"/>
              </w:rPr>
              <w:t>Global Information System on Resources for the Prevention and Treatment of Substance Use Disorders</w:t>
            </w:r>
            <w:r w:rsidRPr="00BE15B8">
              <w:rPr>
                <w:rFonts w:asciiTheme="minorHAnsi" w:eastAsia="Times New Roman" w:hAnsiTheme="minorHAnsi"/>
                <w:lang w:eastAsia="ru-RU"/>
              </w:rPr>
              <w:t xml:space="preserve"> (include information about: </w:t>
            </w:r>
            <w:hyperlink r:id="rId11" w:history="1">
              <w:r w:rsidRPr="00BE15B8">
                <w:rPr>
                  <w:rFonts w:asciiTheme="minorHAnsi" w:eastAsia="Times New Roman" w:hAnsiTheme="minorHAnsi"/>
                  <w:lang w:eastAsia="ru-RU"/>
                </w:rPr>
                <w:t>Prevalence and Burden of Disease</w:t>
              </w:r>
            </w:hyperlink>
            <w:r w:rsidRPr="00BE15B8">
              <w:rPr>
                <w:rFonts w:asciiTheme="minorHAnsi" w:eastAsia="Times New Roman" w:hAnsiTheme="minorHAnsi"/>
                <w:lang w:eastAsia="ru-RU"/>
              </w:rPr>
              <w:t xml:space="preserve">, </w:t>
            </w:r>
            <w:hyperlink r:id="rId12" w:history="1">
              <w:r w:rsidRPr="00BE15B8">
                <w:rPr>
                  <w:rFonts w:asciiTheme="minorHAnsi" w:eastAsia="Times New Roman" w:hAnsiTheme="minorHAnsi"/>
                  <w:lang w:eastAsia="ru-RU"/>
                </w:rPr>
                <w:t>Monitoring and Surveillance</w:t>
              </w:r>
            </w:hyperlink>
            <w:r w:rsidRPr="00BE15B8">
              <w:rPr>
                <w:rFonts w:asciiTheme="minorHAnsi" w:eastAsia="Times New Roman" w:hAnsiTheme="minorHAnsi"/>
                <w:lang w:eastAsia="ru-RU"/>
              </w:rPr>
              <w:t xml:space="preserve">; </w:t>
            </w:r>
            <w:hyperlink r:id="rId13" w:history="1">
              <w:r w:rsidRPr="00BE15B8">
                <w:rPr>
                  <w:rFonts w:asciiTheme="minorHAnsi" w:eastAsia="Times New Roman" w:hAnsiTheme="minorHAnsi"/>
                  <w:lang w:eastAsia="ru-RU"/>
                </w:rPr>
                <w:t>Policy</w:t>
              </w:r>
            </w:hyperlink>
            <w:r w:rsidRPr="00BE15B8">
              <w:rPr>
                <w:rFonts w:asciiTheme="minorHAnsi" w:eastAsia="Times New Roman" w:hAnsiTheme="minorHAnsi"/>
                <w:lang w:eastAsia="ru-RU"/>
              </w:rPr>
              <w:t xml:space="preserve">; </w:t>
            </w:r>
            <w:hyperlink r:id="rId14" w:history="1">
              <w:r w:rsidRPr="00BE15B8">
                <w:rPr>
                  <w:rFonts w:asciiTheme="minorHAnsi" w:eastAsia="Times New Roman" w:hAnsiTheme="minorHAnsi"/>
                  <w:lang w:eastAsia="ru-RU"/>
                </w:rPr>
                <w:t>Treatment System And Services</w:t>
              </w:r>
            </w:hyperlink>
            <w:r w:rsidRPr="00BE15B8">
              <w:rPr>
                <w:rFonts w:asciiTheme="minorHAnsi" w:eastAsia="Times New Roman" w:hAnsiTheme="minorHAnsi"/>
                <w:lang w:eastAsia="ru-RU"/>
              </w:rPr>
              <w:t xml:space="preserve">; </w:t>
            </w:r>
            <w:hyperlink r:id="rId15" w:history="1">
              <w:r w:rsidRPr="00BE15B8">
                <w:rPr>
                  <w:rFonts w:asciiTheme="minorHAnsi" w:eastAsia="Times New Roman" w:hAnsiTheme="minorHAnsi"/>
                  <w:lang w:eastAsia="ru-RU"/>
                </w:rPr>
                <w:t>Pharmacological Treatment</w:t>
              </w:r>
            </w:hyperlink>
            <w:r w:rsidRPr="00BE15B8">
              <w:rPr>
                <w:rFonts w:asciiTheme="minorHAnsi" w:eastAsia="Times New Roman" w:hAnsiTheme="minorHAnsi"/>
                <w:lang w:eastAsia="ru-RU"/>
              </w:rPr>
              <w:t xml:space="preserve">; </w:t>
            </w:r>
          </w:p>
          <w:p w:rsidR="00E85628" w:rsidRPr="00BE15B8" w:rsidRDefault="00E53E98" w:rsidP="006B65F6">
            <w:pPr>
              <w:numPr>
                <w:ilvl w:val="0"/>
                <w:numId w:val="3"/>
              </w:numPr>
              <w:shd w:val="clear" w:color="auto" w:fill="FFFFFF"/>
              <w:spacing w:line="225" w:lineRule="atLeast"/>
              <w:ind w:left="0"/>
              <w:jc w:val="both"/>
              <w:textAlignment w:val="baseline"/>
              <w:rPr>
                <w:rFonts w:asciiTheme="minorHAnsi" w:hAnsiTheme="minorHAnsi"/>
              </w:rPr>
            </w:pPr>
            <w:hyperlink r:id="rId16" w:history="1">
              <w:r w:rsidR="00E85628" w:rsidRPr="00BE15B8">
                <w:rPr>
                  <w:rFonts w:asciiTheme="minorHAnsi" w:eastAsia="Times New Roman" w:hAnsiTheme="minorHAnsi"/>
                  <w:lang w:eastAsia="ru-RU"/>
                </w:rPr>
                <w:t>Prevention Programmes For Substance Use And Related Harm</w:t>
              </w:r>
            </w:hyperlink>
            <w:r w:rsidR="00E85628" w:rsidRPr="00BE15B8">
              <w:rPr>
                <w:rFonts w:asciiTheme="minorHAnsi" w:eastAsia="Times New Roman" w:hAnsiTheme="minorHAnsi"/>
                <w:lang w:eastAsia="ru-RU"/>
              </w:rPr>
              <w:t xml:space="preserve">; </w:t>
            </w:r>
            <w:hyperlink r:id="rId17" w:history="1">
              <w:r w:rsidR="00E85628" w:rsidRPr="00BE15B8">
                <w:rPr>
                  <w:rFonts w:asciiTheme="minorHAnsi" w:eastAsia="Times New Roman" w:hAnsiTheme="minorHAnsi"/>
                  <w:lang w:eastAsia="ru-RU"/>
                </w:rPr>
                <w:t>Human Resources And Civil Society Involvement</w:t>
              </w:r>
            </w:hyperlink>
            <w:r w:rsidR="00E85628" w:rsidRPr="00BE15B8">
              <w:rPr>
                <w:rFonts w:asciiTheme="minorHAnsi" w:eastAsia="Times New Roman" w:hAnsiTheme="minorHAnsi"/>
                <w:lang w:eastAsia="ru-RU"/>
              </w:rPr>
              <w:t>)</w:t>
            </w:r>
          </w:p>
        </w:tc>
      </w:tr>
      <w:tr w:rsidR="00E85628" w:rsidRPr="00BE15B8" w:rsidTr="00314497">
        <w:tc>
          <w:tcPr>
            <w:tcW w:w="1720" w:type="dxa"/>
            <w:vMerge/>
            <w:shd w:val="clear" w:color="auto" w:fill="BFBFBF" w:themeFill="background1" w:themeFillShade="BF"/>
          </w:tcPr>
          <w:p w:rsidR="00E85628" w:rsidRPr="00BE15B8" w:rsidRDefault="00E85628" w:rsidP="006B65F6">
            <w:pPr>
              <w:rPr>
                <w:rFonts w:asciiTheme="minorHAnsi" w:hAnsiTheme="minorHAnsi"/>
              </w:rPr>
            </w:pPr>
          </w:p>
        </w:tc>
        <w:tc>
          <w:tcPr>
            <w:tcW w:w="2574" w:type="dxa"/>
            <w:shd w:val="clear" w:color="auto" w:fill="BFBFBF" w:themeFill="background1" w:themeFillShade="BF"/>
          </w:tcPr>
          <w:p w:rsidR="00E85628" w:rsidRPr="00BE15B8" w:rsidRDefault="00E85628" w:rsidP="006B65F6">
            <w:pPr>
              <w:jc w:val="both"/>
              <w:rPr>
                <w:rFonts w:asciiTheme="minorHAnsi" w:hAnsiTheme="minorHAnsi"/>
              </w:rPr>
            </w:pPr>
            <w:r w:rsidRPr="00BE15B8">
              <w:rPr>
                <w:rFonts w:asciiTheme="minorHAnsi" w:hAnsiTheme="minorHAnsi"/>
                <w:b/>
              </w:rPr>
              <w:t xml:space="preserve">EUROSTAT </w:t>
            </w:r>
          </w:p>
        </w:tc>
        <w:tc>
          <w:tcPr>
            <w:tcW w:w="4994" w:type="dxa"/>
          </w:tcPr>
          <w:p w:rsidR="00E85628" w:rsidRPr="00BE15B8" w:rsidRDefault="00E85628" w:rsidP="006B65F6">
            <w:pPr>
              <w:jc w:val="both"/>
              <w:rPr>
                <w:rFonts w:asciiTheme="minorHAnsi" w:hAnsiTheme="minorHAnsi"/>
                <w:b/>
              </w:rPr>
            </w:pPr>
            <w:r w:rsidRPr="00BE15B8">
              <w:rPr>
                <w:rFonts w:asciiTheme="minorHAnsi" w:hAnsiTheme="minorHAnsi"/>
                <w:b/>
              </w:rPr>
              <w:t>General government expenditure by function (COFOG)</w:t>
            </w:r>
          </w:p>
          <w:p w:rsidR="00E85628" w:rsidRPr="00BE15B8" w:rsidRDefault="00E85628" w:rsidP="006B65F6">
            <w:pPr>
              <w:jc w:val="both"/>
              <w:rPr>
                <w:rFonts w:asciiTheme="minorHAnsi" w:hAnsiTheme="minorHAnsi"/>
              </w:rPr>
            </w:pPr>
            <w:r w:rsidRPr="00BE15B8">
              <w:rPr>
                <w:rFonts w:asciiTheme="minorHAnsi" w:hAnsiTheme="minorHAnsi"/>
              </w:rPr>
              <w:t xml:space="preserve">COFOG has two levels of classification (United Nations, 2008). The first one classifies expenditure in 10 general </w:t>
            </w:r>
            <w:r w:rsidRPr="00BE15B8">
              <w:rPr>
                <w:rFonts w:asciiTheme="minorHAnsi" w:hAnsiTheme="minorHAnsi"/>
                <w:color w:val="000000" w:themeColor="text1"/>
              </w:rPr>
              <w:t xml:space="preserve">functions, one of which is ‘Public order and safety’. The second level classifies expenditure in 69 groups, in </w:t>
            </w:r>
            <w:r w:rsidRPr="00BE15B8">
              <w:rPr>
                <w:rFonts w:asciiTheme="minorHAnsi" w:hAnsiTheme="minorHAnsi"/>
              </w:rPr>
              <w:t>which can be found three indicators of interest: Police service, Law Courts and Prisons. The definitions below are provided by the UNODC.</w:t>
            </w:r>
          </w:p>
          <w:p w:rsidR="00E85628" w:rsidRPr="00BE15B8" w:rsidRDefault="00E85628" w:rsidP="006B65F6">
            <w:pPr>
              <w:jc w:val="both"/>
              <w:rPr>
                <w:rFonts w:asciiTheme="minorHAnsi" w:hAnsiTheme="minorHAnsi"/>
              </w:rPr>
            </w:pPr>
            <w:r w:rsidRPr="00BE15B8">
              <w:rPr>
                <w:rFonts w:asciiTheme="minorHAnsi" w:hAnsiTheme="minorHAnsi"/>
              </w:rPr>
              <w:t>From the general function ‘Public order and safety’:</w:t>
            </w:r>
          </w:p>
          <w:p w:rsidR="00E85628" w:rsidRPr="00BE15B8" w:rsidRDefault="00E85628" w:rsidP="006B65F6">
            <w:pPr>
              <w:jc w:val="both"/>
              <w:rPr>
                <w:rFonts w:asciiTheme="minorHAnsi" w:hAnsiTheme="minorHAnsi"/>
              </w:rPr>
            </w:pPr>
            <w:r w:rsidRPr="00BE15B8">
              <w:rPr>
                <w:rFonts w:asciiTheme="minorHAnsi" w:hAnsiTheme="minorHAnsi"/>
                <w:b/>
              </w:rPr>
              <w:t>Police services</w:t>
            </w:r>
          </w:p>
          <w:p w:rsidR="00E85628" w:rsidRPr="00BE15B8" w:rsidRDefault="00E85628" w:rsidP="006B65F6">
            <w:pPr>
              <w:jc w:val="both"/>
              <w:rPr>
                <w:rFonts w:asciiTheme="minorHAnsi" w:hAnsiTheme="minorHAnsi"/>
              </w:rPr>
            </w:pPr>
            <w:r w:rsidRPr="00BE15B8">
              <w:rPr>
                <w:rFonts w:asciiTheme="minorHAnsi" w:hAnsiTheme="minorHAnsi"/>
              </w:rPr>
              <w:t>- Administration of police affairs and services, including alien registration, issuing work and travel documents to immigrants, maintenance of arrest records and statistics related to police work, road traffic regulation and control, prevention of smuggling and control of offshore and ocean fishing;</w:t>
            </w:r>
          </w:p>
          <w:p w:rsidR="00E85628" w:rsidRPr="00BE15B8" w:rsidRDefault="00E85628" w:rsidP="006B65F6">
            <w:pPr>
              <w:jc w:val="both"/>
              <w:rPr>
                <w:rFonts w:asciiTheme="minorHAnsi" w:hAnsiTheme="minorHAnsi"/>
              </w:rPr>
            </w:pPr>
            <w:r w:rsidRPr="00BE15B8">
              <w:rPr>
                <w:rFonts w:asciiTheme="minorHAnsi" w:hAnsiTheme="minorHAnsi"/>
              </w:rPr>
              <w:t xml:space="preserve">- operation of regular and auxiliary police forces, of port, border and coast guards, and of other special police forces maintained by public authorities; </w:t>
            </w:r>
            <w:r w:rsidRPr="00BE15B8">
              <w:rPr>
                <w:rFonts w:asciiTheme="minorHAnsi" w:hAnsiTheme="minorHAnsi"/>
              </w:rPr>
              <w:lastRenderedPageBreak/>
              <w:t>operation of police laboratories; operation or support of police training programs.</w:t>
            </w:r>
          </w:p>
          <w:p w:rsidR="00E85628" w:rsidRPr="00BE15B8" w:rsidRDefault="00E85628" w:rsidP="006B65F6">
            <w:pPr>
              <w:jc w:val="both"/>
              <w:rPr>
                <w:rFonts w:asciiTheme="minorHAnsi" w:hAnsiTheme="minorHAnsi"/>
                <w:b/>
              </w:rPr>
            </w:pPr>
            <w:r w:rsidRPr="00BE15B8">
              <w:rPr>
                <w:rFonts w:asciiTheme="minorHAnsi" w:hAnsiTheme="minorHAnsi"/>
                <w:b/>
              </w:rPr>
              <w:t>Law Courts</w:t>
            </w:r>
          </w:p>
          <w:p w:rsidR="00E85628" w:rsidRPr="00BE15B8" w:rsidRDefault="00E85628" w:rsidP="006B65F6">
            <w:pPr>
              <w:jc w:val="both"/>
              <w:rPr>
                <w:rFonts w:asciiTheme="minorHAnsi" w:hAnsiTheme="minorHAnsi"/>
              </w:rPr>
            </w:pPr>
            <w:r w:rsidRPr="00BE15B8">
              <w:rPr>
                <w:rFonts w:asciiTheme="minorHAnsi" w:hAnsiTheme="minorHAnsi"/>
              </w:rPr>
              <w:t>- Administration, operation or support of civil and criminal law courts and the judicial system, including enforcement of fines and legal settlements imposed by the courts and operation of parole and probation systems;</w:t>
            </w:r>
          </w:p>
          <w:p w:rsidR="00E85628" w:rsidRPr="00BE15B8" w:rsidRDefault="00E85628" w:rsidP="006B65F6">
            <w:pPr>
              <w:jc w:val="both"/>
              <w:rPr>
                <w:rFonts w:asciiTheme="minorHAnsi" w:hAnsiTheme="minorHAnsi"/>
              </w:rPr>
            </w:pPr>
            <w:r w:rsidRPr="00BE15B8">
              <w:rPr>
                <w:rFonts w:asciiTheme="minorHAnsi" w:hAnsiTheme="minorHAnsi"/>
              </w:rPr>
              <w:t>- legal representation and advice on behalf of government or on behalf of others provided by government in cash or in services.</w:t>
            </w:r>
          </w:p>
          <w:p w:rsidR="00E85628" w:rsidRPr="00BE15B8" w:rsidRDefault="00E85628" w:rsidP="006B65F6">
            <w:pPr>
              <w:jc w:val="both"/>
              <w:rPr>
                <w:rFonts w:asciiTheme="minorHAnsi" w:hAnsiTheme="minorHAnsi"/>
                <w:b/>
              </w:rPr>
            </w:pPr>
            <w:r w:rsidRPr="00BE15B8">
              <w:rPr>
                <w:rFonts w:asciiTheme="minorHAnsi" w:hAnsiTheme="minorHAnsi"/>
                <w:b/>
              </w:rPr>
              <w:t>Prisons</w:t>
            </w:r>
          </w:p>
          <w:p w:rsidR="00E85628" w:rsidRPr="00BE15B8" w:rsidRDefault="00E85628" w:rsidP="006B65F6">
            <w:pPr>
              <w:rPr>
                <w:rFonts w:asciiTheme="minorHAnsi" w:hAnsiTheme="minorHAnsi"/>
              </w:rPr>
            </w:pPr>
            <w:r w:rsidRPr="00BE15B8">
              <w:rPr>
                <w:rFonts w:asciiTheme="minorHAnsi" w:hAnsiTheme="minorHAnsi"/>
              </w:rPr>
              <w:t>- Administration, operation or support of prisons and other places for the detention or rehabilitation of criminals such as prison farms, workhouses, reformatories, asylums for the criminally insane, etc.</w:t>
            </w:r>
          </w:p>
        </w:tc>
      </w:tr>
      <w:tr w:rsidR="00E85628" w:rsidRPr="00BE15B8" w:rsidTr="00314497">
        <w:tc>
          <w:tcPr>
            <w:tcW w:w="1720" w:type="dxa"/>
            <w:vMerge/>
            <w:shd w:val="clear" w:color="auto" w:fill="BFBFBF" w:themeFill="background1" w:themeFillShade="BF"/>
          </w:tcPr>
          <w:p w:rsidR="00E85628" w:rsidRPr="00BE15B8" w:rsidRDefault="00E85628" w:rsidP="006B65F6">
            <w:pPr>
              <w:rPr>
                <w:rFonts w:asciiTheme="minorHAnsi" w:hAnsiTheme="minorHAnsi"/>
              </w:rPr>
            </w:pPr>
          </w:p>
        </w:tc>
        <w:tc>
          <w:tcPr>
            <w:tcW w:w="2574" w:type="dxa"/>
            <w:shd w:val="clear" w:color="auto" w:fill="BFBFBF" w:themeFill="background1" w:themeFillShade="BF"/>
          </w:tcPr>
          <w:p w:rsidR="00E85628" w:rsidRPr="00BE15B8" w:rsidRDefault="00E85628" w:rsidP="006B65F6">
            <w:pPr>
              <w:rPr>
                <w:rFonts w:asciiTheme="minorHAnsi" w:hAnsiTheme="minorHAnsi"/>
              </w:rPr>
            </w:pPr>
            <w:r w:rsidRPr="00BE15B8">
              <w:rPr>
                <w:rFonts w:asciiTheme="minorHAnsi" w:hAnsiTheme="minorHAnsi"/>
                <w:b/>
              </w:rPr>
              <w:t>UN-CTS (Crime and Criminal Justice Statistics)</w:t>
            </w:r>
          </w:p>
        </w:tc>
        <w:tc>
          <w:tcPr>
            <w:tcW w:w="4994" w:type="dxa"/>
          </w:tcPr>
          <w:p w:rsidR="00E85628" w:rsidRPr="00BE15B8" w:rsidRDefault="00E85628" w:rsidP="006B65F6">
            <w:pPr>
              <w:contextualSpacing/>
              <w:jc w:val="both"/>
              <w:rPr>
                <w:rFonts w:asciiTheme="minorHAnsi" w:hAnsiTheme="minorHAnsi"/>
              </w:rPr>
            </w:pPr>
            <w:r w:rsidRPr="00BE15B8">
              <w:rPr>
                <w:rFonts w:asciiTheme="minorHAnsi" w:hAnsiTheme="minorHAnsi"/>
              </w:rPr>
              <w:t>Data produced by UNODC have multiple sources. Member States regularly submit to UNODC statistics on drugs (through the Annual Report Questionnaire) and crime and criminal justice (through the annual Survey on Crime Trends and Operations of Criminal Justice Systems). Other data are collected through national surveys implemented by UNODC in cooperation with national governments or are compiled from scientific literature. UNODC attempts to maximize the comparability of the data and estimate regional and global statistics.</w:t>
            </w:r>
          </w:p>
        </w:tc>
      </w:tr>
      <w:tr w:rsidR="00E85628" w:rsidRPr="00BE15B8" w:rsidTr="00314497">
        <w:tc>
          <w:tcPr>
            <w:tcW w:w="1720" w:type="dxa"/>
            <w:vMerge/>
            <w:shd w:val="clear" w:color="auto" w:fill="BFBFBF" w:themeFill="background1" w:themeFillShade="BF"/>
          </w:tcPr>
          <w:p w:rsidR="00E85628" w:rsidRPr="00BE15B8" w:rsidRDefault="00E85628" w:rsidP="006B65F6">
            <w:pPr>
              <w:rPr>
                <w:rFonts w:asciiTheme="minorHAnsi" w:hAnsiTheme="minorHAnsi"/>
              </w:rPr>
            </w:pPr>
          </w:p>
        </w:tc>
        <w:tc>
          <w:tcPr>
            <w:tcW w:w="2574" w:type="dxa"/>
            <w:shd w:val="clear" w:color="auto" w:fill="BFBFBF" w:themeFill="background1" w:themeFillShade="BF"/>
          </w:tcPr>
          <w:p w:rsidR="00E85628" w:rsidRPr="00BE15B8" w:rsidRDefault="00E85628" w:rsidP="006B65F6">
            <w:pPr>
              <w:rPr>
                <w:rFonts w:asciiTheme="minorHAnsi" w:hAnsiTheme="minorHAnsi"/>
              </w:rPr>
            </w:pPr>
            <w:r w:rsidRPr="00BE15B8">
              <w:rPr>
                <w:rFonts w:asciiTheme="minorHAnsi" w:hAnsiTheme="minorHAnsi"/>
                <w:b/>
              </w:rPr>
              <w:t xml:space="preserve">SPACE  </w:t>
            </w:r>
          </w:p>
        </w:tc>
        <w:tc>
          <w:tcPr>
            <w:tcW w:w="4994" w:type="dxa"/>
          </w:tcPr>
          <w:p w:rsidR="00E85628" w:rsidRPr="00BE15B8" w:rsidRDefault="00E85628" w:rsidP="006B65F6">
            <w:pPr>
              <w:contextualSpacing/>
              <w:jc w:val="both"/>
              <w:rPr>
                <w:rFonts w:asciiTheme="minorHAnsi" w:hAnsiTheme="minorHAnsi"/>
              </w:rPr>
            </w:pPr>
            <w:r w:rsidRPr="00BE15B8">
              <w:rPr>
                <w:rFonts w:asciiTheme="minorHAnsi" w:hAnsiTheme="minorHAnsi"/>
              </w:rPr>
              <w:t>SPACE unites two related projects: SPACE I provides data on penal institutions and the population held in custody, as well as on certain conditions of detention, while SPACE II collects information on persons serving non-custodial sanctions and alternative measures.</w:t>
            </w:r>
          </w:p>
          <w:p w:rsidR="00E85628" w:rsidRPr="00BE15B8" w:rsidRDefault="00E85628" w:rsidP="006B65F6">
            <w:pPr>
              <w:contextualSpacing/>
              <w:jc w:val="both"/>
              <w:rPr>
                <w:rFonts w:asciiTheme="minorHAnsi" w:hAnsiTheme="minorHAnsi"/>
              </w:rPr>
            </w:pPr>
            <w:r w:rsidRPr="00BE15B8">
              <w:rPr>
                <w:rFonts w:asciiTheme="minorHAnsi" w:hAnsiTheme="minorHAnsi"/>
              </w:rPr>
              <w:t>Data are collected every 2 years by means of two questionnaires sent to the equivalents of the Ministries of Justice, the Penitentiary administrations and the Probation authorities of each country in Europe. The collection and validation of these data then takes place at the University of Lausanne, where analyses and interpretations for both projects are formulated through a common methodology. This methodology aims to allow comparisons among States at the European level, by proposing SPACE categories instead of each country’s own national categories, while still including questions regarding the particularities of their specific sanctions and measures. The SPACE project produces two annual reports: SPACE I – Prison populations and SPACE II – Persons serving non-custodial Sanctions and Measures, presenting the data collected and the key points of the results.</w:t>
            </w:r>
          </w:p>
        </w:tc>
      </w:tr>
      <w:tr w:rsidR="00E85628" w:rsidRPr="00BE15B8" w:rsidTr="00314497">
        <w:tc>
          <w:tcPr>
            <w:tcW w:w="1720" w:type="dxa"/>
            <w:vMerge/>
            <w:shd w:val="clear" w:color="auto" w:fill="BFBFBF" w:themeFill="background1" w:themeFillShade="BF"/>
          </w:tcPr>
          <w:p w:rsidR="00E85628" w:rsidRPr="00BE15B8" w:rsidRDefault="00E85628" w:rsidP="006B65F6">
            <w:pPr>
              <w:rPr>
                <w:rFonts w:asciiTheme="minorHAnsi" w:hAnsiTheme="minorHAnsi"/>
              </w:rPr>
            </w:pPr>
          </w:p>
        </w:tc>
        <w:tc>
          <w:tcPr>
            <w:tcW w:w="2574" w:type="dxa"/>
            <w:shd w:val="clear" w:color="auto" w:fill="BFBFBF" w:themeFill="background1" w:themeFillShade="BF"/>
          </w:tcPr>
          <w:p w:rsidR="00E85628" w:rsidRPr="00BE15B8" w:rsidRDefault="00E85628" w:rsidP="006B65F6">
            <w:pPr>
              <w:rPr>
                <w:rFonts w:asciiTheme="minorHAnsi" w:hAnsiTheme="minorHAnsi"/>
              </w:rPr>
            </w:pPr>
            <w:r w:rsidRPr="00BE15B8">
              <w:rPr>
                <w:rFonts w:asciiTheme="minorHAnsi" w:hAnsiTheme="minorHAnsi"/>
                <w:b/>
              </w:rPr>
              <w:t>European Sourcebook on Crime and Criminal Justice Statistics</w:t>
            </w:r>
          </w:p>
        </w:tc>
        <w:tc>
          <w:tcPr>
            <w:tcW w:w="4994" w:type="dxa"/>
          </w:tcPr>
          <w:p w:rsidR="00E85628" w:rsidRPr="00BE15B8" w:rsidRDefault="00E85628" w:rsidP="006B65F6">
            <w:pPr>
              <w:contextualSpacing/>
              <w:jc w:val="both"/>
              <w:rPr>
                <w:rFonts w:asciiTheme="minorHAnsi" w:hAnsiTheme="minorHAnsi"/>
              </w:rPr>
            </w:pPr>
            <w:r w:rsidRPr="00BE15B8">
              <w:rPr>
                <w:rFonts w:asciiTheme="minorHAnsi" w:hAnsiTheme="minorHAnsi"/>
              </w:rPr>
              <w:t>The Sourcebook contains data from 41 European countries regarding the criminal justice systems. The book is structured by six main chapters covering different stages of the judicial system: Police statistics, Prosecution statistics, Conviction statistics, Prison statistics, Probation statistics and, for the 2014 edition, a final chapter on National Victimization Surveys. The data provided is systematically accompanied by texts and notes relative to the specificity of each country and discussing the different challenges attributed to the comparison of the data.</w:t>
            </w:r>
          </w:p>
        </w:tc>
      </w:tr>
      <w:tr w:rsidR="00E85628" w:rsidRPr="00BE15B8" w:rsidTr="00314497">
        <w:tc>
          <w:tcPr>
            <w:tcW w:w="1720" w:type="dxa"/>
            <w:vMerge/>
            <w:shd w:val="clear" w:color="auto" w:fill="BFBFBF" w:themeFill="background1" w:themeFillShade="BF"/>
          </w:tcPr>
          <w:p w:rsidR="00E85628" w:rsidRPr="00BE15B8" w:rsidRDefault="00E85628" w:rsidP="006B65F6">
            <w:pPr>
              <w:rPr>
                <w:rFonts w:asciiTheme="minorHAnsi" w:hAnsiTheme="minorHAnsi"/>
              </w:rPr>
            </w:pPr>
          </w:p>
        </w:tc>
        <w:tc>
          <w:tcPr>
            <w:tcW w:w="2574" w:type="dxa"/>
            <w:shd w:val="clear" w:color="auto" w:fill="BFBFBF" w:themeFill="background1" w:themeFillShade="BF"/>
          </w:tcPr>
          <w:p w:rsidR="00E85628" w:rsidRPr="00BE15B8" w:rsidRDefault="00E85628" w:rsidP="006B65F6">
            <w:pPr>
              <w:rPr>
                <w:rFonts w:asciiTheme="minorHAnsi" w:hAnsiTheme="minorHAnsi"/>
                <w:b/>
              </w:rPr>
            </w:pPr>
            <w:r w:rsidRPr="00BE15B8">
              <w:rPr>
                <w:rFonts w:asciiTheme="minorHAnsi" w:hAnsiTheme="minorHAnsi"/>
                <w:b/>
              </w:rPr>
              <w:t>Social Expenditure Database</w:t>
            </w:r>
          </w:p>
        </w:tc>
        <w:tc>
          <w:tcPr>
            <w:tcW w:w="4994" w:type="dxa"/>
          </w:tcPr>
          <w:p w:rsidR="00E85628" w:rsidRPr="00BE15B8" w:rsidRDefault="00E85628" w:rsidP="00314497">
            <w:pPr>
              <w:jc w:val="both"/>
              <w:rPr>
                <w:rFonts w:asciiTheme="minorHAnsi" w:hAnsiTheme="minorHAnsi"/>
              </w:rPr>
            </w:pPr>
            <w:r w:rsidRPr="00BE15B8">
              <w:rPr>
                <w:rFonts w:asciiTheme="minorHAnsi" w:hAnsiTheme="minorHAnsi"/>
              </w:rPr>
              <w:t>The OECD Social Expenditure Database (SOCX) provides a unique tool for monitoring trends in aggregate social expenditure and analyzing changes in its composition. The main social policy areas are as follows: old age, survivors, incapacity-related benefits, health, family, active labour market programs, unemployment, housing, and other social policy areas.</w:t>
            </w:r>
          </w:p>
        </w:tc>
      </w:tr>
      <w:tr w:rsidR="00E85628" w:rsidRPr="00BE15B8" w:rsidTr="00314497">
        <w:tc>
          <w:tcPr>
            <w:tcW w:w="1720" w:type="dxa"/>
            <w:vMerge/>
            <w:shd w:val="clear" w:color="auto" w:fill="BFBFBF" w:themeFill="background1" w:themeFillShade="BF"/>
          </w:tcPr>
          <w:p w:rsidR="00E85628" w:rsidRPr="00BE15B8" w:rsidRDefault="00E85628" w:rsidP="006B65F6">
            <w:pPr>
              <w:rPr>
                <w:rFonts w:asciiTheme="minorHAnsi" w:hAnsiTheme="minorHAnsi"/>
              </w:rPr>
            </w:pPr>
          </w:p>
        </w:tc>
        <w:tc>
          <w:tcPr>
            <w:tcW w:w="2574" w:type="dxa"/>
            <w:shd w:val="clear" w:color="auto" w:fill="BFBFBF" w:themeFill="background1" w:themeFillShade="BF"/>
          </w:tcPr>
          <w:p w:rsidR="00E85628" w:rsidRPr="00BE15B8" w:rsidRDefault="00E85628" w:rsidP="006B65F6">
            <w:pPr>
              <w:rPr>
                <w:rFonts w:asciiTheme="minorHAnsi" w:hAnsiTheme="minorHAnsi"/>
                <w:b/>
              </w:rPr>
            </w:pPr>
            <w:r w:rsidRPr="00BE15B8">
              <w:rPr>
                <w:rFonts w:asciiTheme="minorHAnsi" w:hAnsiTheme="minorHAnsi"/>
                <w:b/>
              </w:rPr>
              <w:t>ESPAD</w:t>
            </w:r>
          </w:p>
        </w:tc>
        <w:tc>
          <w:tcPr>
            <w:tcW w:w="4994" w:type="dxa"/>
          </w:tcPr>
          <w:p w:rsidR="00E85628" w:rsidRPr="00BE15B8" w:rsidRDefault="00E85628" w:rsidP="006B65F6">
            <w:pPr>
              <w:rPr>
                <w:rFonts w:asciiTheme="minorHAnsi" w:hAnsiTheme="minorHAnsi"/>
              </w:rPr>
            </w:pPr>
            <w:r w:rsidRPr="00BE15B8">
              <w:rPr>
                <w:rFonts w:asciiTheme="minorHAnsi" w:hAnsiTheme="minorHAnsi"/>
              </w:rPr>
              <w:t>Drug abuse prevalence among teenagers in European countries</w:t>
            </w:r>
          </w:p>
        </w:tc>
      </w:tr>
      <w:tr w:rsidR="00314497" w:rsidRPr="00BE15B8" w:rsidTr="0081209F">
        <w:trPr>
          <w:trHeight w:val="1117"/>
        </w:trPr>
        <w:tc>
          <w:tcPr>
            <w:tcW w:w="1720" w:type="dxa"/>
            <w:shd w:val="clear" w:color="auto" w:fill="BFBFBF" w:themeFill="background1" w:themeFillShade="BF"/>
          </w:tcPr>
          <w:p w:rsidR="00314497" w:rsidRPr="00BE15B8" w:rsidRDefault="00314497" w:rsidP="006B65F6">
            <w:pPr>
              <w:rPr>
                <w:rFonts w:asciiTheme="minorHAnsi" w:hAnsiTheme="minorHAnsi"/>
              </w:rPr>
            </w:pPr>
            <w:r w:rsidRPr="00BE15B8">
              <w:rPr>
                <w:rFonts w:asciiTheme="minorHAnsi" w:hAnsiTheme="minorHAnsi"/>
              </w:rPr>
              <w:t>National</w:t>
            </w:r>
          </w:p>
        </w:tc>
        <w:tc>
          <w:tcPr>
            <w:tcW w:w="2574" w:type="dxa"/>
            <w:shd w:val="clear" w:color="auto" w:fill="BFBFBF" w:themeFill="background1" w:themeFillShade="BF"/>
          </w:tcPr>
          <w:p w:rsidR="00314497" w:rsidRPr="00BE15B8" w:rsidRDefault="00314497" w:rsidP="006B65F6">
            <w:pPr>
              <w:rPr>
                <w:rFonts w:asciiTheme="minorHAnsi" w:hAnsiTheme="minorHAnsi"/>
                <w:b/>
              </w:rPr>
            </w:pPr>
            <w:r w:rsidRPr="00BE15B8">
              <w:rPr>
                <w:rFonts w:asciiTheme="minorHAnsi" w:hAnsiTheme="minorHAnsi"/>
                <w:b/>
              </w:rPr>
              <w:t xml:space="preserve">Database of national statistics  </w:t>
            </w:r>
          </w:p>
        </w:tc>
        <w:tc>
          <w:tcPr>
            <w:tcW w:w="4994" w:type="dxa"/>
          </w:tcPr>
          <w:p w:rsidR="00314497" w:rsidRPr="00BE15B8" w:rsidRDefault="00314497" w:rsidP="0081209F">
            <w:pPr>
              <w:jc w:val="both"/>
              <w:rPr>
                <w:rFonts w:asciiTheme="minorHAnsi" w:hAnsiTheme="minorHAnsi"/>
              </w:rPr>
            </w:pPr>
            <w:r w:rsidRPr="00BE15B8">
              <w:rPr>
                <w:rFonts w:asciiTheme="minorHAnsi" w:hAnsiTheme="minorHAnsi"/>
              </w:rPr>
              <w:t>Expenditures in different groups, in which can be found some indicators of interest: Police service, Law Courts, Priso</w:t>
            </w:r>
            <w:r w:rsidR="0081209F" w:rsidRPr="00BE15B8">
              <w:rPr>
                <w:rFonts w:asciiTheme="minorHAnsi" w:hAnsiTheme="minorHAnsi"/>
              </w:rPr>
              <w:t xml:space="preserve">ns, Medical and social services. </w:t>
            </w:r>
          </w:p>
        </w:tc>
      </w:tr>
      <w:tr w:rsidR="00314497" w:rsidRPr="00BE15B8" w:rsidTr="00314497">
        <w:tc>
          <w:tcPr>
            <w:tcW w:w="1720" w:type="dxa"/>
            <w:shd w:val="clear" w:color="auto" w:fill="BFBFBF" w:themeFill="background1" w:themeFillShade="BF"/>
          </w:tcPr>
          <w:p w:rsidR="00314497" w:rsidRPr="00BE15B8" w:rsidRDefault="00314497" w:rsidP="006B65F6">
            <w:pPr>
              <w:rPr>
                <w:rFonts w:asciiTheme="minorHAnsi" w:hAnsiTheme="minorHAnsi"/>
              </w:rPr>
            </w:pPr>
          </w:p>
        </w:tc>
        <w:tc>
          <w:tcPr>
            <w:tcW w:w="2574" w:type="dxa"/>
            <w:shd w:val="clear" w:color="auto" w:fill="BFBFBF" w:themeFill="background1" w:themeFillShade="BF"/>
          </w:tcPr>
          <w:p w:rsidR="00314497" w:rsidRPr="00BE15B8" w:rsidRDefault="00314497" w:rsidP="006B65F6">
            <w:pPr>
              <w:rPr>
                <w:rFonts w:asciiTheme="minorHAnsi" w:hAnsiTheme="minorHAnsi"/>
                <w:b/>
              </w:rPr>
            </w:pPr>
            <w:r w:rsidRPr="00BE15B8">
              <w:rPr>
                <w:rFonts w:asciiTheme="minorHAnsi" w:hAnsiTheme="minorHAnsi"/>
                <w:b/>
              </w:rPr>
              <w:t xml:space="preserve">Annual report </w:t>
            </w:r>
            <w:r w:rsidR="00904CF3" w:rsidRPr="00BE15B8">
              <w:rPr>
                <w:rFonts w:asciiTheme="minorHAnsi" w:hAnsiTheme="minorHAnsi"/>
                <w:b/>
              </w:rPr>
              <w:t xml:space="preserve">fromm </w:t>
            </w:r>
            <w:r w:rsidRPr="00BE15B8">
              <w:rPr>
                <w:rFonts w:asciiTheme="minorHAnsi" w:hAnsiTheme="minorHAnsi"/>
                <w:b/>
              </w:rPr>
              <w:t>Social service Department</w:t>
            </w:r>
          </w:p>
        </w:tc>
        <w:tc>
          <w:tcPr>
            <w:tcW w:w="4994" w:type="dxa"/>
          </w:tcPr>
          <w:p w:rsidR="00314497" w:rsidRPr="00BE15B8" w:rsidRDefault="00314497" w:rsidP="006B65F6">
            <w:pPr>
              <w:rPr>
                <w:rFonts w:asciiTheme="minorHAnsi" w:hAnsiTheme="minorHAnsi"/>
              </w:rPr>
            </w:pPr>
            <w:r w:rsidRPr="00BE15B8">
              <w:rPr>
                <w:rFonts w:asciiTheme="minorHAnsi" w:hAnsiTheme="minorHAnsi"/>
              </w:rPr>
              <w:t>Data on Social service Department expenditures at the regional level, Number of drug users receiving social benefits in connection with drug use</w:t>
            </w:r>
          </w:p>
        </w:tc>
      </w:tr>
    </w:tbl>
    <w:p w:rsidR="00314497" w:rsidRPr="00BE15B8" w:rsidRDefault="00314497" w:rsidP="00314497">
      <w:pPr>
        <w:pStyle w:val="NormalWeb"/>
        <w:kinsoku w:val="0"/>
        <w:overflowPunct w:val="0"/>
        <w:spacing w:before="0" w:beforeAutospacing="0" w:after="0" w:afterAutospacing="0"/>
        <w:jc w:val="both"/>
        <w:textAlignment w:val="baseline"/>
        <w:rPr>
          <w:rFonts w:asciiTheme="minorHAnsi" w:eastAsiaTheme="minorEastAsia" w:hAnsiTheme="minorHAnsi"/>
          <w:color w:val="000000"/>
          <w:kern w:val="24"/>
          <w:sz w:val="22"/>
          <w:szCs w:val="22"/>
          <w:lang w:val="en-GB"/>
        </w:rPr>
      </w:pPr>
    </w:p>
    <w:p w:rsidR="008866FB" w:rsidRPr="00BE15B8" w:rsidRDefault="008866FB" w:rsidP="00314497">
      <w:pPr>
        <w:pStyle w:val="NormalWeb"/>
        <w:kinsoku w:val="0"/>
        <w:overflowPunct w:val="0"/>
        <w:spacing w:before="0" w:beforeAutospacing="0" w:after="0" w:afterAutospacing="0"/>
        <w:jc w:val="both"/>
        <w:textAlignment w:val="baseline"/>
        <w:rPr>
          <w:rFonts w:asciiTheme="minorHAnsi" w:eastAsiaTheme="minorEastAsia" w:hAnsiTheme="minorHAnsi"/>
          <w:color w:val="000000"/>
          <w:kern w:val="24"/>
          <w:sz w:val="22"/>
          <w:szCs w:val="22"/>
          <w:lang w:val="en-GB"/>
        </w:rPr>
      </w:pPr>
    </w:p>
    <w:p w:rsidR="00B17773" w:rsidRPr="00BE15B8" w:rsidRDefault="00B17773">
      <w:pPr>
        <w:rPr>
          <w:rFonts w:asciiTheme="minorHAnsi" w:hAnsiTheme="minorHAnsi"/>
          <w:b/>
          <w:sz w:val="28"/>
          <w:szCs w:val="28"/>
        </w:rPr>
      </w:pPr>
      <w:r w:rsidRPr="00BE15B8">
        <w:rPr>
          <w:rFonts w:asciiTheme="minorHAnsi" w:hAnsiTheme="minorHAnsi"/>
          <w:b/>
          <w:sz w:val="28"/>
          <w:szCs w:val="28"/>
        </w:rPr>
        <w:br w:type="page"/>
      </w:r>
    </w:p>
    <w:p w:rsidR="008866FB" w:rsidRPr="00BE15B8" w:rsidRDefault="008866FB" w:rsidP="008866FB">
      <w:pPr>
        <w:spacing w:after="0" w:line="240" w:lineRule="auto"/>
        <w:jc w:val="center"/>
        <w:rPr>
          <w:rFonts w:asciiTheme="minorHAnsi" w:hAnsiTheme="minorHAnsi"/>
          <w:b/>
          <w:sz w:val="28"/>
          <w:szCs w:val="28"/>
        </w:rPr>
      </w:pPr>
      <w:r w:rsidRPr="00BE15B8">
        <w:rPr>
          <w:rFonts w:asciiTheme="minorHAnsi" w:hAnsiTheme="minorHAnsi"/>
          <w:b/>
          <w:sz w:val="28"/>
          <w:szCs w:val="28"/>
        </w:rPr>
        <w:lastRenderedPageBreak/>
        <w:t>APPENDIX 2</w:t>
      </w:r>
    </w:p>
    <w:p w:rsidR="008866FB" w:rsidRPr="00BE15B8" w:rsidRDefault="008866FB" w:rsidP="008866FB">
      <w:pPr>
        <w:spacing w:after="0" w:line="240" w:lineRule="auto"/>
        <w:jc w:val="center"/>
        <w:rPr>
          <w:rFonts w:asciiTheme="minorHAnsi" w:hAnsiTheme="minorHAnsi"/>
          <w:b/>
          <w:sz w:val="28"/>
          <w:szCs w:val="28"/>
        </w:rPr>
      </w:pPr>
      <w:r w:rsidRPr="00BE15B8">
        <w:rPr>
          <w:rFonts w:asciiTheme="minorHAnsi" w:hAnsiTheme="minorHAnsi"/>
          <w:b/>
          <w:sz w:val="28"/>
          <w:szCs w:val="28"/>
        </w:rPr>
        <w:t>The international Classification of the Functions of Government (COFOG)</w:t>
      </w:r>
    </w:p>
    <w:p w:rsidR="008866FB" w:rsidRPr="00BE15B8" w:rsidRDefault="008866FB" w:rsidP="008866FB">
      <w:pPr>
        <w:spacing w:after="0" w:line="240" w:lineRule="auto"/>
        <w:jc w:val="both"/>
        <w:rPr>
          <w:rFonts w:asciiTheme="minorHAnsi" w:hAnsiTheme="minorHAnsi"/>
          <w:sz w:val="24"/>
          <w:szCs w:val="24"/>
        </w:rPr>
      </w:pPr>
    </w:p>
    <w:p w:rsidR="008866FB" w:rsidRPr="00BE15B8" w:rsidRDefault="008866FB" w:rsidP="008866FB">
      <w:pPr>
        <w:spacing w:after="0" w:line="240" w:lineRule="auto"/>
        <w:jc w:val="both"/>
        <w:rPr>
          <w:rFonts w:asciiTheme="minorHAnsi" w:hAnsiTheme="minorHAnsi"/>
          <w:sz w:val="24"/>
          <w:szCs w:val="24"/>
        </w:rPr>
      </w:pPr>
      <w:r w:rsidRPr="00BE15B8">
        <w:rPr>
          <w:rFonts w:asciiTheme="minorHAnsi" w:hAnsiTheme="minorHAnsi"/>
          <w:sz w:val="24"/>
          <w:szCs w:val="24"/>
        </w:rPr>
        <w:t xml:space="preserve">The COFOG classification has three structure levels at the first level; government expenditure is broken down into 10 </w:t>
      </w:r>
      <w:r w:rsidRPr="00BE15B8">
        <w:rPr>
          <w:rFonts w:asciiTheme="minorHAnsi" w:hAnsiTheme="minorHAnsi"/>
          <w:color w:val="000000" w:themeColor="text1"/>
          <w:sz w:val="24"/>
          <w:szCs w:val="24"/>
        </w:rPr>
        <w:t xml:space="preserve">functions. These are each divided into 69 groups </w:t>
      </w:r>
      <w:r w:rsidRPr="00BE15B8">
        <w:rPr>
          <w:rFonts w:asciiTheme="minorHAnsi" w:hAnsiTheme="minorHAnsi"/>
          <w:sz w:val="24"/>
          <w:szCs w:val="24"/>
        </w:rPr>
        <w:t>(second level of COFOG), which are themselves divided into classes, the most detailed classification level. COFOG permits an examination over time of trends in government outlays on particular functions. (EMCDDA, 2008)</w:t>
      </w:r>
    </w:p>
    <w:p w:rsidR="008866FB" w:rsidRPr="00BE15B8" w:rsidRDefault="008866FB" w:rsidP="008866FB">
      <w:pPr>
        <w:spacing w:after="0" w:line="240" w:lineRule="auto"/>
        <w:jc w:val="both"/>
        <w:rPr>
          <w:rFonts w:asciiTheme="minorHAnsi" w:hAnsiTheme="minorHAnsi"/>
          <w:sz w:val="24"/>
          <w:szCs w:val="24"/>
        </w:rPr>
      </w:pPr>
    </w:p>
    <w:p w:rsidR="008866FB" w:rsidRPr="00BE15B8" w:rsidRDefault="008866FB" w:rsidP="008866FB">
      <w:pPr>
        <w:spacing w:after="0" w:line="240" w:lineRule="auto"/>
        <w:jc w:val="both"/>
        <w:rPr>
          <w:rFonts w:asciiTheme="minorHAnsi" w:hAnsiTheme="minorHAnsi"/>
          <w:sz w:val="24"/>
          <w:szCs w:val="24"/>
        </w:rPr>
      </w:pPr>
      <w:r w:rsidRPr="00BE15B8">
        <w:rPr>
          <w:rFonts w:asciiTheme="minorHAnsi" w:hAnsiTheme="minorHAnsi"/>
          <w:sz w:val="24"/>
          <w:szCs w:val="24"/>
        </w:rPr>
        <w:t xml:space="preserve">Detailed 3-levels structure of COFOG includes financial flows of the public finance, which are going from state and local (regional and municipal) budgets to non-profit organisations (NPOs) with drug-policy programmes. COFOG is a functional classification used by SNA 1993 (System of National Accounts 1993). COFOG is useful international classification for spatial comparison (between countries) and for time comparison (over time) also. COFOG is in practice very similar. In principle, its units of classification are individual transactions. This means that each outlay (purchase or transfer) should be assigned a COFOG code according to the function that the transaction serves. This principle is valid for both transfers capital (investment) and current (non-investment) transfers. The extensive structure of COFOG contrasts with the four-category division introduced by Reuter (2006) based on the likely effects of services provided by drug policy programmes (i.e. prevention, treatment, enforcement and harm reduction). The Reuter’s programme division is classification of the recipients (NPOs) with drug-policy programmes. </w:t>
      </w:r>
    </w:p>
    <w:p w:rsidR="008866FB" w:rsidRPr="00BE15B8" w:rsidRDefault="008866FB" w:rsidP="008866FB">
      <w:pPr>
        <w:spacing w:after="0" w:line="240" w:lineRule="auto"/>
        <w:jc w:val="both"/>
        <w:rPr>
          <w:rFonts w:asciiTheme="minorHAnsi" w:hAnsiTheme="minorHAnsi"/>
        </w:rPr>
      </w:pPr>
    </w:p>
    <w:p w:rsidR="007012F6" w:rsidRPr="00BE15B8" w:rsidRDefault="008866FB" w:rsidP="007012F6">
      <w:pPr>
        <w:spacing w:after="0" w:line="240" w:lineRule="auto"/>
        <w:jc w:val="both"/>
        <w:rPr>
          <w:rFonts w:asciiTheme="minorHAnsi" w:hAnsiTheme="minorHAnsi"/>
          <w:bCs/>
          <w:sz w:val="24"/>
          <w:szCs w:val="24"/>
        </w:rPr>
      </w:pPr>
      <w:r w:rsidRPr="00BE15B8">
        <w:rPr>
          <w:rFonts w:asciiTheme="minorHAnsi" w:hAnsiTheme="minorHAnsi"/>
          <w:sz w:val="24"/>
          <w:szCs w:val="24"/>
        </w:rPr>
        <w:t>Example of an overview of public expenditure groups broken down according to the main public functions pursuant to the international classification of the functions of the government at the third level</w:t>
      </w:r>
      <w:r w:rsidR="007012F6" w:rsidRPr="00BE15B8">
        <w:rPr>
          <w:rFonts w:asciiTheme="minorHAnsi" w:hAnsiTheme="minorHAnsi"/>
          <w:bCs/>
          <w:sz w:val="24"/>
          <w:szCs w:val="24"/>
        </w:rPr>
        <w:t xml:space="preserve"> is shown in the table below</w:t>
      </w:r>
    </w:p>
    <w:p w:rsidR="007012F6" w:rsidRPr="00BE15B8" w:rsidRDefault="007012F6" w:rsidP="007012F6">
      <w:pPr>
        <w:spacing w:after="0" w:line="240" w:lineRule="auto"/>
        <w:jc w:val="both"/>
        <w:rPr>
          <w:rFonts w:asciiTheme="minorHAnsi" w:hAnsiTheme="minorHAnsi"/>
          <w:bCs/>
          <w:sz w:val="24"/>
          <w:szCs w:val="24"/>
        </w:rPr>
      </w:pPr>
    </w:p>
    <w:p w:rsidR="007012F6" w:rsidRPr="00BE15B8" w:rsidRDefault="008866FB" w:rsidP="007012F6">
      <w:pPr>
        <w:spacing w:after="0" w:line="240" w:lineRule="auto"/>
        <w:jc w:val="both"/>
        <w:rPr>
          <w:rFonts w:asciiTheme="minorHAnsi" w:hAnsiTheme="minorHAnsi"/>
          <w:i/>
        </w:rPr>
      </w:pPr>
      <w:r w:rsidRPr="00BE15B8">
        <w:rPr>
          <w:rFonts w:asciiTheme="minorHAnsi" w:hAnsiTheme="minorHAnsi"/>
          <w:i/>
        </w:rPr>
        <w:t>Public expenditures according to the classification of public functions</w:t>
      </w:r>
    </w:p>
    <w:p w:rsidR="008866FB" w:rsidRPr="00BE15B8" w:rsidRDefault="008866FB" w:rsidP="007012F6">
      <w:pPr>
        <w:spacing w:after="0" w:line="240" w:lineRule="auto"/>
        <w:jc w:val="both"/>
        <w:rPr>
          <w:rFonts w:asciiTheme="minorHAnsi" w:hAnsiTheme="minorHAnsi"/>
          <w:bCs/>
          <w:i/>
        </w:rPr>
      </w:pPr>
      <w:r w:rsidRPr="00BE15B8">
        <w:rPr>
          <w:rFonts w:asciiTheme="minorHAnsi" w:hAnsiTheme="minorHAnsi"/>
          <w:bCs/>
          <w:i/>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6158"/>
      </w:tblGrid>
      <w:tr w:rsidR="008866FB" w:rsidRPr="00BE15B8" w:rsidTr="006B65F6">
        <w:trPr>
          <w:trHeight w:val="520"/>
        </w:trPr>
        <w:tc>
          <w:tcPr>
            <w:tcW w:w="2552" w:type="dxa"/>
            <w:tcBorders>
              <w:top w:val="single" w:sz="4" w:space="0" w:color="auto"/>
              <w:left w:val="single" w:sz="4" w:space="0" w:color="auto"/>
              <w:bottom w:val="single" w:sz="4" w:space="0" w:color="auto"/>
              <w:right w:val="single" w:sz="4" w:space="0" w:color="auto"/>
            </w:tcBorders>
            <w:shd w:val="clear" w:color="auto" w:fill="D00000"/>
            <w:vAlign w:val="center"/>
          </w:tcPr>
          <w:p w:rsidR="008866FB" w:rsidRPr="00BE15B8" w:rsidRDefault="008866FB" w:rsidP="006B65F6">
            <w:pPr>
              <w:rPr>
                <w:rFonts w:asciiTheme="minorHAnsi" w:hAnsiTheme="minorHAnsi"/>
                <w:b/>
                <w:bCs/>
                <w:color w:val="FFFFFF"/>
              </w:rPr>
            </w:pPr>
            <w:r w:rsidRPr="00BE15B8">
              <w:rPr>
                <w:rFonts w:asciiTheme="minorHAnsi" w:hAnsiTheme="minorHAnsi"/>
                <w:b/>
                <w:color w:val="FFFFFF"/>
              </w:rPr>
              <w:t>Public functions</w:t>
            </w:r>
          </w:p>
        </w:tc>
        <w:tc>
          <w:tcPr>
            <w:tcW w:w="6158" w:type="dxa"/>
            <w:tcBorders>
              <w:top w:val="single" w:sz="4" w:space="0" w:color="auto"/>
              <w:left w:val="single" w:sz="4" w:space="0" w:color="auto"/>
              <w:bottom w:val="single" w:sz="4" w:space="0" w:color="auto"/>
              <w:right w:val="single" w:sz="4" w:space="0" w:color="auto"/>
            </w:tcBorders>
            <w:shd w:val="clear" w:color="auto" w:fill="D00000"/>
            <w:vAlign w:val="center"/>
          </w:tcPr>
          <w:p w:rsidR="008866FB" w:rsidRPr="00BE15B8" w:rsidRDefault="008866FB" w:rsidP="006B65F6">
            <w:pPr>
              <w:jc w:val="center"/>
              <w:rPr>
                <w:rFonts w:asciiTheme="minorHAnsi" w:hAnsiTheme="minorHAnsi"/>
                <w:b/>
                <w:bCs/>
                <w:color w:val="FFFFFF"/>
              </w:rPr>
            </w:pPr>
            <w:r w:rsidRPr="00BE15B8">
              <w:rPr>
                <w:rFonts w:asciiTheme="minorHAnsi" w:hAnsiTheme="minorHAnsi"/>
                <w:b/>
                <w:color w:val="FFFFFF"/>
              </w:rPr>
              <w:t>Public functions at the third level of classification</w:t>
            </w:r>
          </w:p>
        </w:tc>
      </w:tr>
      <w:tr w:rsidR="008866FB" w:rsidRPr="00BE15B8" w:rsidTr="006B65F6">
        <w:tc>
          <w:tcPr>
            <w:tcW w:w="2552" w:type="dxa"/>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rPr>
            </w:pPr>
            <w:r w:rsidRPr="00BE15B8">
              <w:rPr>
                <w:rFonts w:asciiTheme="minorHAnsi" w:hAnsiTheme="minorHAnsi"/>
              </w:rPr>
              <w:t>01 General public services</w:t>
            </w: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014 Basic research</w:t>
            </w:r>
          </w:p>
        </w:tc>
      </w:tr>
      <w:tr w:rsidR="008866FB" w:rsidRPr="00BE15B8" w:rsidTr="006B65F6">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r w:rsidRPr="00BE15B8">
              <w:rPr>
                <w:rFonts w:asciiTheme="minorHAnsi" w:hAnsiTheme="minorHAnsi"/>
              </w:rPr>
              <w:t xml:space="preserve">03 Public order and safety </w:t>
            </w:r>
          </w:p>
          <w:p w:rsidR="008866FB" w:rsidRPr="00BE15B8" w:rsidRDefault="008866FB" w:rsidP="006B65F6">
            <w:pPr>
              <w:rPr>
                <w:rFonts w:asciiTheme="minorHAnsi" w:hAnsiTheme="minorHAnsi"/>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rPr>
                <w:rFonts w:asciiTheme="minorHAnsi" w:hAnsiTheme="minorHAnsi"/>
              </w:rPr>
            </w:pPr>
            <w:r w:rsidRPr="00BE15B8">
              <w:rPr>
                <w:rFonts w:asciiTheme="minorHAnsi" w:hAnsiTheme="minorHAnsi"/>
              </w:rPr>
              <w:t xml:space="preserve">031 Police services    </w:t>
            </w:r>
          </w:p>
        </w:tc>
      </w:tr>
      <w:tr w:rsidR="008866FB" w:rsidRPr="00BE15B8"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bCs/>
              </w:rPr>
            </w:pPr>
            <w:r w:rsidRPr="00BE15B8">
              <w:rPr>
                <w:rFonts w:asciiTheme="minorHAnsi" w:hAnsiTheme="minorHAnsi"/>
              </w:rPr>
              <w:t xml:space="preserve">033 Law courts   </w:t>
            </w:r>
          </w:p>
        </w:tc>
      </w:tr>
      <w:tr w:rsidR="008866FB" w:rsidRPr="00BE15B8" w:rsidTr="006B65F6">
        <w:trPr>
          <w:cantSplit/>
          <w:trHeight w:val="244"/>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bCs/>
              </w:rPr>
            </w:pPr>
            <w:r w:rsidRPr="00BE15B8">
              <w:rPr>
                <w:rFonts w:asciiTheme="minorHAnsi" w:hAnsiTheme="minorHAnsi"/>
              </w:rPr>
              <w:t xml:space="preserve">034 Prisons  </w:t>
            </w:r>
          </w:p>
        </w:tc>
      </w:tr>
      <w:tr w:rsidR="008866FB" w:rsidRPr="00BE15B8" w:rsidTr="006B65F6">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r w:rsidRPr="00BE15B8">
              <w:rPr>
                <w:rFonts w:asciiTheme="minorHAnsi" w:hAnsiTheme="minorHAnsi"/>
              </w:rPr>
              <w:t>07 Health</w:t>
            </w:r>
          </w:p>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bCs/>
              </w:rPr>
            </w:pPr>
            <w:r w:rsidRPr="00BE15B8">
              <w:rPr>
                <w:rFonts w:asciiTheme="minorHAnsi" w:hAnsiTheme="minorHAnsi"/>
              </w:rPr>
              <w:t>071 Medical products, appliances and equipment</w:t>
            </w:r>
          </w:p>
        </w:tc>
      </w:tr>
      <w:tr w:rsidR="008866FB" w:rsidRPr="00BE15B8"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072 Outpatient services</w:t>
            </w:r>
          </w:p>
        </w:tc>
      </w:tr>
      <w:tr w:rsidR="008866FB" w:rsidRPr="00BE15B8"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073 Hospital services</w:t>
            </w:r>
          </w:p>
        </w:tc>
      </w:tr>
      <w:tr w:rsidR="008866FB" w:rsidRPr="00BE15B8"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074 Public health services</w:t>
            </w:r>
          </w:p>
        </w:tc>
      </w:tr>
      <w:tr w:rsidR="008866FB" w:rsidRPr="00BE15B8"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075 R&amp;D</w:t>
            </w:r>
          </w:p>
        </w:tc>
      </w:tr>
      <w:tr w:rsidR="008866FB" w:rsidRPr="00BE15B8" w:rsidTr="006B65F6">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r w:rsidRPr="00BE15B8">
              <w:rPr>
                <w:rFonts w:asciiTheme="minorHAnsi" w:hAnsiTheme="minorHAnsi"/>
              </w:rPr>
              <w:lastRenderedPageBreak/>
              <w:t>09 Education</w:t>
            </w: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rPr>
                <w:rFonts w:asciiTheme="minorHAnsi" w:hAnsiTheme="minorHAnsi"/>
              </w:rPr>
            </w:pPr>
            <w:r w:rsidRPr="00BE15B8">
              <w:rPr>
                <w:rFonts w:asciiTheme="minorHAnsi" w:hAnsiTheme="minorHAnsi"/>
              </w:rPr>
              <w:t>091 Pre-primary and primary education</w:t>
            </w:r>
          </w:p>
        </w:tc>
      </w:tr>
      <w:tr w:rsidR="008866FB" w:rsidRPr="00BE15B8"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092 Secondary education</w:t>
            </w:r>
          </w:p>
        </w:tc>
      </w:tr>
      <w:tr w:rsidR="008866FB" w:rsidRPr="00BE15B8" w:rsidTr="006B65F6">
        <w:trPr>
          <w:trHeight w:val="271"/>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bCs/>
              </w:rPr>
            </w:pPr>
            <w:r w:rsidRPr="00BE15B8">
              <w:rPr>
                <w:rFonts w:asciiTheme="minorHAnsi" w:hAnsiTheme="minorHAnsi"/>
              </w:rPr>
              <w:t>094 Tertiary education</w:t>
            </w:r>
          </w:p>
        </w:tc>
      </w:tr>
      <w:tr w:rsidR="008866FB" w:rsidRPr="00BE15B8"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095 Education non-definable by level</w:t>
            </w:r>
          </w:p>
        </w:tc>
      </w:tr>
      <w:tr w:rsidR="008866FB" w:rsidRPr="00BE15B8" w:rsidTr="006B65F6">
        <w:trPr>
          <w:trHeight w:val="307"/>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096 Subsidiary services to education</w:t>
            </w:r>
          </w:p>
        </w:tc>
      </w:tr>
      <w:tr w:rsidR="008866FB" w:rsidRPr="00BE15B8" w:rsidTr="006B65F6">
        <w:trPr>
          <w:trHeight w:val="251"/>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r w:rsidRPr="00BE15B8">
              <w:rPr>
                <w:rFonts w:asciiTheme="minorHAnsi" w:hAnsiTheme="minorHAnsi"/>
              </w:rPr>
              <w:t>10 Social protection</w:t>
            </w:r>
          </w:p>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 xml:space="preserve">105 Unemployment   </w:t>
            </w:r>
          </w:p>
        </w:tc>
      </w:tr>
      <w:tr w:rsidR="008866FB" w:rsidRPr="00BE15B8"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bCs/>
              </w:rPr>
            </w:pPr>
            <w:r w:rsidRPr="00BE15B8">
              <w:rPr>
                <w:rFonts w:asciiTheme="minorHAnsi" w:hAnsiTheme="minorHAnsi"/>
              </w:rPr>
              <w:t xml:space="preserve">106 Housing </w:t>
            </w:r>
          </w:p>
        </w:tc>
      </w:tr>
      <w:tr w:rsidR="008866FB" w:rsidRPr="00BE15B8" w:rsidTr="006B65F6">
        <w:trPr>
          <w:trHeight w:val="443"/>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rPr>
                <w:rFonts w:asciiTheme="minorHAnsi" w:hAnsiTheme="minorHAnsi"/>
              </w:rPr>
            </w:pPr>
            <w:r w:rsidRPr="00BE15B8">
              <w:rPr>
                <w:rFonts w:asciiTheme="minorHAnsi" w:hAnsiTheme="minorHAnsi"/>
              </w:rPr>
              <w:t xml:space="preserve">107 Social exclusion </w:t>
            </w:r>
          </w:p>
        </w:tc>
      </w:tr>
    </w:tbl>
    <w:p w:rsidR="008866FB" w:rsidRPr="00BE15B8" w:rsidRDefault="008866FB" w:rsidP="008866FB">
      <w:pPr>
        <w:spacing w:after="0" w:line="240" w:lineRule="auto"/>
        <w:jc w:val="both"/>
        <w:rPr>
          <w:rFonts w:asciiTheme="minorHAnsi" w:hAnsiTheme="minorHAnsi"/>
          <w:sz w:val="24"/>
          <w:szCs w:val="24"/>
        </w:rPr>
      </w:pPr>
    </w:p>
    <w:p w:rsidR="00CD066D" w:rsidRPr="00BE15B8" w:rsidRDefault="00CD066D">
      <w:pPr>
        <w:rPr>
          <w:rFonts w:asciiTheme="minorHAnsi" w:eastAsiaTheme="minorEastAsia" w:hAnsiTheme="minorHAnsi"/>
          <w:color w:val="000000"/>
          <w:kern w:val="24"/>
        </w:rPr>
      </w:pPr>
      <w:r w:rsidRPr="00BE15B8">
        <w:rPr>
          <w:rFonts w:asciiTheme="minorHAnsi" w:eastAsiaTheme="minorEastAsia" w:hAnsiTheme="minorHAnsi"/>
          <w:color w:val="000000"/>
          <w:kern w:val="24"/>
        </w:rPr>
        <w:br w:type="page"/>
      </w:r>
    </w:p>
    <w:p w:rsidR="001A69CA" w:rsidRPr="00BE15B8" w:rsidRDefault="001A69CA" w:rsidP="001A69CA">
      <w:pPr>
        <w:spacing w:after="0" w:line="240" w:lineRule="auto"/>
        <w:jc w:val="center"/>
        <w:rPr>
          <w:rFonts w:asciiTheme="minorHAnsi" w:hAnsiTheme="minorHAnsi"/>
          <w:b/>
          <w:sz w:val="28"/>
          <w:szCs w:val="28"/>
        </w:rPr>
      </w:pPr>
      <w:r w:rsidRPr="00BE15B8">
        <w:rPr>
          <w:rFonts w:asciiTheme="minorHAnsi" w:hAnsiTheme="minorHAnsi"/>
          <w:b/>
          <w:sz w:val="28"/>
          <w:szCs w:val="28"/>
        </w:rPr>
        <w:lastRenderedPageBreak/>
        <w:t xml:space="preserve">References </w:t>
      </w:r>
    </w:p>
    <w:p w:rsidR="001A69CA" w:rsidRPr="00BE15B8" w:rsidRDefault="001A69CA" w:rsidP="001A69CA">
      <w:pPr>
        <w:rPr>
          <w:rFonts w:asciiTheme="minorHAnsi" w:hAnsiTheme="minorHAnsi"/>
        </w:rPr>
      </w:pPr>
    </w:p>
    <w:p w:rsidR="001A69CA" w:rsidRPr="00BE15B8" w:rsidRDefault="001A69CA" w:rsidP="00A9247E">
      <w:pPr>
        <w:spacing w:after="0" w:line="240" w:lineRule="auto"/>
        <w:jc w:val="both"/>
        <w:rPr>
          <w:rFonts w:asciiTheme="minorHAnsi" w:hAnsiTheme="minorHAnsi"/>
          <w:sz w:val="24"/>
          <w:szCs w:val="24"/>
        </w:rPr>
      </w:pPr>
      <w:r w:rsidRPr="00BE15B8">
        <w:rPr>
          <w:rFonts w:asciiTheme="minorHAnsi" w:hAnsiTheme="minorHAnsi"/>
          <w:sz w:val="24"/>
          <w:szCs w:val="24"/>
        </w:rPr>
        <w:t xml:space="preserve">Budak, J., Jurlina Alibegović, D., </w:t>
      </w:r>
      <w:r w:rsidR="00E216FC" w:rsidRPr="00BE15B8">
        <w:rPr>
          <w:rFonts w:asciiTheme="minorHAnsi" w:hAnsiTheme="minorHAnsi"/>
          <w:sz w:val="24"/>
          <w:szCs w:val="24"/>
        </w:rPr>
        <w:t>Slijepčević, S., &amp; Švaljek, S</w:t>
      </w:r>
      <w:r w:rsidRPr="00BE15B8">
        <w:rPr>
          <w:rFonts w:asciiTheme="minorHAnsi" w:hAnsiTheme="minorHAnsi"/>
          <w:sz w:val="24"/>
          <w:szCs w:val="24"/>
        </w:rPr>
        <w:t>. Analiza javnih rashoda za praćenje ostvarivanja ciljeva u području suzbijanja zlouporabe droga u Republici Hrvatskoj [Analysis of public expenditure for monitoring achievement of the objectives in the field of combating drug abuse in the Republic of Croatia]. Zagreb: Ekonomski institut, Zagreb</w:t>
      </w:r>
    </w:p>
    <w:p w:rsidR="001A69CA" w:rsidRPr="00BE15B8" w:rsidRDefault="001A69CA" w:rsidP="00A9247E">
      <w:pPr>
        <w:spacing w:after="0" w:line="240" w:lineRule="auto"/>
        <w:jc w:val="both"/>
        <w:rPr>
          <w:rFonts w:asciiTheme="minorHAnsi" w:hAnsiTheme="minorHAnsi"/>
          <w:sz w:val="24"/>
          <w:szCs w:val="24"/>
        </w:rPr>
      </w:pPr>
      <w:r w:rsidRPr="00BE15B8">
        <w:rPr>
          <w:rFonts w:asciiTheme="minorHAnsi" w:hAnsiTheme="minorHAnsi"/>
          <w:sz w:val="24"/>
          <w:szCs w:val="24"/>
        </w:rPr>
        <w:t>i Ured za suzbijanje zlouporabe droga Vlade Republike Hrvatske</w:t>
      </w:r>
      <w:r w:rsidR="00E216FC" w:rsidRPr="00BE15B8">
        <w:rPr>
          <w:rFonts w:asciiTheme="minorHAnsi" w:hAnsiTheme="minorHAnsi"/>
          <w:sz w:val="24"/>
          <w:szCs w:val="24"/>
        </w:rPr>
        <w:t>, . 2013</w:t>
      </w:r>
      <w:r w:rsidRPr="00BE15B8">
        <w:rPr>
          <w:rFonts w:asciiTheme="minorHAnsi" w:hAnsiTheme="minorHAnsi"/>
          <w:sz w:val="24"/>
          <w:szCs w:val="24"/>
        </w:rPr>
        <w:t>.</w:t>
      </w:r>
    </w:p>
    <w:p w:rsidR="001A69CA" w:rsidRPr="00BE15B8" w:rsidRDefault="001A69CA" w:rsidP="00A9247E">
      <w:pPr>
        <w:spacing w:after="0" w:line="240" w:lineRule="auto"/>
        <w:jc w:val="both"/>
        <w:rPr>
          <w:rFonts w:asciiTheme="minorHAnsi" w:hAnsiTheme="minorHAnsi"/>
          <w:sz w:val="24"/>
          <w:szCs w:val="24"/>
        </w:rPr>
      </w:pPr>
    </w:p>
    <w:p w:rsidR="003A1C85" w:rsidRPr="00BE15B8" w:rsidRDefault="003A1C85" w:rsidP="00A9247E">
      <w:pPr>
        <w:autoSpaceDE w:val="0"/>
        <w:autoSpaceDN w:val="0"/>
        <w:adjustRightInd w:val="0"/>
        <w:spacing w:after="0" w:line="240" w:lineRule="auto"/>
        <w:jc w:val="both"/>
        <w:rPr>
          <w:rFonts w:asciiTheme="minorHAnsi" w:hAnsiTheme="minorHAnsi"/>
          <w:iCs/>
          <w:sz w:val="24"/>
          <w:szCs w:val="24"/>
        </w:rPr>
      </w:pPr>
      <w:r w:rsidRPr="00BE15B8">
        <w:rPr>
          <w:rFonts w:asciiTheme="minorHAnsi" w:hAnsiTheme="minorHAnsi"/>
          <w:iCs/>
          <w:sz w:val="24"/>
          <w:szCs w:val="24"/>
        </w:rPr>
        <w:t>Carnevale Associates (2008), ‘FY02-09 Budget emphasizes least effective ingredients of drug policy’, Carnevale Associates LLC, policy brief, February 2008: http://www.carnevaleassociates.com/Federal_Drug_Budget_FY02_09_Trend.pdf</w:t>
      </w:r>
    </w:p>
    <w:p w:rsidR="003A1C85" w:rsidRPr="00BE15B8" w:rsidRDefault="003A1C85" w:rsidP="00A9247E">
      <w:pPr>
        <w:pStyle w:val="HTML-forhndsformatert"/>
        <w:shd w:val="clear" w:color="auto" w:fill="FFFFFF"/>
        <w:jc w:val="both"/>
        <w:rPr>
          <w:rFonts w:asciiTheme="minorHAnsi" w:hAnsiTheme="minorHAnsi" w:cs="Times New Roman"/>
          <w:iCs/>
          <w:sz w:val="24"/>
          <w:szCs w:val="24"/>
          <w:lang w:val="en-GB"/>
        </w:rPr>
      </w:pPr>
    </w:p>
    <w:p w:rsidR="00561AC6" w:rsidRPr="00BE15B8" w:rsidRDefault="00561AC6" w:rsidP="00A9247E">
      <w:pPr>
        <w:pStyle w:val="HTML-forhndsformatert"/>
        <w:shd w:val="clear" w:color="auto" w:fill="FFFFFF"/>
        <w:jc w:val="both"/>
        <w:rPr>
          <w:rFonts w:asciiTheme="minorHAnsi" w:hAnsiTheme="minorHAnsi" w:cs="Times New Roman"/>
          <w:iCs/>
          <w:sz w:val="24"/>
          <w:szCs w:val="24"/>
          <w:lang w:val="en-GB"/>
        </w:rPr>
      </w:pPr>
      <w:r w:rsidRPr="00BE15B8">
        <w:rPr>
          <w:rFonts w:asciiTheme="minorHAnsi" w:hAnsiTheme="minorHAnsi" w:cs="Times New Roman"/>
          <w:iCs/>
          <w:sz w:val="24"/>
          <w:szCs w:val="24"/>
          <w:lang w:val="en-GB"/>
        </w:rPr>
        <w:t>Council of the European Union, 2012, EU Drug Strategy (2013-2020), JAI901, 17547/2, Brussels, 11 December 2012</w:t>
      </w:r>
    </w:p>
    <w:p w:rsidR="00561AC6" w:rsidRPr="00BE15B8" w:rsidRDefault="00561AC6" w:rsidP="00A9247E">
      <w:pPr>
        <w:pStyle w:val="HTML-forhndsformatert"/>
        <w:shd w:val="clear" w:color="auto" w:fill="FFFFFF"/>
        <w:jc w:val="both"/>
        <w:rPr>
          <w:rFonts w:asciiTheme="minorHAnsi" w:hAnsiTheme="minorHAnsi" w:cs="Times New Roman"/>
          <w:iCs/>
          <w:sz w:val="24"/>
          <w:szCs w:val="24"/>
          <w:lang w:val="en-GB"/>
        </w:rPr>
      </w:pPr>
    </w:p>
    <w:p w:rsidR="001A69CA" w:rsidRPr="00BE15B8" w:rsidRDefault="001A69CA" w:rsidP="00A9247E">
      <w:pPr>
        <w:spacing w:after="0" w:line="240" w:lineRule="auto"/>
        <w:jc w:val="both"/>
        <w:rPr>
          <w:rFonts w:asciiTheme="minorHAnsi" w:hAnsiTheme="minorHAnsi"/>
          <w:sz w:val="24"/>
          <w:szCs w:val="24"/>
          <w:lang w:val="nb-NO"/>
        </w:rPr>
      </w:pPr>
      <w:r w:rsidRPr="00BE15B8">
        <w:rPr>
          <w:rFonts w:asciiTheme="minorHAnsi" w:hAnsiTheme="minorHAnsi"/>
          <w:sz w:val="24"/>
          <w:szCs w:val="24"/>
          <w:lang w:val="nb-NO"/>
        </w:rPr>
        <w:t xml:space="preserve">De Ruyver, B., Casselman, J. &amp; Pelc, I. (2004). </w:t>
      </w:r>
      <w:r w:rsidRPr="00BE15B8">
        <w:rPr>
          <w:rFonts w:asciiTheme="minorHAnsi" w:hAnsiTheme="minorHAnsi"/>
          <w:sz w:val="24"/>
          <w:szCs w:val="24"/>
        </w:rPr>
        <w:t xml:space="preserve">Drug policy in figures. Study of the actors involved, cost price calculation and population reached. </w:t>
      </w:r>
      <w:r w:rsidRPr="00BE15B8">
        <w:rPr>
          <w:rFonts w:asciiTheme="minorHAnsi" w:hAnsiTheme="minorHAnsi"/>
          <w:sz w:val="24"/>
          <w:szCs w:val="24"/>
          <w:lang w:val="nb-NO"/>
        </w:rPr>
        <w:t>Ghent: Academia Press.</w:t>
      </w:r>
    </w:p>
    <w:p w:rsidR="001A69CA" w:rsidRPr="00BE15B8" w:rsidRDefault="001A69CA" w:rsidP="00A9247E">
      <w:pPr>
        <w:spacing w:after="0" w:line="240" w:lineRule="auto"/>
        <w:jc w:val="both"/>
        <w:rPr>
          <w:rFonts w:asciiTheme="minorHAnsi" w:hAnsiTheme="minorHAnsi"/>
          <w:sz w:val="24"/>
          <w:szCs w:val="24"/>
          <w:lang w:val="nb-NO"/>
        </w:rPr>
      </w:pPr>
    </w:p>
    <w:p w:rsidR="001A69CA" w:rsidRPr="00BE15B8" w:rsidRDefault="001A69CA" w:rsidP="00A9247E">
      <w:pPr>
        <w:spacing w:after="0" w:line="240" w:lineRule="auto"/>
        <w:jc w:val="both"/>
        <w:rPr>
          <w:rFonts w:asciiTheme="minorHAnsi" w:hAnsiTheme="minorHAnsi"/>
          <w:sz w:val="24"/>
          <w:szCs w:val="24"/>
        </w:rPr>
      </w:pPr>
      <w:r w:rsidRPr="00BE15B8">
        <w:rPr>
          <w:rFonts w:asciiTheme="minorHAnsi" w:hAnsiTheme="minorHAnsi"/>
          <w:sz w:val="24"/>
          <w:szCs w:val="24"/>
          <w:lang w:val="nb-NO"/>
        </w:rPr>
        <w:t xml:space="preserve">De Ruyver, B., Van Malderen, S. &amp; Vander Laenen, F. (2007). </w:t>
      </w:r>
      <w:r w:rsidRPr="00BE15B8">
        <w:rPr>
          <w:rFonts w:asciiTheme="minorHAnsi" w:hAnsiTheme="minorHAnsi"/>
          <w:sz w:val="24"/>
          <w:szCs w:val="24"/>
        </w:rPr>
        <w:t>Study into public expenditure with regard to national drug policies. A feasible plan for the national focal points.</w:t>
      </w:r>
    </w:p>
    <w:p w:rsidR="001A69CA" w:rsidRPr="00BE15B8" w:rsidRDefault="001A69CA" w:rsidP="00A9247E">
      <w:pPr>
        <w:spacing w:after="0" w:line="240" w:lineRule="auto"/>
        <w:jc w:val="both"/>
        <w:rPr>
          <w:rFonts w:asciiTheme="minorHAnsi" w:hAnsiTheme="minorHAnsi"/>
          <w:sz w:val="24"/>
          <w:szCs w:val="24"/>
          <w:lang w:eastAsia="nl-BE"/>
        </w:rPr>
      </w:pPr>
    </w:p>
    <w:p w:rsidR="00743AC9" w:rsidRPr="00BE15B8" w:rsidRDefault="00743AC9" w:rsidP="00A9247E">
      <w:pPr>
        <w:autoSpaceDE w:val="0"/>
        <w:autoSpaceDN w:val="0"/>
        <w:adjustRightInd w:val="0"/>
        <w:jc w:val="both"/>
        <w:rPr>
          <w:rFonts w:asciiTheme="minorHAnsi" w:hAnsiTheme="minorHAnsi"/>
          <w:sz w:val="24"/>
          <w:szCs w:val="24"/>
        </w:rPr>
      </w:pPr>
      <w:r w:rsidRPr="00BE15B8">
        <w:rPr>
          <w:rFonts w:asciiTheme="minorHAnsi" w:hAnsiTheme="minorHAnsi"/>
          <w:sz w:val="24"/>
          <w:szCs w:val="24"/>
        </w:rPr>
        <w:t>De Ruyver, B and others,</w:t>
      </w:r>
      <w:r w:rsidR="008D5572" w:rsidRPr="00BE15B8">
        <w:rPr>
          <w:rFonts w:asciiTheme="minorHAnsi" w:hAnsiTheme="minorHAnsi"/>
          <w:sz w:val="24"/>
          <w:szCs w:val="24"/>
        </w:rPr>
        <w:t xml:space="preserve"> (2007)</w:t>
      </w:r>
      <w:r w:rsidRPr="00BE15B8">
        <w:rPr>
          <w:rFonts w:asciiTheme="minorHAnsi" w:hAnsiTheme="minorHAnsi"/>
          <w:sz w:val="24"/>
          <w:szCs w:val="24"/>
        </w:rPr>
        <w:t xml:space="preserve"> </w:t>
      </w:r>
      <w:r w:rsidRPr="00BE15B8">
        <w:rPr>
          <w:rFonts w:asciiTheme="minorHAnsi" w:hAnsiTheme="minorHAnsi"/>
          <w:iCs/>
          <w:sz w:val="24"/>
          <w:szCs w:val="24"/>
        </w:rPr>
        <w:t>Drug Policy in Figures II: Follow-up Research into the Actors, Public Spending and Reached Target Groups</w:t>
      </w:r>
      <w:r w:rsidRPr="00BE15B8">
        <w:rPr>
          <w:rFonts w:asciiTheme="minorHAnsi" w:hAnsiTheme="minorHAnsi"/>
          <w:sz w:val="24"/>
          <w:szCs w:val="24"/>
        </w:rPr>
        <w:t>Ghent, Academia Press, 2007.</w:t>
      </w:r>
    </w:p>
    <w:p w:rsidR="002C3A09" w:rsidRPr="00BE15B8" w:rsidRDefault="003D0511" w:rsidP="002C3A09">
      <w:pPr>
        <w:autoSpaceDE w:val="0"/>
        <w:autoSpaceDN w:val="0"/>
        <w:adjustRightInd w:val="0"/>
        <w:spacing w:after="0" w:line="240" w:lineRule="auto"/>
        <w:jc w:val="both"/>
        <w:rPr>
          <w:rFonts w:asciiTheme="minorHAnsi" w:hAnsiTheme="minorHAnsi"/>
          <w:iCs/>
          <w:sz w:val="24"/>
          <w:szCs w:val="24"/>
        </w:rPr>
      </w:pPr>
      <w:r w:rsidRPr="00BE15B8">
        <w:rPr>
          <w:rFonts w:asciiTheme="minorHAnsi" w:hAnsiTheme="minorHAnsi"/>
          <w:sz w:val="24"/>
          <w:szCs w:val="24"/>
        </w:rPr>
        <w:t xml:space="preserve">European Monitoring Centre for Drugs and Drug Addiction, </w:t>
      </w:r>
      <w:r w:rsidRPr="00BE15B8">
        <w:rPr>
          <w:rFonts w:asciiTheme="minorHAnsi" w:hAnsiTheme="minorHAnsi"/>
          <w:iCs/>
          <w:sz w:val="24"/>
          <w:szCs w:val="24"/>
        </w:rPr>
        <w:t>EMCDDA (2007). “The State of the Drug Problem in Europe,” 2007 Annual Report, pp. 12–13, Luxembourg: Office for Official Publicati</w:t>
      </w:r>
      <w:r w:rsidR="002C3A09" w:rsidRPr="00BE15B8">
        <w:rPr>
          <w:rFonts w:asciiTheme="minorHAnsi" w:hAnsiTheme="minorHAnsi"/>
          <w:iCs/>
          <w:sz w:val="24"/>
          <w:szCs w:val="24"/>
        </w:rPr>
        <w:t>on of the European Communities.</w:t>
      </w:r>
    </w:p>
    <w:p w:rsidR="002C3A09" w:rsidRPr="00BE15B8" w:rsidRDefault="002C3A09" w:rsidP="002C3A09">
      <w:pPr>
        <w:autoSpaceDE w:val="0"/>
        <w:autoSpaceDN w:val="0"/>
        <w:adjustRightInd w:val="0"/>
        <w:spacing w:after="0" w:line="240" w:lineRule="auto"/>
        <w:jc w:val="both"/>
        <w:rPr>
          <w:rFonts w:asciiTheme="minorHAnsi" w:hAnsiTheme="minorHAnsi"/>
          <w:iCs/>
          <w:sz w:val="24"/>
          <w:szCs w:val="24"/>
        </w:rPr>
      </w:pPr>
    </w:p>
    <w:p w:rsidR="002C3A09" w:rsidRPr="00BE15B8" w:rsidRDefault="00743AC9" w:rsidP="002C3A09">
      <w:pPr>
        <w:autoSpaceDE w:val="0"/>
        <w:autoSpaceDN w:val="0"/>
        <w:adjustRightInd w:val="0"/>
        <w:spacing w:after="0" w:line="240" w:lineRule="auto"/>
        <w:jc w:val="both"/>
        <w:rPr>
          <w:rFonts w:asciiTheme="minorHAnsi" w:hAnsiTheme="minorHAnsi"/>
          <w:iCs/>
          <w:sz w:val="24"/>
          <w:szCs w:val="24"/>
        </w:rPr>
      </w:pPr>
      <w:r w:rsidRPr="00BE15B8">
        <w:rPr>
          <w:rFonts w:asciiTheme="minorHAnsi" w:hAnsiTheme="minorHAnsi"/>
          <w:sz w:val="24"/>
          <w:szCs w:val="24"/>
        </w:rPr>
        <w:t xml:space="preserve">European Monitoring Centre for Drugs and Drug Addiction, EMCDDA </w:t>
      </w:r>
      <w:r w:rsidR="008D5572" w:rsidRPr="00BE15B8">
        <w:rPr>
          <w:rFonts w:asciiTheme="minorHAnsi" w:hAnsiTheme="minorHAnsi"/>
          <w:sz w:val="24"/>
          <w:szCs w:val="24"/>
        </w:rPr>
        <w:t>(</w:t>
      </w:r>
      <w:r w:rsidRPr="00BE15B8">
        <w:rPr>
          <w:rFonts w:asciiTheme="minorHAnsi" w:hAnsiTheme="minorHAnsi"/>
          <w:sz w:val="24"/>
          <w:szCs w:val="24"/>
        </w:rPr>
        <w:t>2008</w:t>
      </w:r>
      <w:r w:rsidR="008D5572" w:rsidRPr="00BE15B8">
        <w:rPr>
          <w:rFonts w:asciiTheme="minorHAnsi" w:hAnsiTheme="minorHAnsi"/>
          <w:sz w:val="24"/>
          <w:szCs w:val="24"/>
        </w:rPr>
        <w:t>)</w:t>
      </w:r>
      <w:r w:rsidRPr="00BE15B8">
        <w:rPr>
          <w:rFonts w:asciiTheme="minorHAnsi" w:hAnsiTheme="minorHAnsi"/>
          <w:sz w:val="24"/>
          <w:szCs w:val="24"/>
        </w:rPr>
        <w:t xml:space="preserve"> Selected Issue: Towards a Better Understanding of Drug-Related Public Expenditure in Europe, Luxembourg, Office for Official Publications of the European Communities, 2008.</w:t>
      </w:r>
    </w:p>
    <w:p w:rsidR="002C3A09" w:rsidRPr="00BE15B8" w:rsidRDefault="002C3A09" w:rsidP="002C3A09">
      <w:pPr>
        <w:autoSpaceDE w:val="0"/>
        <w:autoSpaceDN w:val="0"/>
        <w:adjustRightInd w:val="0"/>
        <w:spacing w:after="0" w:line="240" w:lineRule="auto"/>
        <w:jc w:val="both"/>
        <w:rPr>
          <w:rFonts w:asciiTheme="minorHAnsi" w:hAnsiTheme="minorHAnsi"/>
          <w:iCs/>
          <w:sz w:val="24"/>
          <w:szCs w:val="24"/>
        </w:rPr>
      </w:pPr>
    </w:p>
    <w:p w:rsidR="001A69CA" w:rsidRPr="00BE15B8" w:rsidRDefault="001A69CA" w:rsidP="002C3A09">
      <w:pPr>
        <w:autoSpaceDE w:val="0"/>
        <w:autoSpaceDN w:val="0"/>
        <w:adjustRightInd w:val="0"/>
        <w:spacing w:after="0" w:line="240" w:lineRule="auto"/>
        <w:jc w:val="both"/>
        <w:rPr>
          <w:rFonts w:asciiTheme="minorHAnsi" w:hAnsiTheme="minorHAnsi"/>
          <w:iCs/>
          <w:sz w:val="24"/>
          <w:szCs w:val="24"/>
        </w:rPr>
      </w:pPr>
      <w:r w:rsidRPr="00BE15B8">
        <w:rPr>
          <w:rFonts w:asciiTheme="minorHAnsi" w:hAnsiTheme="minorHAnsi"/>
          <w:sz w:val="24"/>
          <w:szCs w:val="24"/>
          <w:lang w:eastAsia="nl-BE"/>
        </w:rPr>
        <w:t>European Monitoring Centre for Drugs and Drug Addiction (2014), Estimating public expenditure on drug-law offenders in prison in Europe, EMCDDA Papers, Publications Office of the European Union, Luxembourg.</w:t>
      </w:r>
    </w:p>
    <w:p w:rsidR="00E53CFB" w:rsidRPr="00BE15B8" w:rsidRDefault="00E53CFB" w:rsidP="00A9247E">
      <w:pPr>
        <w:spacing w:after="0" w:line="240" w:lineRule="auto"/>
        <w:jc w:val="both"/>
        <w:rPr>
          <w:rFonts w:asciiTheme="minorHAnsi" w:hAnsiTheme="minorHAnsi"/>
          <w:sz w:val="24"/>
          <w:szCs w:val="24"/>
          <w:lang w:eastAsia="nl-BE"/>
        </w:rPr>
      </w:pPr>
    </w:p>
    <w:p w:rsidR="001A69CA" w:rsidRPr="00BE15B8" w:rsidRDefault="001A69CA" w:rsidP="00A9247E">
      <w:pPr>
        <w:spacing w:after="0" w:line="240" w:lineRule="auto"/>
        <w:jc w:val="both"/>
        <w:rPr>
          <w:rFonts w:asciiTheme="minorHAnsi" w:hAnsiTheme="minorHAnsi"/>
          <w:sz w:val="24"/>
          <w:szCs w:val="24"/>
          <w:lang w:eastAsia="nl-BE"/>
        </w:rPr>
      </w:pPr>
      <w:r w:rsidRPr="00BE15B8">
        <w:rPr>
          <w:rFonts w:asciiTheme="minorHAnsi" w:hAnsiTheme="minorHAnsi"/>
          <w:sz w:val="24"/>
          <w:szCs w:val="24"/>
          <w:lang w:eastAsia="nl-BE"/>
        </w:rPr>
        <w:t>European Monitoring Centre for Drugs and Drug Addiction (2014a), Financing drug policy in Europe in the wake of the economic recession, EMCDDA Papers, Publications Office of the European Union, Luxembourg.</w:t>
      </w:r>
    </w:p>
    <w:p w:rsidR="001A69CA" w:rsidRPr="00BE15B8" w:rsidRDefault="001A69CA" w:rsidP="00A9247E">
      <w:pPr>
        <w:spacing w:after="0" w:line="240" w:lineRule="auto"/>
        <w:jc w:val="both"/>
        <w:rPr>
          <w:rFonts w:asciiTheme="minorHAnsi" w:hAnsiTheme="minorHAnsi"/>
          <w:sz w:val="24"/>
          <w:szCs w:val="24"/>
        </w:rPr>
      </w:pPr>
    </w:p>
    <w:p w:rsidR="00E53CFB" w:rsidRPr="00BE15B8" w:rsidRDefault="00E53CFB" w:rsidP="00E53CFB">
      <w:pPr>
        <w:autoSpaceDE w:val="0"/>
        <w:autoSpaceDN w:val="0"/>
        <w:adjustRightInd w:val="0"/>
        <w:jc w:val="both"/>
        <w:rPr>
          <w:rFonts w:asciiTheme="minorHAnsi" w:hAnsiTheme="minorHAnsi"/>
          <w:sz w:val="24"/>
          <w:szCs w:val="24"/>
        </w:rPr>
      </w:pPr>
      <w:r w:rsidRPr="00BE15B8">
        <w:rPr>
          <w:rFonts w:asciiTheme="minorHAnsi" w:hAnsiTheme="minorHAnsi"/>
          <w:sz w:val="24"/>
          <w:szCs w:val="24"/>
          <w:lang w:eastAsia="nl-BE"/>
        </w:rPr>
        <w:t xml:space="preserve">European Monitoring Centre for Drugs and Drug Addiction (2014b) European Drug Report – Trends and developments, </w:t>
      </w:r>
      <w:r w:rsidRPr="00BE15B8">
        <w:rPr>
          <w:rFonts w:asciiTheme="minorHAnsi" w:hAnsiTheme="minorHAnsi"/>
          <w:sz w:val="24"/>
          <w:szCs w:val="24"/>
        </w:rPr>
        <w:t>Luxembourg, Office for Official Publications of the European Communities, 2014.</w:t>
      </w:r>
    </w:p>
    <w:p w:rsidR="00E53CFB" w:rsidRPr="00BE15B8" w:rsidRDefault="000277EE" w:rsidP="00A9247E">
      <w:pPr>
        <w:spacing w:after="0" w:line="240" w:lineRule="auto"/>
        <w:jc w:val="both"/>
        <w:rPr>
          <w:rFonts w:asciiTheme="minorHAnsi" w:hAnsiTheme="minorHAnsi"/>
          <w:sz w:val="24"/>
          <w:szCs w:val="24"/>
        </w:rPr>
      </w:pPr>
      <w:r w:rsidRPr="00BE15B8">
        <w:rPr>
          <w:rFonts w:asciiTheme="minorHAnsi" w:hAnsiTheme="minorHAnsi"/>
          <w:sz w:val="24"/>
          <w:szCs w:val="24"/>
        </w:rPr>
        <w:t xml:space="preserve">Eurostat, 2011, Manula on Sources and methods for the compilation of COFOG statistics – Classifiaction of the Functions of Government (COFOG), Eurostat Methodologies and working </w:t>
      </w:r>
      <w:r w:rsidRPr="00BE15B8">
        <w:rPr>
          <w:rFonts w:asciiTheme="minorHAnsi" w:hAnsiTheme="minorHAnsi"/>
          <w:sz w:val="24"/>
          <w:szCs w:val="24"/>
        </w:rPr>
        <w:lastRenderedPageBreak/>
        <w:t>papers, 2011 Edition, LOffice for official publications of the European communities, Luxembourg</w:t>
      </w:r>
    </w:p>
    <w:p w:rsidR="000277EE" w:rsidRPr="00BE15B8" w:rsidRDefault="000277EE" w:rsidP="00A9247E">
      <w:pPr>
        <w:spacing w:after="0" w:line="240" w:lineRule="auto"/>
        <w:jc w:val="both"/>
        <w:rPr>
          <w:rFonts w:asciiTheme="minorHAnsi" w:hAnsiTheme="minorHAnsi"/>
          <w:sz w:val="24"/>
          <w:szCs w:val="24"/>
        </w:rPr>
      </w:pPr>
    </w:p>
    <w:p w:rsidR="00A61B32" w:rsidRPr="00BE15B8" w:rsidRDefault="00A61B32" w:rsidP="004B1C4F">
      <w:pPr>
        <w:spacing w:after="0" w:line="240" w:lineRule="auto"/>
        <w:jc w:val="both"/>
        <w:rPr>
          <w:rFonts w:asciiTheme="minorHAnsi" w:hAnsiTheme="minorHAnsi"/>
          <w:sz w:val="24"/>
          <w:szCs w:val="24"/>
        </w:rPr>
      </w:pPr>
      <w:r w:rsidRPr="00BE15B8">
        <w:rPr>
          <w:rFonts w:asciiTheme="minorHAnsi" w:hAnsiTheme="minorHAnsi"/>
          <w:sz w:val="24"/>
          <w:szCs w:val="24"/>
        </w:rPr>
        <w:t>Genetti B. (2014), First component of costs (costs of enforcing the Law ) – conceptual model, methodology and results in Italy. Presented at the conference ‘Preparing a national study on drug-related social costs’, Zagreb  7 – 11 April 2014.</w:t>
      </w:r>
    </w:p>
    <w:p w:rsidR="00AE43B9" w:rsidRPr="00BE15B8" w:rsidRDefault="00AE43B9" w:rsidP="004B1C4F">
      <w:pPr>
        <w:spacing w:after="0" w:line="240" w:lineRule="auto"/>
        <w:jc w:val="both"/>
        <w:rPr>
          <w:rFonts w:asciiTheme="minorHAnsi" w:hAnsiTheme="minorHAnsi"/>
          <w:sz w:val="24"/>
          <w:szCs w:val="24"/>
        </w:rPr>
      </w:pPr>
    </w:p>
    <w:p w:rsidR="005962DC" w:rsidRPr="00BE15B8" w:rsidRDefault="00E53E98" w:rsidP="005962DC">
      <w:pPr>
        <w:rPr>
          <w:rFonts w:asciiTheme="minorHAnsi" w:hAnsiTheme="minorHAnsi"/>
          <w:sz w:val="24"/>
          <w:szCs w:val="24"/>
        </w:rPr>
      </w:pPr>
      <w:hyperlink r:id="rId18" w:history="1">
        <w:r w:rsidR="005962DC" w:rsidRPr="00BE15B8">
          <w:rPr>
            <w:rFonts w:asciiTheme="minorHAnsi" w:hAnsiTheme="minorHAnsi"/>
            <w:sz w:val="24"/>
            <w:szCs w:val="24"/>
          </w:rPr>
          <w:t>Gonçalves R</w:t>
        </w:r>
      </w:hyperlink>
      <w:r w:rsidR="005962DC" w:rsidRPr="00BE15B8">
        <w:rPr>
          <w:rFonts w:asciiTheme="minorHAnsi" w:hAnsiTheme="minorHAnsi"/>
          <w:sz w:val="24"/>
          <w:szCs w:val="24"/>
        </w:rPr>
        <w:t xml:space="preserve">, </w:t>
      </w:r>
      <w:hyperlink r:id="rId19" w:history="1">
        <w:r w:rsidR="005962DC" w:rsidRPr="00BE15B8">
          <w:rPr>
            <w:rFonts w:asciiTheme="minorHAnsi" w:hAnsiTheme="minorHAnsi"/>
            <w:sz w:val="24"/>
            <w:szCs w:val="24"/>
          </w:rPr>
          <w:t>Lourenço A</w:t>
        </w:r>
      </w:hyperlink>
      <w:r w:rsidR="005962DC" w:rsidRPr="00BE15B8">
        <w:rPr>
          <w:rFonts w:asciiTheme="minorHAnsi" w:hAnsiTheme="minorHAnsi"/>
          <w:sz w:val="24"/>
          <w:szCs w:val="24"/>
        </w:rPr>
        <w:t xml:space="preserve">, </w:t>
      </w:r>
      <w:hyperlink r:id="rId20" w:history="1">
        <w:r w:rsidR="005962DC" w:rsidRPr="00BE15B8">
          <w:rPr>
            <w:rFonts w:asciiTheme="minorHAnsi" w:hAnsiTheme="minorHAnsi"/>
            <w:sz w:val="24"/>
            <w:szCs w:val="24"/>
          </w:rPr>
          <w:t>Silva SN</w:t>
        </w:r>
      </w:hyperlink>
      <w:r w:rsidR="005962DC" w:rsidRPr="00BE15B8">
        <w:rPr>
          <w:rFonts w:asciiTheme="minorHAnsi" w:hAnsiTheme="minorHAnsi"/>
          <w:sz w:val="24"/>
          <w:szCs w:val="24"/>
        </w:rPr>
        <w:t xml:space="preserve">. (2015), A social cost perspective in the wake of the Portuguese strategy for the fight against drugs. </w:t>
      </w:r>
      <w:hyperlink r:id="rId21" w:tooltip="The International journal on drug policy." w:history="1">
        <w:r w:rsidR="005962DC" w:rsidRPr="00BE15B8">
          <w:rPr>
            <w:rFonts w:asciiTheme="minorHAnsi" w:hAnsiTheme="minorHAnsi"/>
            <w:sz w:val="24"/>
            <w:szCs w:val="24"/>
          </w:rPr>
          <w:t>International Journal of Drug Policy.</w:t>
        </w:r>
      </w:hyperlink>
      <w:r w:rsidR="005962DC" w:rsidRPr="00BE15B8">
        <w:rPr>
          <w:rFonts w:asciiTheme="minorHAnsi" w:hAnsiTheme="minorHAnsi"/>
          <w:sz w:val="24"/>
          <w:szCs w:val="24"/>
        </w:rPr>
        <w:t xml:space="preserve"> 2015 Feb; 26(2):199-209.</w:t>
      </w:r>
    </w:p>
    <w:p w:rsidR="001A69CA" w:rsidRPr="00BE15B8" w:rsidRDefault="001A69CA" w:rsidP="00A9247E">
      <w:pPr>
        <w:spacing w:after="0" w:line="240" w:lineRule="auto"/>
        <w:jc w:val="both"/>
        <w:rPr>
          <w:rFonts w:asciiTheme="minorHAnsi" w:hAnsiTheme="minorHAnsi"/>
          <w:sz w:val="24"/>
          <w:szCs w:val="24"/>
        </w:rPr>
      </w:pPr>
      <w:r w:rsidRPr="00BE15B8">
        <w:rPr>
          <w:rFonts w:asciiTheme="minorHAnsi" w:hAnsiTheme="minorHAnsi"/>
          <w:sz w:val="24"/>
          <w:szCs w:val="24"/>
        </w:rPr>
        <w:t xml:space="preserve">Kopp, P. &amp; Fenoglio, P. (2002). Calculating the social cost of illicit drugs. </w:t>
      </w:r>
      <w:r w:rsidRPr="00BE15B8">
        <w:rPr>
          <w:rStyle w:val="Utheving"/>
          <w:rFonts w:asciiTheme="minorHAnsi" w:hAnsiTheme="minorHAnsi"/>
          <w:sz w:val="24"/>
          <w:szCs w:val="24"/>
        </w:rPr>
        <w:t>Pompidou Group</w:t>
      </w:r>
      <w:r w:rsidRPr="00BE15B8">
        <w:rPr>
          <w:rFonts w:asciiTheme="minorHAnsi" w:hAnsiTheme="minorHAnsi"/>
          <w:sz w:val="24"/>
          <w:szCs w:val="24"/>
        </w:rPr>
        <w:t>, Council Of Europe Publishing.</w:t>
      </w:r>
    </w:p>
    <w:p w:rsidR="001A69CA" w:rsidRPr="00BE15B8" w:rsidRDefault="001A69CA" w:rsidP="00A9247E">
      <w:pPr>
        <w:spacing w:after="0" w:line="240" w:lineRule="auto"/>
        <w:ind w:left="720" w:hanging="720"/>
        <w:jc w:val="both"/>
        <w:rPr>
          <w:rFonts w:asciiTheme="minorHAnsi" w:hAnsiTheme="minorHAnsi"/>
          <w:sz w:val="24"/>
          <w:szCs w:val="24"/>
        </w:rPr>
      </w:pPr>
    </w:p>
    <w:p w:rsidR="001A69CA" w:rsidRPr="00BE15B8" w:rsidRDefault="001A69CA" w:rsidP="00A9247E">
      <w:pPr>
        <w:spacing w:after="0" w:line="240" w:lineRule="auto"/>
        <w:jc w:val="both"/>
        <w:rPr>
          <w:rFonts w:asciiTheme="minorHAnsi" w:hAnsiTheme="minorHAnsi"/>
          <w:sz w:val="24"/>
          <w:szCs w:val="24"/>
        </w:rPr>
      </w:pPr>
      <w:r w:rsidRPr="00BE15B8">
        <w:rPr>
          <w:rFonts w:asciiTheme="minorHAnsi" w:hAnsiTheme="minorHAnsi"/>
          <w:sz w:val="24"/>
          <w:szCs w:val="24"/>
        </w:rPr>
        <w:t>Kopp, P. &amp; Fenoglio, P. (2003). Public spending on drugs in the European Union during the 1990s, Lisbon, EMCDDA.</w:t>
      </w:r>
    </w:p>
    <w:p w:rsidR="003D0511" w:rsidRPr="00BE15B8" w:rsidRDefault="003D0511" w:rsidP="00A9247E">
      <w:pPr>
        <w:spacing w:after="0" w:line="240" w:lineRule="auto"/>
        <w:jc w:val="both"/>
        <w:rPr>
          <w:rFonts w:asciiTheme="minorHAnsi" w:hAnsiTheme="minorHAnsi"/>
          <w:sz w:val="24"/>
          <w:szCs w:val="24"/>
        </w:rPr>
      </w:pPr>
    </w:p>
    <w:p w:rsidR="003D0511" w:rsidRPr="00BE15B8" w:rsidRDefault="003D0511" w:rsidP="003D0511">
      <w:pPr>
        <w:pStyle w:val="HTML-forhndsformatert"/>
        <w:shd w:val="clear" w:color="auto" w:fill="FFFFFF"/>
        <w:jc w:val="both"/>
        <w:rPr>
          <w:rFonts w:asciiTheme="minorHAnsi" w:hAnsiTheme="minorHAnsi" w:cs="Times New Roman"/>
          <w:sz w:val="24"/>
          <w:szCs w:val="24"/>
          <w:lang w:val="nb-NO"/>
        </w:rPr>
      </w:pPr>
      <w:r w:rsidRPr="00BE15B8">
        <w:rPr>
          <w:rFonts w:asciiTheme="minorHAnsi" w:hAnsiTheme="minorHAnsi" w:cs="Times New Roman"/>
          <w:sz w:val="24"/>
          <w:szCs w:val="24"/>
          <w:lang w:val="nb-NO"/>
        </w:rPr>
        <w:t>Kopp, P. (2006). Économie de la drogue, Paris, Éditions La Découverte.</w:t>
      </w:r>
    </w:p>
    <w:p w:rsidR="003D0511" w:rsidRPr="00BE15B8" w:rsidRDefault="003D0511" w:rsidP="003D0511">
      <w:pPr>
        <w:pStyle w:val="HTML-forhndsformatert"/>
        <w:shd w:val="clear" w:color="auto" w:fill="FFFFFF"/>
        <w:jc w:val="both"/>
        <w:rPr>
          <w:rFonts w:asciiTheme="minorHAnsi" w:hAnsiTheme="minorHAnsi" w:cs="Times New Roman"/>
          <w:sz w:val="24"/>
          <w:szCs w:val="24"/>
          <w:lang w:val="nb-NO"/>
        </w:rPr>
      </w:pPr>
    </w:p>
    <w:p w:rsidR="003D0511" w:rsidRPr="00BE15B8" w:rsidRDefault="003D0511" w:rsidP="003D0511">
      <w:pPr>
        <w:pStyle w:val="HTML-forhndsformatert"/>
        <w:shd w:val="clear" w:color="auto" w:fill="FFFFFF"/>
        <w:jc w:val="both"/>
        <w:rPr>
          <w:rFonts w:asciiTheme="minorHAnsi" w:hAnsiTheme="minorHAnsi" w:cs="Times New Roman"/>
          <w:sz w:val="24"/>
          <w:szCs w:val="24"/>
          <w:lang w:val="en-GB"/>
        </w:rPr>
      </w:pPr>
      <w:r w:rsidRPr="00BE15B8">
        <w:rPr>
          <w:rFonts w:asciiTheme="minorHAnsi" w:hAnsiTheme="minorHAnsi" w:cs="Times New Roman"/>
          <w:sz w:val="24"/>
          <w:szCs w:val="24"/>
          <w:lang w:val="en-GB"/>
        </w:rPr>
        <w:t>Kopp, P. (2015). Le côut social des drogues en France, OFDT.</w:t>
      </w:r>
    </w:p>
    <w:p w:rsidR="003D0511" w:rsidRPr="00BE15B8" w:rsidRDefault="003D0511" w:rsidP="00A9247E">
      <w:pPr>
        <w:spacing w:after="0" w:line="240" w:lineRule="auto"/>
        <w:jc w:val="both"/>
        <w:rPr>
          <w:rFonts w:asciiTheme="minorHAnsi" w:hAnsiTheme="minorHAnsi"/>
          <w:sz w:val="24"/>
          <w:szCs w:val="24"/>
        </w:rPr>
      </w:pPr>
    </w:p>
    <w:p w:rsidR="001A69CA" w:rsidRPr="00BE15B8" w:rsidRDefault="00931638" w:rsidP="00A9247E">
      <w:pPr>
        <w:spacing w:after="0" w:line="240" w:lineRule="auto"/>
        <w:jc w:val="both"/>
        <w:rPr>
          <w:rFonts w:asciiTheme="minorHAnsi" w:hAnsiTheme="minorHAnsi"/>
          <w:sz w:val="24"/>
          <w:szCs w:val="24"/>
        </w:rPr>
      </w:pPr>
      <w:r w:rsidRPr="00BE15B8">
        <w:rPr>
          <w:rFonts w:asciiTheme="minorHAnsi" w:eastAsiaTheme="minorHAnsi" w:hAnsiTheme="minorHAnsi"/>
          <w:sz w:val="24"/>
          <w:szCs w:val="24"/>
          <w:lang w:val="nb-NO"/>
        </w:rPr>
        <w:t xml:space="preserve">Lievens, D., Laenen, F. V., Caulkins, J. &amp; De Ruyver, B. (2012). </w:t>
      </w:r>
      <w:r w:rsidRPr="00BE15B8">
        <w:rPr>
          <w:rFonts w:asciiTheme="minorHAnsi" w:eastAsiaTheme="minorHAnsi" w:hAnsiTheme="minorHAnsi"/>
          <w:sz w:val="24"/>
          <w:szCs w:val="24"/>
        </w:rPr>
        <w:t>Drugs in Figures III - Study of public expenditures on drug control and drug problems, European criminal justice and policy: Governance of Security Research Paper Series, GofS Vol. 7 (Governance of Security (GofS) Research Paper Series), Maklu Publishers, Alperdoon</w:t>
      </w:r>
    </w:p>
    <w:p w:rsidR="008642FC" w:rsidRPr="00BE15B8" w:rsidRDefault="008642FC" w:rsidP="008642FC">
      <w:pPr>
        <w:spacing w:after="0" w:line="240" w:lineRule="auto"/>
        <w:jc w:val="both"/>
        <w:rPr>
          <w:rFonts w:asciiTheme="minorHAnsi" w:hAnsiTheme="minorHAnsi"/>
          <w:sz w:val="24"/>
          <w:szCs w:val="24"/>
        </w:rPr>
      </w:pPr>
    </w:p>
    <w:p w:rsidR="008642FC" w:rsidRPr="00BE15B8" w:rsidRDefault="008642FC" w:rsidP="008642FC">
      <w:pPr>
        <w:spacing w:after="0" w:line="240" w:lineRule="auto"/>
        <w:jc w:val="both"/>
        <w:rPr>
          <w:rFonts w:asciiTheme="minorHAnsi" w:hAnsiTheme="minorHAnsi"/>
          <w:sz w:val="24"/>
          <w:szCs w:val="24"/>
        </w:rPr>
      </w:pPr>
      <w:r w:rsidRPr="00BE15B8">
        <w:rPr>
          <w:rFonts w:asciiTheme="minorHAnsi" w:hAnsiTheme="minorHAnsi"/>
          <w:sz w:val="24"/>
          <w:szCs w:val="24"/>
        </w:rPr>
        <w:t>Lievens D., Vander Laenen F., Verhaeghe N., Schils N., Putman K., Pauwels L., Hardyns and Annemans, 2016, The social costs of legal and illegal drugs in Belgium, Maklu, Antewerp ISBN 978-90-466-0816</w:t>
      </w:r>
    </w:p>
    <w:p w:rsidR="00931638" w:rsidRPr="00BE15B8" w:rsidRDefault="00931638" w:rsidP="00A9247E">
      <w:pPr>
        <w:spacing w:after="0" w:line="240" w:lineRule="auto"/>
        <w:jc w:val="both"/>
        <w:rPr>
          <w:rFonts w:asciiTheme="minorHAnsi" w:hAnsiTheme="minorHAnsi"/>
          <w:sz w:val="24"/>
          <w:szCs w:val="24"/>
        </w:rPr>
      </w:pPr>
    </w:p>
    <w:p w:rsidR="001A69CA" w:rsidRPr="00BE15B8" w:rsidRDefault="001A69CA" w:rsidP="00A9247E">
      <w:pPr>
        <w:spacing w:after="0" w:line="240" w:lineRule="auto"/>
        <w:jc w:val="both"/>
        <w:rPr>
          <w:rFonts w:asciiTheme="minorHAnsi" w:hAnsiTheme="minorHAnsi"/>
          <w:sz w:val="24"/>
          <w:szCs w:val="24"/>
        </w:rPr>
      </w:pPr>
      <w:r w:rsidRPr="00BE15B8">
        <w:rPr>
          <w:rFonts w:asciiTheme="minorHAnsi" w:hAnsiTheme="minorHAnsi"/>
          <w:sz w:val="24"/>
          <w:szCs w:val="24"/>
        </w:rPr>
        <w:t xml:space="preserve">Moore, T., J. (2005). Monograph No. 01: What is Australia’s “drug budget”? The policy mix of illicit drug-related government spending in Australia. Fitzroy: Turning Point Alcohol and Drug Centre. </w:t>
      </w:r>
    </w:p>
    <w:p w:rsidR="003A1C85" w:rsidRPr="00BE15B8" w:rsidRDefault="003A1C85" w:rsidP="00A9247E">
      <w:pPr>
        <w:spacing w:after="0" w:line="240" w:lineRule="auto"/>
        <w:jc w:val="both"/>
        <w:rPr>
          <w:rFonts w:asciiTheme="minorHAnsi" w:hAnsiTheme="minorHAnsi"/>
          <w:sz w:val="24"/>
          <w:szCs w:val="24"/>
        </w:rPr>
      </w:pPr>
    </w:p>
    <w:p w:rsidR="00E85628" w:rsidRPr="00BE15B8" w:rsidRDefault="00E85628" w:rsidP="00E85628">
      <w:pPr>
        <w:pStyle w:val="HTML-forhndsformatert"/>
        <w:shd w:val="clear" w:color="auto" w:fill="FFFFFF"/>
        <w:jc w:val="both"/>
        <w:rPr>
          <w:rFonts w:asciiTheme="minorHAnsi" w:eastAsiaTheme="minorHAnsi" w:hAnsiTheme="minorHAnsi" w:cs="Times New Roman"/>
          <w:sz w:val="24"/>
          <w:szCs w:val="24"/>
          <w:lang w:val="en-GB" w:eastAsia="en-US"/>
        </w:rPr>
      </w:pPr>
      <w:r w:rsidRPr="00BE15B8">
        <w:rPr>
          <w:rFonts w:asciiTheme="minorHAnsi" w:eastAsiaTheme="minorHAnsi" w:hAnsiTheme="minorHAnsi" w:cs="Times New Roman"/>
          <w:sz w:val="24"/>
          <w:szCs w:val="24"/>
          <w:lang w:val="en-GB" w:eastAsia="en-US"/>
        </w:rPr>
        <w:t xml:space="preserve">Potapchik, E., Popovich L., Social cost of substance abuse in Russia, VALUE IN HEALTH REGIONAL ISSUES 4C(2014)1–5; </w:t>
      </w:r>
    </w:p>
    <w:p w:rsidR="003D0511" w:rsidRPr="00BE15B8" w:rsidRDefault="003D0511" w:rsidP="003D0511">
      <w:pPr>
        <w:pStyle w:val="HTML-forhndsformatert"/>
        <w:shd w:val="clear" w:color="auto" w:fill="FFFFFF"/>
        <w:jc w:val="both"/>
        <w:rPr>
          <w:rFonts w:asciiTheme="minorHAnsi" w:eastAsiaTheme="minorHAnsi" w:hAnsiTheme="minorHAnsi" w:cs="Times New Roman"/>
          <w:sz w:val="24"/>
          <w:szCs w:val="24"/>
          <w:lang w:val="en-GB" w:eastAsia="en-US"/>
        </w:rPr>
      </w:pPr>
    </w:p>
    <w:p w:rsidR="005962DC" w:rsidRPr="00BE15B8" w:rsidRDefault="005962DC" w:rsidP="005962DC">
      <w:pPr>
        <w:spacing w:after="0" w:line="240" w:lineRule="auto"/>
        <w:jc w:val="both"/>
        <w:rPr>
          <w:rFonts w:asciiTheme="minorHAnsi" w:hAnsiTheme="minorHAnsi"/>
          <w:sz w:val="24"/>
          <w:szCs w:val="24"/>
        </w:rPr>
      </w:pPr>
      <w:r w:rsidRPr="00BE15B8">
        <w:rPr>
          <w:rFonts w:asciiTheme="minorHAnsi" w:hAnsiTheme="minorHAnsi"/>
          <w:sz w:val="24"/>
          <w:szCs w:val="24"/>
          <w:lang w:val="nb-NO"/>
        </w:rPr>
        <w:t xml:space="preserve">Reuter, P., Ramstedt, M. &amp; Rigter, H. (2004). </w:t>
      </w:r>
      <w:r w:rsidRPr="00BE15B8">
        <w:rPr>
          <w:rFonts w:asciiTheme="minorHAnsi" w:hAnsiTheme="minorHAnsi"/>
          <w:sz w:val="24"/>
          <w:szCs w:val="24"/>
        </w:rPr>
        <w:t>Developing a Framework for Estimating Government Drug Policy Expenditures. Lisbon: EMCDDA.</w:t>
      </w:r>
    </w:p>
    <w:p w:rsidR="003D0511" w:rsidRPr="00BE15B8" w:rsidRDefault="003D0511" w:rsidP="00A9247E">
      <w:pPr>
        <w:pStyle w:val="Fotnotetekst"/>
        <w:jc w:val="both"/>
        <w:rPr>
          <w:rFonts w:asciiTheme="minorHAnsi" w:hAnsiTheme="minorHAnsi"/>
          <w:sz w:val="24"/>
          <w:szCs w:val="24"/>
        </w:rPr>
      </w:pPr>
    </w:p>
    <w:p w:rsidR="001A69CA" w:rsidRPr="00BE15B8" w:rsidRDefault="001A69CA" w:rsidP="00A9247E">
      <w:pPr>
        <w:pStyle w:val="Fotnotetekst"/>
        <w:jc w:val="both"/>
        <w:rPr>
          <w:rFonts w:asciiTheme="minorHAnsi" w:hAnsiTheme="minorHAnsi"/>
          <w:sz w:val="24"/>
          <w:szCs w:val="24"/>
        </w:rPr>
      </w:pPr>
      <w:r w:rsidRPr="00BE15B8">
        <w:rPr>
          <w:rFonts w:asciiTheme="minorHAnsi" w:hAnsiTheme="minorHAnsi"/>
          <w:sz w:val="24"/>
          <w:szCs w:val="24"/>
        </w:rPr>
        <w:t>Reuter, P. 2006. “What drug policies cost. Estimating government drug policy expenditures”. Addiction, 101 (3), p. 315-322.</w:t>
      </w:r>
    </w:p>
    <w:p w:rsidR="00C50C7C" w:rsidRPr="00BE15B8" w:rsidRDefault="00C50C7C" w:rsidP="00A9247E">
      <w:pPr>
        <w:spacing w:after="0" w:line="240" w:lineRule="auto"/>
        <w:jc w:val="both"/>
        <w:rPr>
          <w:rFonts w:asciiTheme="minorHAnsi" w:hAnsiTheme="minorHAnsi"/>
          <w:sz w:val="24"/>
          <w:szCs w:val="24"/>
        </w:rPr>
      </w:pPr>
    </w:p>
    <w:p w:rsidR="003D0511" w:rsidRPr="00BE15B8" w:rsidRDefault="003D0511" w:rsidP="00A9247E">
      <w:pPr>
        <w:spacing w:after="0" w:line="240" w:lineRule="auto"/>
        <w:jc w:val="both"/>
        <w:rPr>
          <w:rFonts w:asciiTheme="minorHAnsi" w:hAnsiTheme="minorHAnsi"/>
          <w:sz w:val="24"/>
          <w:szCs w:val="24"/>
        </w:rPr>
      </w:pPr>
      <w:r w:rsidRPr="00BE15B8">
        <w:rPr>
          <w:rFonts w:asciiTheme="minorHAnsi" w:hAnsiTheme="minorHAnsi"/>
          <w:sz w:val="24"/>
          <w:szCs w:val="24"/>
        </w:rPr>
        <w:t xml:space="preserve">Rigter, Henk, “Drug policy expenditures in the Netherlands, 2003”, in </w:t>
      </w:r>
      <w:r w:rsidRPr="00BE15B8">
        <w:rPr>
          <w:rFonts w:asciiTheme="minorHAnsi" w:hAnsiTheme="minorHAnsi"/>
          <w:i/>
          <w:iCs/>
          <w:sz w:val="24"/>
          <w:szCs w:val="24"/>
        </w:rPr>
        <w:t>Developing a Framework for Estimating Government Drug Policy Expenditures</w:t>
      </w:r>
      <w:r w:rsidRPr="00BE15B8">
        <w:rPr>
          <w:rFonts w:asciiTheme="minorHAnsi" w:hAnsiTheme="minorHAnsi"/>
          <w:sz w:val="24"/>
          <w:szCs w:val="24"/>
        </w:rPr>
        <w:t>, Peter Reuter, Mats Ramstedt and Henk Rigter, eds. (Lisbon, European Monitoring Centre for Drugs and Drug Addiction, 2004), pp. 37-73.</w:t>
      </w:r>
    </w:p>
    <w:p w:rsidR="003D0511" w:rsidRPr="00BE15B8" w:rsidRDefault="003D0511" w:rsidP="00A9247E">
      <w:pPr>
        <w:spacing w:after="0" w:line="240" w:lineRule="auto"/>
        <w:jc w:val="both"/>
        <w:rPr>
          <w:rFonts w:asciiTheme="minorHAnsi" w:hAnsiTheme="minorHAnsi"/>
          <w:sz w:val="24"/>
          <w:szCs w:val="24"/>
        </w:rPr>
      </w:pPr>
    </w:p>
    <w:p w:rsidR="001A69CA" w:rsidRPr="00BE15B8" w:rsidRDefault="001A69CA" w:rsidP="00A9247E">
      <w:pPr>
        <w:spacing w:after="0" w:line="240" w:lineRule="auto"/>
        <w:jc w:val="both"/>
        <w:rPr>
          <w:rFonts w:asciiTheme="minorHAnsi" w:hAnsiTheme="minorHAnsi"/>
          <w:sz w:val="24"/>
          <w:szCs w:val="24"/>
        </w:rPr>
      </w:pPr>
      <w:r w:rsidRPr="00BE15B8">
        <w:rPr>
          <w:rFonts w:asciiTheme="minorHAnsi" w:hAnsiTheme="minorHAnsi"/>
          <w:sz w:val="24"/>
          <w:szCs w:val="24"/>
        </w:rPr>
        <w:t>Single, E., Collins, D., Easton, B., Harwood, H., Lapsley, H., Kopp, P., et al. (2003). International Guidelines for Estimating the Economic Costs of Substances Abuse. Geneva: World Health Organization.</w:t>
      </w:r>
    </w:p>
    <w:p w:rsidR="00931638" w:rsidRPr="00BE15B8" w:rsidRDefault="00931638" w:rsidP="00A9247E">
      <w:pPr>
        <w:spacing w:after="0" w:line="240" w:lineRule="auto"/>
        <w:jc w:val="both"/>
        <w:rPr>
          <w:rFonts w:asciiTheme="minorHAnsi" w:hAnsiTheme="minorHAnsi"/>
          <w:sz w:val="24"/>
          <w:szCs w:val="24"/>
        </w:rPr>
      </w:pPr>
    </w:p>
    <w:p w:rsidR="00931638" w:rsidRPr="00BE15B8" w:rsidRDefault="00931638" w:rsidP="00931638">
      <w:pPr>
        <w:pStyle w:val="HTML-forhndsformatert"/>
        <w:shd w:val="clear" w:color="auto" w:fill="FFFFFF"/>
        <w:jc w:val="both"/>
        <w:rPr>
          <w:rFonts w:asciiTheme="minorHAnsi" w:eastAsiaTheme="minorHAnsi" w:hAnsiTheme="minorHAnsi" w:cs="Times New Roman"/>
          <w:sz w:val="24"/>
          <w:szCs w:val="24"/>
          <w:lang w:val="en-GB" w:eastAsia="en-US"/>
        </w:rPr>
      </w:pPr>
      <w:r w:rsidRPr="00BE15B8">
        <w:rPr>
          <w:rFonts w:asciiTheme="minorHAnsi" w:eastAsiaTheme="minorHAnsi" w:hAnsiTheme="minorHAnsi" w:cs="Times New Roman"/>
          <w:sz w:val="24"/>
          <w:szCs w:val="24"/>
          <w:lang w:val="en-GB" w:eastAsia="en-US"/>
        </w:rPr>
        <w:t xml:space="preserve">Single, E., (2009). Why we should still estimate the costs of substance abuse even if we needn't pay undue attention to the bottom line. Drug and Alcohol Review, </w:t>
      </w:r>
      <w:hyperlink r:id="rId22" w:history="1">
        <w:r w:rsidRPr="00BE15B8">
          <w:rPr>
            <w:rFonts w:asciiTheme="minorHAnsi" w:eastAsiaTheme="minorHAnsi" w:hAnsiTheme="minorHAnsi" w:cs="Times New Roman"/>
            <w:sz w:val="24"/>
            <w:szCs w:val="24"/>
            <w:lang w:val="en-GB" w:eastAsia="en-US"/>
          </w:rPr>
          <w:t xml:space="preserve">Volume 28, Issue 2, </w:t>
        </w:r>
      </w:hyperlink>
      <w:r w:rsidRPr="00BE15B8">
        <w:rPr>
          <w:rFonts w:asciiTheme="minorHAnsi" w:eastAsiaTheme="minorHAnsi" w:hAnsiTheme="minorHAnsi" w:cs="Times New Roman"/>
          <w:sz w:val="24"/>
          <w:szCs w:val="24"/>
          <w:lang w:val="en-GB" w:eastAsia="en-US"/>
        </w:rPr>
        <w:t>pages 117–121, March 2009.</w:t>
      </w:r>
    </w:p>
    <w:p w:rsidR="00931638" w:rsidRPr="00BE15B8" w:rsidRDefault="00931638" w:rsidP="00A9247E">
      <w:pPr>
        <w:spacing w:after="0" w:line="240" w:lineRule="auto"/>
        <w:jc w:val="both"/>
        <w:rPr>
          <w:rFonts w:asciiTheme="minorHAnsi" w:hAnsiTheme="minorHAnsi"/>
          <w:sz w:val="24"/>
          <w:szCs w:val="24"/>
        </w:rPr>
      </w:pPr>
    </w:p>
    <w:p w:rsidR="001A69CA" w:rsidRPr="00BE15B8" w:rsidRDefault="001A69CA" w:rsidP="00A9247E">
      <w:pPr>
        <w:pStyle w:val="Overskrift2"/>
        <w:shd w:val="clear" w:color="auto" w:fill="FFFFFF"/>
        <w:spacing w:before="0"/>
        <w:jc w:val="both"/>
        <w:rPr>
          <w:rFonts w:asciiTheme="minorHAnsi" w:eastAsia="Arial Unicode MS" w:hAnsiTheme="minorHAnsi" w:cs="Times New Roman"/>
          <w:b w:val="0"/>
          <w:color w:val="auto"/>
          <w:sz w:val="24"/>
          <w:szCs w:val="24"/>
          <w:shd w:val="clear" w:color="auto" w:fill="FFFFFF"/>
        </w:rPr>
      </w:pPr>
    </w:p>
    <w:p w:rsidR="002C3A09" w:rsidRPr="00BE15B8" w:rsidRDefault="001A69CA" w:rsidP="002C3A09">
      <w:pPr>
        <w:rPr>
          <w:rFonts w:asciiTheme="minorHAnsi" w:eastAsia="Arial Unicode MS" w:hAnsiTheme="minorHAnsi"/>
          <w:sz w:val="24"/>
          <w:szCs w:val="24"/>
        </w:rPr>
      </w:pPr>
      <w:r w:rsidRPr="00BE15B8">
        <w:rPr>
          <w:rFonts w:asciiTheme="minorHAnsi" w:eastAsia="Arial Unicode MS" w:hAnsiTheme="minorHAnsi"/>
          <w:sz w:val="24"/>
          <w:szCs w:val="24"/>
          <w:shd w:val="clear" w:color="auto" w:fill="FFFFFF"/>
        </w:rPr>
        <w:t xml:space="preserve">Serpelloni, G., Gomma, M., Genetti, B.,  Zermiani, M., Rimondo, C.,  Mollica, R., Gryczynski, J., O'Grady, K.E., Schwartz, R.P., </w:t>
      </w:r>
      <w:hyperlink r:id="rId23" w:history="1">
        <w:r w:rsidRPr="00BE15B8">
          <w:rPr>
            <w:rStyle w:val="Hyperkobling"/>
            <w:rFonts w:asciiTheme="minorHAnsi" w:eastAsia="Arial Unicode MS" w:hAnsiTheme="minorHAnsi"/>
            <w:color w:val="auto"/>
            <w:sz w:val="24"/>
            <w:szCs w:val="24"/>
          </w:rPr>
          <w:t>Italy's electronic health record system for opioid agonist treatment</w:t>
        </w:r>
      </w:hyperlink>
      <w:r w:rsidRPr="00BE15B8">
        <w:rPr>
          <w:rFonts w:asciiTheme="minorHAnsi" w:eastAsia="Arial Unicode MS" w:hAnsiTheme="minorHAnsi"/>
          <w:sz w:val="24"/>
          <w:szCs w:val="24"/>
        </w:rPr>
        <w:t xml:space="preserve">, </w:t>
      </w:r>
      <w:r w:rsidRPr="00BE15B8">
        <w:rPr>
          <w:rFonts w:asciiTheme="minorHAnsi" w:eastAsia="Arial Unicode MS" w:hAnsiTheme="minorHAnsi"/>
          <w:iCs/>
          <w:sz w:val="24"/>
          <w:szCs w:val="24"/>
          <w:shd w:val="clear" w:color="auto" w:fill="FFFFFF"/>
        </w:rPr>
        <w:t>Journal of Substance Abuse Treatment</w:t>
      </w:r>
      <w:r w:rsidRPr="00BE15B8">
        <w:rPr>
          <w:rFonts w:asciiTheme="minorHAnsi" w:eastAsia="Arial Unicode MS" w:hAnsiTheme="minorHAnsi"/>
          <w:sz w:val="24"/>
          <w:szCs w:val="24"/>
          <w:shd w:val="clear" w:color="auto" w:fill="FFFFFF"/>
        </w:rPr>
        <w:t>,</w:t>
      </w:r>
      <w:r w:rsidRPr="00BE15B8">
        <w:rPr>
          <w:rStyle w:val="apple-converted-space"/>
          <w:rFonts w:asciiTheme="minorHAnsi" w:eastAsia="Arial Unicode MS" w:hAnsiTheme="minorHAnsi"/>
          <w:sz w:val="24"/>
          <w:szCs w:val="24"/>
          <w:shd w:val="clear" w:color="auto" w:fill="FFFFFF"/>
        </w:rPr>
        <w:t> </w:t>
      </w:r>
      <w:r w:rsidRPr="00BE15B8">
        <w:rPr>
          <w:rFonts w:asciiTheme="minorHAnsi" w:eastAsia="Arial Unicode MS" w:hAnsiTheme="minorHAnsi"/>
          <w:iCs/>
          <w:sz w:val="24"/>
          <w:szCs w:val="24"/>
          <w:shd w:val="clear" w:color="auto" w:fill="FFFFFF"/>
        </w:rPr>
        <w:t>Volume 45, Issue 2</w:t>
      </w:r>
      <w:r w:rsidRPr="00BE15B8">
        <w:rPr>
          <w:rFonts w:asciiTheme="minorHAnsi" w:eastAsia="Arial Unicode MS" w:hAnsiTheme="minorHAnsi"/>
          <w:sz w:val="24"/>
          <w:szCs w:val="24"/>
          <w:shd w:val="clear" w:color="auto" w:fill="FFFFFF"/>
        </w:rPr>
        <w:t>,</w:t>
      </w:r>
      <w:r w:rsidRPr="00BE15B8">
        <w:rPr>
          <w:rStyle w:val="apple-converted-space"/>
          <w:rFonts w:asciiTheme="minorHAnsi" w:eastAsia="Arial Unicode MS" w:hAnsiTheme="minorHAnsi"/>
          <w:sz w:val="24"/>
          <w:szCs w:val="24"/>
          <w:shd w:val="clear" w:color="auto" w:fill="FFFFFF"/>
        </w:rPr>
        <w:t> </w:t>
      </w:r>
      <w:r w:rsidRPr="00BE15B8">
        <w:rPr>
          <w:rFonts w:asciiTheme="minorHAnsi" w:eastAsia="Arial Unicode MS" w:hAnsiTheme="minorHAnsi"/>
          <w:iCs/>
          <w:sz w:val="24"/>
          <w:szCs w:val="24"/>
          <w:shd w:val="clear" w:color="auto" w:fill="FFFFFF"/>
        </w:rPr>
        <w:t>August 2013</w:t>
      </w:r>
      <w:r w:rsidRPr="00BE15B8">
        <w:rPr>
          <w:rFonts w:asciiTheme="minorHAnsi" w:eastAsia="Arial Unicode MS" w:hAnsiTheme="minorHAnsi"/>
          <w:sz w:val="24"/>
          <w:szCs w:val="24"/>
          <w:shd w:val="clear" w:color="auto" w:fill="FFFFFF"/>
        </w:rPr>
        <w:t>,</w:t>
      </w:r>
      <w:r w:rsidRPr="00BE15B8">
        <w:rPr>
          <w:rStyle w:val="apple-converted-space"/>
          <w:rFonts w:asciiTheme="minorHAnsi" w:eastAsia="Arial Unicode MS" w:hAnsiTheme="minorHAnsi"/>
          <w:sz w:val="24"/>
          <w:szCs w:val="24"/>
          <w:shd w:val="clear" w:color="auto" w:fill="FFFFFF"/>
        </w:rPr>
        <w:t> </w:t>
      </w:r>
      <w:r w:rsidRPr="00BE15B8">
        <w:rPr>
          <w:rFonts w:asciiTheme="minorHAnsi" w:eastAsia="Arial Unicode MS" w:hAnsiTheme="minorHAnsi"/>
          <w:iCs/>
          <w:sz w:val="24"/>
          <w:szCs w:val="24"/>
          <w:shd w:val="clear" w:color="auto" w:fill="FFFFFF"/>
        </w:rPr>
        <w:t>Pages 190-195</w:t>
      </w:r>
    </w:p>
    <w:p w:rsidR="001A69CA" w:rsidRPr="00BE15B8" w:rsidRDefault="001A69CA" w:rsidP="002C3A09">
      <w:pPr>
        <w:rPr>
          <w:rFonts w:asciiTheme="minorHAnsi" w:hAnsiTheme="minorHAnsi"/>
          <w:sz w:val="24"/>
          <w:szCs w:val="24"/>
        </w:rPr>
      </w:pPr>
      <w:r w:rsidRPr="00BE15B8">
        <w:rPr>
          <w:rFonts w:asciiTheme="minorHAnsi" w:hAnsiTheme="minorHAnsi"/>
          <w:sz w:val="24"/>
          <w:szCs w:val="24"/>
        </w:rPr>
        <w:t xml:space="preserve">Recent trends in drug-related public expenditure and drug-related services in France, available on </w:t>
      </w:r>
      <w:hyperlink r:id="rId24" w:history="1">
        <w:r w:rsidRPr="00BE15B8">
          <w:rPr>
            <w:rStyle w:val="Hyperkobling"/>
            <w:rFonts w:asciiTheme="minorHAnsi" w:hAnsiTheme="minorHAnsi"/>
            <w:sz w:val="24"/>
            <w:szCs w:val="24"/>
          </w:rPr>
          <w:t>http://en.ofdt.fr/BDD/publications/docs/nr2012si2.pdf</w:t>
        </w:r>
      </w:hyperlink>
      <w:r w:rsidRPr="00BE15B8">
        <w:rPr>
          <w:rFonts w:asciiTheme="minorHAnsi" w:hAnsiTheme="minorHAnsi"/>
          <w:sz w:val="24"/>
          <w:szCs w:val="24"/>
        </w:rPr>
        <w:t xml:space="preserve"> </w:t>
      </w:r>
    </w:p>
    <w:p w:rsidR="008866FB" w:rsidRPr="00BE15B8" w:rsidRDefault="008866FB" w:rsidP="002C3A09">
      <w:pPr>
        <w:jc w:val="both"/>
        <w:rPr>
          <w:rFonts w:asciiTheme="minorHAnsi" w:hAnsiTheme="minorHAnsi"/>
          <w:i/>
          <w:sz w:val="24"/>
          <w:szCs w:val="24"/>
          <w:u w:val="single"/>
        </w:rPr>
      </w:pPr>
    </w:p>
    <w:sectPr w:rsidR="008866FB" w:rsidRPr="00BE15B8" w:rsidSect="00B54DC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6D2" w:rsidRDefault="00EF56D2" w:rsidP="00750EE9">
      <w:pPr>
        <w:spacing w:after="0" w:line="240" w:lineRule="auto"/>
      </w:pPr>
      <w:r>
        <w:separator/>
      </w:r>
    </w:p>
  </w:endnote>
  <w:endnote w:type="continuationSeparator" w:id="0">
    <w:p w:rsidR="00EF56D2" w:rsidRDefault="00EF56D2" w:rsidP="00750EE9">
      <w:pPr>
        <w:spacing w:after="0" w:line="240" w:lineRule="auto"/>
      </w:pPr>
      <w:r>
        <w:continuationSeparator/>
      </w:r>
    </w:p>
  </w:endnote>
  <w:endnote w:id="1">
    <w:p w:rsidR="00E53E98" w:rsidRPr="00B330BE" w:rsidRDefault="00E53E98" w:rsidP="0081271E">
      <w:r>
        <w:rPr>
          <w:rStyle w:val="Sluttnotereferanse"/>
        </w:rPr>
        <w:endnoteRef/>
      </w:r>
      <w:r w:rsidRPr="00B330BE">
        <w:t xml:space="preserve"> </w:t>
      </w:r>
      <w:r w:rsidRPr="005C68EA">
        <w:rPr>
          <w:rFonts w:ascii="AdvP497E3" w:hAnsi="AdvP497E3" w:cs="AdvP497E3"/>
          <w:color w:val="000000"/>
          <w:sz w:val="16"/>
          <w:szCs w:val="16"/>
        </w:rPr>
        <w:t>C.S.J. Fazey / International Journal of Drug Policy 14 (2003) 155</w:t>
      </w:r>
      <w:r w:rsidRPr="005C68EA">
        <w:rPr>
          <w:rFonts w:ascii="AdvBMa1" w:hAnsi="AdvBMa1" w:cs="AdvBMa1"/>
          <w:color w:val="000000"/>
          <w:sz w:val="16"/>
          <w:szCs w:val="16"/>
        </w:rPr>
        <w:t>_</w:t>
      </w:r>
      <w:r w:rsidRPr="005C68EA">
        <w:rPr>
          <w:rFonts w:ascii="AdvP497E3" w:hAnsi="AdvP497E3" w:cs="AdvP497E3"/>
          <w:color w:val="FFFFFF"/>
          <w:sz w:val="8"/>
          <w:szCs w:val="8"/>
        </w:rPr>
        <w:t>/</w:t>
      </w:r>
      <w:r w:rsidRPr="005C68EA">
        <w:rPr>
          <w:rFonts w:ascii="AdvP497E3" w:hAnsi="AdvP497E3" w:cs="AdvP497E3"/>
          <w:color w:val="000000"/>
          <w:sz w:val="16"/>
          <w:szCs w:val="16"/>
        </w:rPr>
        <w:t>169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ivia Sans Book">
    <w:altName w:val="Arial"/>
    <w:panose1 w:val="00000000000000000000"/>
    <w:charset w:val="00"/>
    <w:family w:val="modern"/>
    <w:notTrueType/>
    <w:pitch w:val="variable"/>
    <w:sig w:usb0="00000001" w:usb1="1000207A" w:usb2="00000000" w:usb3="00000000" w:csb0="0000009F" w:csb1="00000000"/>
  </w:font>
  <w:font w:name="Trivia Sans Light">
    <w:altName w:val="Trivia Sans Light"/>
    <w:panose1 w:val="00000000000000000000"/>
    <w:charset w:val="00"/>
    <w:family w:val="swiss"/>
    <w:notTrueType/>
    <w:pitch w:val="default"/>
    <w:sig w:usb0="00000003" w:usb1="00000000" w:usb2="00000000" w:usb3="00000000" w:csb0="00000001" w:csb1="00000000"/>
  </w:font>
  <w:font w:name="AdvP497E2">
    <w:panose1 w:val="00000000000000000000"/>
    <w:charset w:val="00"/>
    <w:family w:val="roman"/>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AdvTR">
    <w:panose1 w:val="00000000000000000000"/>
    <w:charset w:val="00"/>
    <w:family w:val="roman"/>
    <w:notTrueType/>
    <w:pitch w:val="default"/>
    <w:sig w:usb0="00000003" w:usb1="00000000" w:usb2="00000000" w:usb3="00000000" w:csb0="00000001" w:csb1="00000000"/>
  </w:font>
  <w:font w:name="AdvP497E3">
    <w:panose1 w:val="00000000000000000000"/>
    <w:charset w:val="00"/>
    <w:family w:val="roman"/>
    <w:notTrueType/>
    <w:pitch w:val="default"/>
    <w:sig w:usb0="00000003" w:usb1="00000000" w:usb2="00000000" w:usb3="00000000" w:csb0="00000001" w:csb1="00000000"/>
  </w:font>
  <w:font w:name="AdvBMa1">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732109"/>
      <w:docPartObj>
        <w:docPartGallery w:val="Page Numbers (Bottom of Page)"/>
        <w:docPartUnique/>
      </w:docPartObj>
    </w:sdtPr>
    <w:sdtContent>
      <w:p w:rsidR="00E53E98" w:rsidRDefault="00E53E98">
        <w:pPr>
          <w:pStyle w:val="Bunntekst"/>
          <w:jc w:val="center"/>
        </w:pPr>
        <w:r>
          <w:fldChar w:fldCharType="begin"/>
        </w:r>
        <w:r>
          <w:instrText>PAGE   \* MERGEFORMAT</w:instrText>
        </w:r>
        <w:r>
          <w:fldChar w:fldCharType="separate"/>
        </w:r>
        <w:r w:rsidR="00DE589C" w:rsidRPr="00DE589C">
          <w:rPr>
            <w:noProof/>
            <w:lang w:val="nb-NO"/>
          </w:rPr>
          <w:t>13</w:t>
        </w:r>
        <w:r>
          <w:fldChar w:fldCharType="end"/>
        </w:r>
      </w:p>
    </w:sdtContent>
  </w:sdt>
  <w:p w:rsidR="00E53E98" w:rsidRDefault="00E53E9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6D2" w:rsidRDefault="00EF56D2" w:rsidP="00750EE9">
      <w:pPr>
        <w:spacing w:after="0" w:line="240" w:lineRule="auto"/>
      </w:pPr>
      <w:r>
        <w:separator/>
      </w:r>
    </w:p>
  </w:footnote>
  <w:footnote w:type="continuationSeparator" w:id="0">
    <w:p w:rsidR="00EF56D2" w:rsidRDefault="00EF56D2" w:rsidP="00750EE9">
      <w:pPr>
        <w:spacing w:after="0" w:line="240" w:lineRule="auto"/>
      </w:pPr>
      <w:r>
        <w:continuationSeparator/>
      </w:r>
    </w:p>
  </w:footnote>
  <w:footnote w:id="1">
    <w:p w:rsidR="00E53E98" w:rsidRDefault="00E53E98" w:rsidP="006944FA">
      <w:pPr>
        <w:pStyle w:val="Fotnotetekst"/>
      </w:pPr>
      <w:r>
        <w:rPr>
          <w:rStyle w:val="Fotnotereferanse"/>
        </w:rPr>
        <w:footnoteRef/>
      </w:r>
      <w:r>
        <w:t xml:space="preserve"> </w:t>
      </w:r>
      <w:r w:rsidRPr="00744E0B">
        <w:rPr>
          <w:sz w:val="16"/>
          <w:szCs w:val="16"/>
        </w:rPr>
        <w:t xml:space="preserve">National estimates use sometimes alternative definitions. See </w:t>
      </w:r>
      <w:r>
        <w:rPr>
          <w:sz w:val="16"/>
          <w:szCs w:val="16"/>
        </w:rPr>
        <w:t>(</w:t>
      </w:r>
      <w:r w:rsidRPr="00744E0B">
        <w:rPr>
          <w:sz w:val="16"/>
          <w:szCs w:val="16"/>
        </w:rPr>
        <w:t>Lievens</w:t>
      </w:r>
      <w:r>
        <w:rPr>
          <w:sz w:val="16"/>
          <w:szCs w:val="16"/>
        </w:rPr>
        <w:t xml:space="preserve"> et al.,</w:t>
      </w:r>
      <w:r w:rsidRPr="00744E0B">
        <w:rPr>
          <w:sz w:val="16"/>
          <w:szCs w:val="16"/>
        </w:rPr>
        <w:t xml:space="preserve"> 2016</w:t>
      </w:r>
      <w:r>
        <w:rPr>
          <w:sz w:val="16"/>
          <w:szCs w:val="16"/>
        </w:rPr>
        <w:t>)</w:t>
      </w:r>
      <w:r w:rsidRPr="00744E0B">
        <w:rPr>
          <w:sz w:val="16"/>
          <w:szCs w:val="16"/>
        </w:rPr>
        <w:t xml:space="preserve"> or </w:t>
      </w:r>
      <w:r>
        <w:rPr>
          <w:sz w:val="16"/>
          <w:szCs w:val="16"/>
        </w:rPr>
        <w:t>(</w:t>
      </w:r>
      <w:r w:rsidRPr="00744E0B">
        <w:rPr>
          <w:sz w:val="16"/>
          <w:szCs w:val="16"/>
        </w:rPr>
        <w:t>Kopp</w:t>
      </w:r>
      <w:r>
        <w:rPr>
          <w:sz w:val="16"/>
          <w:szCs w:val="16"/>
        </w:rPr>
        <w:t>,</w:t>
      </w:r>
      <w:r w:rsidRPr="00744E0B">
        <w:rPr>
          <w:sz w:val="16"/>
          <w:szCs w:val="16"/>
        </w:rPr>
        <w:t xml:space="preserve"> 2006</w:t>
      </w:r>
      <w:r>
        <w:rPr>
          <w:sz w:val="16"/>
          <w:szCs w:val="16"/>
        </w:rPr>
        <w:t>)</w:t>
      </w:r>
      <w:r w:rsidRPr="00744E0B">
        <w:rPr>
          <w:sz w:val="16"/>
          <w:szCs w:val="16"/>
        </w:rPr>
        <w:t xml:space="preserve"> for further detail.</w:t>
      </w:r>
    </w:p>
  </w:footnote>
  <w:footnote w:id="2">
    <w:p w:rsidR="00E53E98" w:rsidRPr="002C04FA" w:rsidRDefault="00E53E98" w:rsidP="006944FA">
      <w:pPr>
        <w:pStyle w:val="Fotnotetekst"/>
        <w:rPr>
          <w:sz w:val="16"/>
          <w:szCs w:val="16"/>
        </w:rPr>
      </w:pPr>
      <w:r>
        <w:rPr>
          <w:rStyle w:val="Fotnotereferanse"/>
        </w:rPr>
        <w:footnoteRef/>
      </w:r>
      <w:r>
        <w:t xml:space="preserve"> </w:t>
      </w:r>
      <w:r w:rsidRPr="002C04FA">
        <w:rPr>
          <w:rFonts w:eastAsiaTheme="minorEastAsia" w:cstheme="minorBidi"/>
          <w:color w:val="000000" w:themeColor="text1"/>
          <w:kern w:val="24"/>
          <w:sz w:val="16"/>
          <w:szCs w:val="16"/>
        </w:rPr>
        <w:t>Since Moolenar 2009 did not estimate the costs of demand reduction initiatives results are not provided here.</w:t>
      </w:r>
    </w:p>
  </w:footnote>
  <w:footnote w:id="3">
    <w:p w:rsidR="00E53E98" w:rsidRDefault="00E53E98" w:rsidP="007C5937">
      <w:pPr>
        <w:pStyle w:val="Fotnotetekst"/>
      </w:pPr>
      <w:r>
        <w:rPr>
          <w:rStyle w:val="Fotnotereferanse"/>
        </w:rPr>
        <w:footnoteRef/>
      </w:r>
      <w:r>
        <w:t xml:space="preserve"> </w:t>
      </w:r>
      <w:r w:rsidRPr="00731F6C">
        <w:rPr>
          <w:sz w:val="16"/>
          <w:szCs w:val="16"/>
        </w:rPr>
        <w:t>See http://www.emcdda.europa.eu/topics/drug-related-public-expenditure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7909"/>
    <w:multiLevelType w:val="hybridMultilevel"/>
    <w:tmpl w:val="3F0AB97A"/>
    <w:lvl w:ilvl="0" w:tplc="C8A635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A0B76"/>
    <w:multiLevelType w:val="hybridMultilevel"/>
    <w:tmpl w:val="B018F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7191D"/>
    <w:multiLevelType w:val="hybridMultilevel"/>
    <w:tmpl w:val="231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B7516"/>
    <w:multiLevelType w:val="hybridMultilevel"/>
    <w:tmpl w:val="D6E0EF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B78FD"/>
    <w:multiLevelType w:val="multilevel"/>
    <w:tmpl w:val="C10A3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AF24774"/>
    <w:multiLevelType w:val="hybridMultilevel"/>
    <w:tmpl w:val="D88AA9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51E0A"/>
    <w:multiLevelType w:val="hybridMultilevel"/>
    <w:tmpl w:val="73E6C932"/>
    <w:lvl w:ilvl="0" w:tplc="1356234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3F35FC"/>
    <w:multiLevelType w:val="hybridMultilevel"/>
    <w:tmpl w:val="B9EE842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A2D4F"/>
    <w:multiLevelType w:val="hybridMultilevel"/>
    <w:tmpl w:val="D5942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21F22"/>
    <w:multiLevelType w:val="multilevel"/>
    <w:tmpl w:val="078E4A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15:restartNumberingAfterBreak="0">
    <w:nsid w:val="4FCC19F6"/>
    <w:multiLevelType w:val="hybridMultilevel"/>
    <w:tmpl w:val="6E22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8032C"/>
    <w:multiLevelType w:val="hybridMultilevel"/>
    <w:tmpl w:val="AB4875D8"/>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F1F01"/>
    <w:multiLevelType w:val="hybridMultilevel"/>
    <w:tmpl w:val="251AB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A034320"/>
    <w:multiLevelType w:val="multilevel"/>
    <w:tmpl w:val="C1F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B7DF5"/>
    <w:multiLevelType w:val="hybridMultilevel"/>
    <w:tmpl w:val="CBFE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2"/>
  </w:num>
  <w:num w:numId="5">
    <w:abstractNumId w:val="14"/>
  </w:num>
  <w:num w:numId="6">
    <w:abstractNumId w:val="8"/>
  </w:num>
  <w:num w:numId="7">
    <w:abstractNumId w:val="1"/>
  </w:num>
  <w:num w:numId="8">
    <w:abstractNumId w:val="7"/>
  </w:num>
  <w:num w:numId="9">
    <w:abstractNumId w:val="3"/>
  </w:num>
  <w:num w:numId="10">
    <w:abstractNumId w:val="11"/>
  </w:num>
  <w:num w:numId="11">
    <w:abstractNumId w:val="10"/>
  </w:num>
  <w:num w:numId="12">
    <w:abstractNumId w:val="5"/>
  </w:num>
  <w:num w:numId="13">
    <w:abstractNumId w:val="6"/>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EE"/>
    <w:rsid w:val="000004E0"/>
    <w:rsid w:val="00001C34"/>
    <w:rsid w:val="00001F81"/>
    <w:rsid w:val="00003543"/>
    <w:rsid w:val="000054A5"/>
    <w:rsid w:val="00012746"/>
    <w:rsid w:val="00012D83"/>
    <w:rsid w:val="00013858"/>
    <w:rsid w:val="000223A4"/>
    <w:rsid w:val="000234FF"/>
    <w:rsid w:val="00026F7B"/>
    <w:rsid w:val="000277EE"/>
    <w:rsid w:val="00030150"/>
    <w:rsid w:val="000315A6"/>
    <w:rsid w:val="00033A63"/>
    <w:rsid w:val="000359E2"/>
    <w:rsid w:val="000365A6"/>
    <w:rsid w:val="00041C7C"/>
    <w:rsid w:val="000462D0"/>
    <w:rsid w:val="00050AEE"/>
    <w:rsid w:val="00050D6D"/>
    <w:rsid w:val="0005556B"/>
    <w:rsid w:val="00056BAC"/>
    <w:rsid w:val="000624F8"/>
    <w:rsid w:val="000647CC"/>
    <w:rsid w:val="0006628B"/>
    <w:rsid w:val="00084DB6"/>
    <w:rsid w:val="00085DE2"/>
    <w:rsid w:val="00091375"/>
    <w:rsid w:val="000919E6"/>
    <w:rsid w:val="000A3FE0"/>
    <w:rsid w:val="000B6FF4"/>
    <w:rsid w:val="000B7787"/>
    <w:rsid w:val="000B7991"/>
    <w:rsid w:val="000C17CB"/>
    <w:rsid w:val="000C3617"/>
    <w:rsid w:val="000D0E72"/>
    <w:rsid w:val="000D2DF8"/>
    <w:rsid w:val="000D6FE0"/>
    <w:rsid w:val="000F0A23"/>
    <w:rsid w:val="000F294D"/>
    <w:rsid w:val="000F6331"/>
    <w:rsid w:val="0011116D"/>
    <w:rsid w:val="00114B16"/>
    <w:rsid w:val="001214D8"/>
    <w:rsid w:val="00121652"/>
    <w:rsid w:val="00126B58"/>
    <w:rsid w:val="0013177D"/>
    <w:rsid w:val="001368F2"/>
    <w:rsid w:val="0014097D"/>
    <w:rsid w:val="00142050"/>
    <w:rsid w:val="00145993"/>
    <w:rsid w:val="00151700"/>
    <w:rsid w:val="001523FA"/>
    <w:rsid w:val="001531CA"/>
    <w:rsid w:val="0015682C"/>
    <w:rsid w:val="00163CD7"/>
    <w:rsid w:val="00163F8D"/>
    <w:rsid w:val="00171F09"/>
    <w:rsid w:val="001734B3"/>
    <w:rsid w:val="00173E73"/>
    <w:rsid w:val="0017533B"/>
    <w:rsid w:val="0017568F"/>
    <w:rsid w:val="001809B9"/>
    <w:rsid w:val="00180B5E"/>
    <w:rsid w:val="00184368"/>
    <w:rsid w:val="00190E07"/>
    <w:rsid w:val="00190EF4"/>
    <w:rsid w:val="00191BA0"/>
    <w:rsid w:val="00191E26"/>
    <w:rsid w:val="001934D2"/>
    <w:rsid w:val="001A0D36"/>
    <w:rsid w:val="001A101C"/>
    <w:rsid w:val="001A6567"/>
    <w:rsid w:val="001A69CA"/>
    <w:rsid w:val="001B3E37"/>
    <w:rsid w:val="001B4DC4"/>
    <w:rsid w:val="001C5274"/>
    <w:rsid w:val="001C57F7"/>
    <w:rsid w:val="001D1E87"/>
    <w:rsid w:val="001D5953"/>
    <w:rsid w:val="001D6143"/>
    <w:rsid w:val="001D7881"/>
    <w:rsid w:val="001E0BDF"/>
    <w:rsid w:val="001E1781"/>
    <w:rsid w:val="001E31C8"/>
    <w:rsid w:val="001E3368"/>
    <w:rsid w:val="001E3559"/>
    <w:rsid w:val="001E449F"/>
    <w:rsid w:val="001E79C4"/>
    <w:rsid w:val="001F2199"/>
    <w:rsid w:val="001F5DD6"/>
    <w:rsid w:val="00201CD8"/>
    <w:rsid w:val="00202F0D"/>
    <w:rsid w:val="00202F22"/>
    <w:rsid w:val="0020575D"/>
    <w:rsid w:val="002106F4"/>
    <w:rsid w:val="00214E91"/>
    <w:rsid w:val="002156D9"/>
    <w:rsid w:val="00215D7E"/>
    <w:rsid w:val="00221B25"/>
    <w:rsid w:val="00224F72"/>
    <w:rsid w:val="0022505F"/>
    <w:rsid w:val="00227FF9"/>
    <w:rsid w:val="002323BB"/>
    <w:rsid w:val="00237349"/>
    <w:rsid w:val="00246EA5"/>
    <w:rsid w:val="00247E1C"/>
    <w:rsid w:val="0025380C"/>
    <w:rsid w:val="00253D7B"/>
    <w:rsid w:val="00254241"/>
    <w:rsid w:val="0025509F"/>
    <w:rsid w:val="00265DE2"/>
    <w:rsid w:val="00270DF2"/>
    <w:rsid w:val="00276223"/>
    <w:rsid w:val="002804BE"/>
    <w:rsid w:val="0028668C"/>
    <w:rsid w:val="00287451"/>
    <w:rsid w:val="0029508B"/>
    <w:rsid w:val="00297E3B"/>
    <w:rsid w:val="002A32F8"/>
    <w:rsid w:val="002B3D4B"/>
    <w:rsid w:val="002B4E6E"/>
    <w:rsid w:val="002B505D"/>
    <w:rsid w:val="002B543C"/>
    <w:rsid w:val="002B77C6"/>
    <w:rsid w:val="002C271F"/>
    <w:rsid w:val="002C3A09"/>
    <w:rsid w:val="002D32F4"/>
    <w:rsid w:val="002E0120"/>
    <w:rsid w:val="002E1F77"/>
    <w:rsid w:val="002E2A08"/>
    <w:rsid w:val="002F23EC"/>
    <w:rsid w:val="002F55CD"/>
    <w:rsid w:val="002F57EC"/>
    <w:rsid w:val="002F58DF"/>
    <w:rsid w:val="0030287B"/>
    <w:rsid w:val="00306BF8"/>
    <w:rsid w:val="00314497"/>
    <w:rsid w:val="003236F2"/>
    <w:rsid w:val="00324A76"/>
    <w:rsid w:val="00337CB7"/>
    <w:rsid w:val="003425AA"/>
    <w:rsid w:val="003515F1"/>
    <w:rsid w:val="003539CC"/>
    <w:rsid w:val="00355AFB"/>
    <w:rsid w:val="0036192B"/>
    <w:rsid w:val="003619E6"/>
    <w:rsid w:val="00372055"/>
    <w:rsid w:val="003732F1"/>
    <w:rsid w:val="003734CD"/>
    <w:rsid w:val="003745BD"/>
    <w:rsid w:val="00375409"/>
    <w:rsid w:val="00385648"/>
    <w:rsid w:val="0038763C"/>
    <w:rsid w:val="00387728"/>
    <w:rsid w:val="00391900"/>
    <w:rsid w:val="003939DA"/>
    <w:rsid w:val="00393DA7"/>
    <w:rsid w:val="003979C2"/>
    <w:rsid w:val="003A0861"/>
    <w:rsid w:val="003A1C85"/>
    <w:rsid w:val="003A4E20"/>
    <w:rsid w:val="003A7661"/>
    <w:rsid w:val="003B2006"/>
    <w:rsid w:val="003B6CF3"/>
    <w:rsid w:val="003B7140"/>
    <w:rsid w:val="003B7828"/>
    <w:rsid w:val="003B7F95"/>
    <w:rsid w:val="003C3FB3"/>
    <w:rsid w:val="003C4A7A"/>
    <w:rsid w:val="003C5D8C"/>
    <w:rsid w:val="003C7F0D"/>
    <w:rsid w:val="003D0511"/>
    <w:rsid w:val="003E01D0"/>
    <w:rsid w:val="003F10BF"/>
    <w:rsid w:val="003F1D8F"/>
    <w:rsid w:val="003F7D93"/>
    <w:rsid w:val="00400B50"/>
    <w:rsid w:val="004142F5"/>
    <w:rsid w:val="00422FEF"/>
    <w:rsid w:val="00433423"/>
    <w:rsid w:val="00435097"/>
    <w:rsid w:val="00440E1D"/>
    <w:rsid w:val="00441C90"/>
    <w:rsid w:val="004515BB"/>
    <w:rsid w:val="004656BF"/>
    <w:rsid w:val="00472BA5"/>
    <w:rsid w:val="00480DF6"/>
    <w:rsid w:val="00480E8B"/>
    <w:rsid w:val="00482902"/>
    <w:rsid w:val="00482F30"/>
    <w:rsid w:val="00493625"/>
    <w:rsid w:val="0049570D"/>
    <w:rsid w:val="004B1C4F"/>
    <w:rsid w:val="004B1F79"/>
    <w:rsid w:val="004C26BB"/>
    <w:rsid w:val="004D2513"/>
    <w:rsid w:val="004E2000"/>
    <w:rsid w:val="004E4C9C"/>
    <w:rsid w:val="004F5A3C"/>
    <w:rsid w:val="00502D12"/>
    <w:rsid w:val="00506833"/>
    <w:rsid w:val="00510EC1"/>
    <w:rsid w:val="00513390"/>
    <w:rsid w:val="005144A2"/>
    <w:rsid w:val="005151DE"/>
    <w:rsid w:val="00515480"/>
    <w:rsid w:val="005179E0"/>
    <w:rsid w:val="0052326E"/>
    <w:rsid w:val="005300C1"/>
    <w:rsid w:val="005323F8"/>
    <w:rsid w:val="0053489F"/>
    <w:rsid w:val="005355BF"/>
    <w:rsid w:val="00536C92"/>
    <w:rsid w:val="00540AB1"/>
    <w:rsid w:val="005454F6"/>
    <w:rsid w:val="00547FDC"/>
    <w:rsid w:val="005562B1"/>
    <w:rsid w:val="00556B2A"/>
    <w:rsid w:val="00561AC6"/>
    <w:rsid w:val="0056450D"/>
    <w:rsid w:val="00565AD4"/>
    <w:rsid w:val="005672ED"/>
    <w:rsid w:val="005737EB"/>
    <w:rsid w:val="0057547A"/>
    <w:rsid w:val="0058061F"/>
    <w:rsid w:val="00581E4A"/>
    <w:rsid w:val="005823A7"/>
    <w:rsid w:val="00585BF9"/>
    <w:rsid w:val="00587CDC"/>
    <w:rsid w:val="005962DC"/>
    <w:rsid w:val="0059659E"/>
    <w:rsid w:val="005A2BBF"/>
    <w:rsid w:val="005A36A5"/>
    <w:rsid w:val="005A49E0"/>
    <w:rsid w:val="005B1286"/>
    <w:rsid w:val="005B3B6F"/>
    <w:rsid w:val="005B41FB"/>
    <w:rsid w:val="005C631B"/>
    <w:rsid w:val="005C77C9"/>
    <w:rsid w:val="005D06AF"/>
    <w:rsid w:val="005D11C8"/>
    <w:rsid w:val="005D193B"/>
    <w:rsid w:val="005D3518"/>
    <w:rsid w:val="005D5814"/>
    <w:rsid w:val="005E0564"/>
    <w:rsid w:val="005E19B0"/>
    <w:rsid w:val="005E27CB"/>
    <w:rsid w:val="005F04B4"/>
    <w:rsid w:val="005F1923"/>
    <w:rsid w:val="005F794A"/>
    <w:rsid w:val="005F7CCB"/>
    <w:rsid w:val="00601304"/>
    <w:rsid w:val="006073B3"/>
    <w:rsid w:val="00615820"/>
    <w:rsid w:val="006204FC"/>
    <w:rsid w:val="00625739"/>
    <w:rsid w:val="00625E1B"/>
    <w:rsid w:val="0064157B"/>
    <w:rsid w:val="0064289D"/>
    <w:rsid w:val="00642BF6"/>
    <w:rsid w:val="00651076"/>
    <w:rsid w:val="00654DFC"/>
    <w:rsid w:val="00655A9C"/>
    <w:rsid w:val="00673B90"/>
    <w:rsid w:val="0068172A"/>
    <w:rsid w:val="006837DA"/>
    <w:rsid w:val="006837EF"/>
    <w:rsid w:val="006844A6"/>
    <w:rsid w:val="0069062F"/>
    <w:rsid w:val="00694306"/>
    <w:rsid w:val="006944FA"/>
    <w:rsid w:val="00694958"/>
    <w:rsid w:val="006A347B"/>
    <w:rsid w:val="006A4EAD"/>
    <w:rsid w:val="006A5AFB"/>
    <w:rsid w:val="006A75DA"/>
    <w:rsid w:val="006B136A"/>
    <w:rsid w:val="006B17BB"/>
    <w:rsid w:val="006B215B"/>
    <w:rsid w:val="006B2AE4"/>
    <w:rsid w:val="006B2D41"/>
    <w:rsid w:val="006B65F6"/>
    <w:rsid w:val="006B78CD"/>
    <w:rsid w:val="006B7D16"/>
    <w:rsid w:val="006C076F"/>
    <w:rsid w:val="006E34C2"/>
    <w:rsid w:val="006E5F0A"/>
    <w:rsid w:val="006F11B0"/>
    <w:rsid w:val="006F224F"/>
    <w:rsid w:val="006F28BB"/>
    <w:rsid w:val="006F2D8C"/>
    <w:rsid w:val="006F33F2"/>
    <w:rsid w:val="007012F6"/>
    <w:rsid w:val="00701CE3"/>
    <w:rsid w:val="007107F1"/>
    <w:rsid w:val="00711219"/>
    <w:rsid w:val="007142B3"/>
    <w:rsid w:val="00727868"/>
    <w:rsid w:val="00731475"/>
    <w:rsid w:val="0073535B"/>
    <w:rsid w:val="00737F76"/>
    <w:rsid w:val="00741A77"/>
    <w:rsid w:val="00742F01"/>
    <w:rsid w:val="00743AC9"/>
    <w:rsid w:val="00745DAF"/>
    <w:rsid w:val="007465F8"/>
    <w:rsid w:val="00750EE9"/>
    <w:rsid w:val="00752FA9"/>
    <w:rsid w:val="007563F1"/>
    <w:rsid w:val="00765525"/>
    <w:rsid w:val="00776093"/>
    <w:rsid w:val="00776CA1"/>
    <w:rsid w:val="007836E7"/>
    <w:rsid w:val="0079067C"/>
    <w:rsid w:val="00791CF5"/>
    <w:rsid w:val="00792AFF"/>
    <w:rsid w:val="00793FAF"/>
    <w:rsid w:val="007941AF"/>
    <w:rsid w:val="00794711"/>
    <w:rsid w:val="00797446"/>
    <w:rsid w:val="007A2B04"/>
    <w:rsid w:val="007A7BBB"/>
    <w:rsid w:val="007B12C9"/>
    <w:rsid w:val="007B1F9A"/>
    <w:rsid w:val="007B734C"/>
    <w:rsid w:val="007C5937"/>
    <w:rsid w:val="007D42DE"/>
    <w:rsid w:val="007E054A"/>
    <w:rsid w:val="007E11E2"/>
    <w:rsid w:val="007E2183"/>
    <w:rsid w:val="007E2591"/>
    <w:rsid w:val="007E2F6E"/>
    <w:rsid w:val="007E4AEF"/>
    <w:rsid w:val="007E55B9"/>
    <w:rsid w:val="007F0A51"/>
    <w:rsid w:val="007F100D"/>
    <w:rsid w:val="007F1362"/>
    <w:rsid w:val="007F16A8"/>
    <w:rsid w:val="007F5178"/>
    <w:rsid w:val="007F7E10"/>
    <w:rsid w:val="00802E56"/>
    <w:rsid w:val="008033AF"/>
    <w:rsid w:val="00805A4B"/>
    <w:rsid w:val="0080744E"/>
    <w:rsid w:val="0081209F"/>
    <w:rsid w:val="0081271E"/>
    <w:rsid w:val="00821456"/>
    <w:rsid w:val="00834CD6"/>
    <w:rsid w:val="008479DE"/>
    <w:rsid w:val="00852C94"/>
    <w:rsid w:val="00857CFC"/>
    <w:rsid w:val="00861714"/>
    <w:rsid w:val="00861909"/>
    <w:rsid w:val="00862825"/>
    <w:rsid w:val="008642FC"/>
    <w:rsid w:val="00865532"/>
    <w:rsid w:val="00865B8C"/>
    <w:rsid w:val="00875307"/>
    <w:rsid w:val="00883D93"/>
    <w:rsid w:val="008866FB"/>
    <w:rsid w:val="008918A9"/>
    <w:rsid w:val="0089211D"/>
    <w:rsid w:val="0089590F"/>
    <w:rsid w:val="008A3FC8"/>
    <w:rsid w:val="008A7213"/>
    <w:rsid w:val="008B7009"/>
    <w:rsid w:val="008C4D37"/>
    <w:rsid w:val="008D1458"/>
    <w:rsid w:val="008D201F"/>
    <w:rsid w:val="008D2675"/>
    <w:rsid w:val="008D4EB9"/>
    <w:rsid w:val="008D5572"/>
    <w:rsid w:val="008F093C"/>
    <w:rsid w:val="008F4C26"/>
    <w:rsid w:val="00900158"/>
    <w:rsid w:val="00904CF3"/>
    <w:rsid w:val="00905756"/>
    <w:rsid w:val="0091161D"/>
    <w:rsid w:val="009170F0"/>
    <w:rsid w:val="009218E3"/>
    <w:rsid w:val="00921B0B"/>
    <w:rsid w:val="0092522F"/>
    <w:rsid w:val="00931638"/>
    <w:rsid w:val="00931E95"/>
    <w:rsid w:val="00935358"/>
    <w:rsid w:val="0093620C"/>
    <w:rsid w:val="009379CD"/>
    <w:rsid w:val="00941EC2"/>
    <w:rsid w:val="00942EE2"/>
    <w:rsid w:val="00943D51"/>
    <w:rsid w:val="009451EB"/>
    <w:rsid w:val="00945F44"/>
    <w:rsid w:val="009467E7"/>
    <w:rsid w:val="00950737"/>
    <w:rsid w:val="0095077B"/>
    <w:rsid w:val="00957134"/>
    <w:rsid w:val="0096003A"/>
    <w:rsid w:val="009630AB"/>
    <w:rsid w:val="00980302"/>
    <w:rsid w:val="00984137"/>
    <w:rsid w:val="00993010"/>
    <w:rsid w:val="009A2C22"/>
    <w:rsid w:val="009A30F9"/>
    <w:rsid w:val="009B5FC7"/>
    <w:rsid w:val="009C5019"/>
    <w:rsid w:val="009C53EF"/>
    <w:rsid w:val="009D1DEA"/>
    <w:rsid w:val="009D3B09"/>
    <w:rsid w:val="009E31AB"/>
    <w:rsid w:val="009E4045"/>
    <w:rsid w:val="009E5B78"/>
    <w:rsid w:val="009E6CEF"/>
    <w:rsid w:val="009F4DAC"/>
    <w:rsid w:val="00A001AB"/>
    <w:rsid w:val="00A00291"/>
    <w:rsid w:val="00A1063A"/>
    <w:rsid w:val="00A174ED"/>
    <w:rsid w:val="00A17932"/>
    <w:rsid w:val="00A2124A"/>
    <w:rsid w:val="00A21324"/>
    <w:rsid w:val="00A24FB3"/>
    <w:rsid w:val="00A267B5"/>
    <w:rsid w:val="00A326B6"/>
    <w:rsid w:val="00A35982"/>
    <w:rsid w:val="00A53E26"/>
    <w:rsid w:val="00A55925"/>
    <w:rsid w:val="00A6132B"/>
    <w:rsid w:val="00A61B32"/>
    <w:rsid w:val="00A62F3C"/>
    <w:rsid w:val="00A63FA0"/>
    <w:rsid w:val="00A64368"/>
    <w:rsid w:val="00A657A3"/>
    <w:rsid w:val="00A67BAA"/>
    <w:rsid w:val="00A730A6"/>
    <w:rsid w:val="00A73EEB"/>
    <w:rsid w:val="00A75669"/>
    <w:rsid w:val="00A811A5"/>
    <w:rsid w:val="00A83852"/>
    <w:rsid w:val="00A9247E"/>
    <w:rsid w:val="00A93F6E"/>
    <w:rsid w:val="00A97CAB"/>
    <w:rsid w:val="00AA55E3"/>
    <w:rsid w:val="00AB4AF5"/>
    <w:rsid w:val="00AB5473"/>
    <w:rsid w:val="00AB642F"/>
    <w:rsid w:val="00AB6596"/>
    <w:rsid w:val="00AC2426"/>
    <w:rsid w:val="00AC6F82"/>
    <w:rsid w:val="00AC7B35"/>
    <w:rsid w:val="00AD0090"/>
    <w:rsid w:val="00AD1C58"/>
    <w:rsid w:val="00AD58DC"/>
    <w:rsid w:val="00AD6982"/>
    <w:rsid w:val="00AE43B9"/>
    <w:rsid w:val="00AF1B07"/>
    <w:rsid w:val="00AF1EF8"/>
    <w:rsid w:val="00AF20F1"/>
    <w:rsid w:val="00AF48C5"/>
    <w:rsid w:val="00AF512A"/>
    <w:rsid w:val="00AF626B"/>
    <w:rsid w:val="00B00117"/>
    <w:rsid w:val="00B0106C"/>
    <w:rsid w:val="00B024ED"/>
    <w:rsid w:val="00B0251E"/>
    <w:rsid w:val="00B02DF5"/>
    <w:rsid w:val="00B03CB0"/>
    <w:rsid w:val="00B0436B"/>
    <w:rsid w:val="00B11880"/>
    <w:rsid w:val="00B13082"/>
    <w:rsid w:val="00B1570D"/>
    <w:rsid w:val="00B17773"/>
    <w:rsid w:val="00B20DB4"/>
    <w:rsid w:val="00B23F07"/>
    <w:rsid w:val="00B275F3"/>
    <w:rsid w:val="00B34A00"/>
    <w:rsid w:val="00B3523E"/>
    <w:rsid w:val="00B4056A"/>
    <w:rsid w:val="00B40AA1"/>
    <w:rsid w:val="00B42095"/>
    <w:rsid w:val="00B45810"/>
    <w:rsid w:val="00B45D34"/>
    <w:rsid w:val="00B50444"/>
    <w:rsid w:val="00B53394"/>
    <w:rsid w:val="00B54386"/>
    <w:rsid w:val="00B54DCB"/>
    <w:rsid w:val="00B54FC9"/>
    <w:rsid w:val="00B55F5C"/>
    <w:rsid w:val="00B56063"/>
    <w:rsid w:val="00B56B2B"/>
    <w:rsid w:val="00B64BB1"/>
    <w:rsid w:val="00B71B8F"/>
    <w:rsid w:val="00B72CBB"/>
    <w:rsid w:val="00B72CCF"/>
    <w:rsid w:val="00B7373E"/>
    <w:rsid w:val="00B73E4D"/>
    <w:rsid w:val="00B767A7"/>
    <w:rsid w:val="00B82E25"/>
    <w:rsid w:val="00B83F9C"/>
    <w:rsid w:val="00B840F1"/>
    <w:rsid w:val="00B8544C"/>
    <w:rsid w:val="00B8757D"/>
    <w:rsid w:val="00B90ECF"/>
    <w:rsid w:val="00B92D80"/>
    <w:rsid w:val="00B93263"/>
    <w:rsid w:val="00B93430"/>
    <w:rsid w:val="00B9492B"/>
    <w:rsid w:val="00B94FC9"/>
    <w:rsid w:val="00B9788D"/>
    <w:rsid w:val="00BA6AEB"/>
    <w:rsid w:val="00BA6D6B"/>
    <w:rsid w:val="00BB010A"/>
    <w:rsid w:val="00BB5108"/>
    <w:rsid w:val="00BB5C9E"/>
    <w:rsid w:val="00BB752B"/>
    <w:rsid w:val="00BB7557"/>
    <w:rsid w:val="00BC1A0C"/>
    <w:rsid w:val="00BC4139"/>
    <w:rsid w:val="00BC4F24"/>
    <w:rsid w:val="00BD7639"/>
    <w:rsid w:val="00BE036C"/>
    <w:rsid w:val="00BE15B8"/>
    <w:rsid w:val="00BE2575"/>
    <w:rsid w:val="00BE3D5A"/>
    <w:rsid w:val="00BE48BE"/>
    <w:rsid w:val="00BE7C7A"/>
    <w:rsid w:val="00BF1CE4"/>
    <w:rsid w:val="00BF477A"/>
    <w:rsid w:val="00BF6691"/>
    <w:rsid w:val="00BF7247"/>
    <w:rsid w:val="00BF74F9"/>
    <w:rsid w:val="00C04750"/>
    <w:rsid w:val="00C04C61"/>
    <w:rsid w:val="00C069B3"/>
    <w:rsid w:val="00C128AF"/>
    <w:rsid w:val="00C2228C"/>
    <w:rsid w:val="00C27A88"/>
    <w:rsid w:val="00C41DFE"/>
    <w:rsid w:val="00C426A1"/>
    <w:rsid w:val="00C426D3"/>
    <w:rsid w:val="00C50C7C"/>
    <w:rsid w:val="00C54409"/>
    <w:rsid w:val="00C54452"/>
    <w:rsid w:val="00C547E6"/>
    <w:rsid w:val="00C57515"/>
    <w:rsid w:val="00C61C32"/>
    <w:rsid w:val="00C6286B"/>
    <w:rsid w:val="00C663F7"/>
    <w:rsid w:val="00C66E69"/>
    <w:rsid w:val="00C70D62"/>
    <w:rsid w:val="00C715EA"/>
    <w:rsid w:val="00C7365A"/>
    <w:rsid w:val="00C753F8"/>
    <w:rsid w:val="00C77AE3"/>
    <w:rsid w:val="00C8434B"/>
    <w:rsid w:val="00C85A98"/>
    <w:rsid w:val="00C86822"/>
    <w:rsid w:val="00C874AB"/>
    <w:rsid w:val="00C93138"/>
    <w:rsid w:val="00CA237D"/>
    <w:rsid w:val="00CA4656"/>
    <w:rsid w:val="00CA4976"/>
    <w:rsid w:val="00CA65F3"/>
    <w:rsid w:val="00CB4924"/>
    <w:rsid w:val="00CC6811"/>
    <w:rsid w:val="00CC7065"/>
    <w:rsid w:val="00CC7313"/>
    <w:rsid w:val="00CD066D"/>
    <w:rsid w:val="00CD17E5"/>
    <w:rsid w:val="00CD4EB3"/>
    <w:rsid w:val="00CE0C8B"/>
    <w:rsid w:val="00D071BD"/>
    <w:rsid w:val="00D1049C"/>
    <w:rsid w:val="00D12CE9"/>
    <w:rsid w:val="00D13F2C"/>
    <w:rsid w:val="00D14EB9"/>
    <w:rsid w:val="00D15E85"/>
    <w:rsid w:val="00D174DE"/>
    <w:rsid w:val="00D34AA2"/>
    <w:rsid w:val="00D35E7E"/>
    <w:rsid w:val="00D40D71"/>
    <w:rsid w:val="00D51D55"/>
    <w:rsid w:val="00D5614D"/>
    <w:rsid w:val="00D606E1"/>
    <w:rsid w:val="00D64BB9"/>
    <w:rsid w:val="00D717C8"/>
    <w:rsid w:val="00D72997"/>
    <w:rsid w:val="00D75616"/>
    <w:rsid w:val="00D82D38"/>
    <w:rsid w:val="00D85E80"/>
    <w:rsid w:val="00D90BAB"/>
    <w:rsid w:val="00D940B4"/>
    <w:rsid w:val="00D947D6"/>
    <w:rsid w:val="00DA3E11"/>
    <w:rsid w:val="00DB1E7A"/>
    <w:rsid w:val="00DB21D1"/>
    <w:rsid w:val="00DB24D6"/>
    <w:rsid w:val="00DB5C37"/>
    <w:rsid w:val="00DB77EB"/>
    <w:rsid w:val="00DC00CF"/>
    <w:rsid w:val="00DD2F5C"/>
    <w:rsid w:val="00DD3D94"/>
    <w:rsid w:val="00DE1E1E"/>
    <w:rsid w:val="00DE27DA"/>
    <w:rsid w:val="00DE2923"/>
    <w:rsid w:val="00DE5332"/>
    <w:rsid w:val="00DE589C"/>
    <w:rsid w:val="00DE7529"/>
    <w:rsid w:val="00DF0BA4"/>
    <w:rsid w:val="00DF2242"/>
    <w:rsid w:val="00DF69A4"/>
    <w:rsid w:val="00E119C5"/>
    <w:rsid w:val="00E1259A"/>
    <w:rsid w:val="00E14565"/>
    <w:rsid w:val="00E15F28"/>
    <w:rsid w:val="00E16C48"/>
    <w:rsid w:val="00E170AC"/>
    <w:rsid w:val="00E201C1"/>
    <w:rsid w:val="00E216FC"/>
    <w:rsid w:val="00E26CFF"/>
    <w:rsid w:val="00E334C4"/>
    <w:rsid w:val="00E35A79"/>
    <w:rsid w:val="00E40392"/>
    <w:rsid w:val="00E4523D"/>
    <w:rsid w:val="00E45B1C"/>
    <w:rsid w:val="00E46A5B"/>
    <w:rsid w:val="00E53AB4"/>
    <w:rsid w:val="00E53CFB"/>
    <w:rsid w:val="00E53E98"/>
    <w:rsid w:val="00E600CF"/>
    <w:rsid w:val="00E611EA"/>
    <w:rsid w:val="00E64E2E"/>
    <w:rsid w:val="00E6753F"/>
    <w:rsid w:val="00E70CC0"/>
    <w:rsid w:val="00E729C4"/>
    <w:rsid w:val="00E81724"/>
    <w:rsid w:val="00E81731"/>
    <w:rsid w:val="00E82F1C"/>
    <w:rsid w:val="00E85628"/>
    <w:rsid w:val="00E85D2D"/>
    <w:rsid w:val="00E85F95"/>
    <w:rsid w:val="00E96561"/>
    <w:rsid w:val="00EA1934"/>
    <w:rsid w:val="00EA52A5"/>
    <w:rsid w:val="00EA7C6A"/>
    <w:rsid w:val="00EB06F2"/>
    <w:rsid w:val="00EB0C36"/>
    <w:rsid w:val="00EB3705"/>
    <w:rsid w:val="00EB5F81"/>
    <w:rsid w:val="00EB6270"/>
    <w:rsid w:val="00EC0612"/>
    <w:rsid w:val="00EC29BE"/>
    <w:rsid w:val="00EC4EA1"/>
    <w:rsid w:val="00EC5F9B"/>
    <w:rsid w:val="00EC6669"/>
    <w:rsid w:val="00ED0695"/>
    <w:rsid w:val="00ED180C"/>
    <w:rsid w:val="00ED4AF0"/>
    <w:rsid w:val="00EE0274"/>
    <w:rsid w:val="00EE16A0"/>
    <w:rsid w:val="00EE3435"/>
    <w:rsid w:val="00EE3681"/>
    <w:rsid w:val="00EE442F"/>
    <w:rsid w:val="00EE5145"/>
    <w:rsid w:val="00EF1CEE"/>
    <w:rsid w:val="00EF2DEA"/>
    <w:rsid w:val="00EF56D2"/>
    <w:rsid w:val="00EF5C2A"/>
    <w:rsid w:val="00F0279F"/>
    <w:rsid w:val="00F030CB"/>
    <w:rsid w:val="00F05062"/>
    <w:rsid w:val="00F059DF"/>
    <w:rsid w:val="00F11B01"/>
    <w:rsid w:val="00F134FF"/>
    <w:rsid w:val="00F17D08"/>
    <w:rsid w:val="00F21C79"/>
    <w:rsid w:val="00F22653"/>
    <w:rsid w:val="00F25C4B"/>
    <w:rsid w:val="00F34163"/>
    <w:rsid w:val="00F34C94"/>
    <w:rsid w:val="00F35A00"/>
    <w:rsid w:val="00F44490"/>
    <w:rsid w:val="00F459CF"/>
    <w:rsid w:val="00F50EE5"/>
    <w:rsid w:val="00F514D7"/>
    <w:rsid w:val="00F56056"/>
    <w:rsid w:val="00F57423"/>
    <w:rsid w:val="00F61968"/>
    <w:rsid w:val="00F64487"/>
    <w:rsid w:val="00F652B2"/>
    <w:rsid w:val="00F66C71"/>
    <w:rsid w:val="00F728C5"/>
    <w:rsid w:val="00F72D8C"/>
    <w:rsid w:val="00F76162"/>
    <w:rsid w:val="00F80CA4"/>
    <w:rsid w:val="00F82E0D"/>
    <w:rsid w:val="00F8426F"/>
    <w:rsid w:val="00F90497"/>
    <w:rsid w:val="00F933D0"/>
    <w:rsid w:val="00F93E1D"/>
    <w:rsid w:val="00FA166A"/>
    <w:rsid w:val="00FA2CC7"/>
    <w:rsid w:val="00FA768A"/>
    <w:rsid w:val="00FB0077"/>
    <w:rsid w:val="00FB1061"/>
    <w:rsid w:val="00FB1BC7"/>
    <w:rsid w:val="00FB5D5E"/>
    <w:rsid w:val="00FC4219"/>
    <w:rsid w:val="00FC58D0"/>
    <w:rsid w:val="00FC5924"/>
    <w:rsid w:val="00FD2642"/>
    <w:rsid w:val="00FD53FC"/>
    <w:rsid w:val="00FD603D"/>
    <w:rsid w:val="00FF5552"/>
    <w:rsid w:val="00FF599A"/>
    <w:rsid w:val="00FF7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80852-CA6C-4CE7-9925-1E777A6E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CEE"/>
    <w:rPr>
      <w:rFonts w:ascii="Calibri" w:eastAsia="Calibri" w:hAnsi="Calibri" w:cs="Times New Roman"/>
      <w:lang w:val="en-GB"/>
    </w:rPr>
  </w:style>
  <w:style w:type="paragraph" w:styleId="Overskrift2">
    <w:name w:val="heading 2"/>
    <w:basedOn w:val="Normal"/>
    <w:next w:val="Normal"/>
    <w:link w:val="Overskrift2Tegn"/>
    <w:uiPriority w:val="9"/>
    <w:unhideWhenUsed/>
    <w:qFormat/>
    <w:rsid w:val="00FC4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EF1CEE"/>
  </w:style>
  <w:style w:type="paragraph" w:styleId="NormalWeb">
    <w:name w:val="Normal (Web)"/>
    <w:basedOn w:val="Normal"/>
    <w:uiPriority w:val="99"/>
    <w:unhideWhenUsed/>
    <w:rsid w:val="00EF1CEE"/>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Stil1">
    <w:name w:val="Stil1"/>
    <w:qFormat/>
    <w:rsid w:val="00EF1CEE"/>
    <w:pPr>
      <w:spacing w:after="160" w:line="259" w:lineRule="auto"/>
    </w:pPr>
    <w:rPr>
      <w:rFonts w:ascii="Calibri" w:eastAsia="Times New Roman" w:hAnsi="Calibri" w:cs="Times New Roman"/>
      <w:lang w:val="en-GB"/>
    </w:rPr>
  </w:style>
  <w:style w:type="paragraph" w:styleId="HTML-forhndsformatert">
    <w:name w:val="HTML Preformatted"/>
    <w:basedOn w:val="Normal"/>
    <w:link w:val="HTML-forhndsformatertTegn"/>
    <w:uiPriority w:val="99"/>
    <w:unhideWhenUsed/>
    <w:rsid w:val="00EF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forhndsformatertTegn">
    <w:name w:val="HTML-forhåndsformatert Tegn"/>
    <w:basedOn w:val="Standardskriftforavsnitt"/>
    <w:link w:val="HTML-forhndsformatert"/>
    <w:uiPriority w:val="99"/>
    <w:rsid w:val="00EF1CEE"/>
    <w:rPr>
      <w:rFonts w:ascii="Courier New" w:eastAsia="Times New Roman" w:hAnsi="Courier New" w:cs="Courier New"/>
      <w:sz w:val="20"/>
      <w:szCs w:val="20"/>
      <w:lang w:eastAsia="hr-HR"/>
    </w:rPr>
  </w:style>
  <w:style w:type="character" w:customStyle="1" w:styleId="Overskrift2Tegn">
    <w:name w:val="Overskrift 2 Tegn"/>
    <w:basedOn w:val="Standardskriftforavsnitt"/>
    <w:link w:val="Overskrift2"/>
    <w:uiPriority w:val="9"/>
    <w:rsid w:val="00FC4219"/>
    <w:rPr>
      <w:rFonts w:asciiTheme="majorHAnsi" w:eastAsiaTheme="majorEastAsia" w:hAnsiTheme="majorHAnsi" w:cstheme="majorBidi"/>
      <w:b/>
      <w:bCs/>
      <w:color w:val="4F81BD" w:themeColor="accent1"/>
      <w:sz w:val="26"/>
      <w:szCs w:val="26"/>
      <w:lang w:val="en-GB" w:eastAsia="nl-NL"/>
    </w:rPr>
  </w:style>
  <w:style w:type="paragraph" w:styleId="Fotnotetekst">
    <w:name w:val="footnote text"/>
    <w:aliases w:val="Voetnoottekst Char"/>
    <w:basedOn w:val="Normal"/>
    <w:link w:val="FotnotetekstTegn"/>
    <w:rsid w:val="00FC4219"/>
    <w:pPr>
      <w:spacing w:after="0" w:line="240" w:lineRule="auto"/>
    </w:pPr>
    <w:rPr>
      <w:rFonts w:ascii="Arial" w:hAnsi="Arial"/>
      <w:sz w:val="20"/>
      <w:szCs w:val="20"/>
    </w:rPr>
  </w:style>
  <w:style w:type="character" w:customStyle="1" w:styleId="FotnotetekstTegn">
    <w:name w:val="Fotnotetekst Tegn"/>
    <w:aliases w:val="Voetnoottekst Char Tegn"/>
    <w:basedOn w:val="Standardskriftforavsnitt"/>
    <w:link w:val="Fotnotetekst"/>
    <w:rsid w:val="00FC4219"/>
    <w:rPr>
      <w:rFonts w:ascii="Arial" w:eastAsia="Calibri" w:hAnsi="Arial" w:cs="Times New Roman"/>
      <w:sz w:val="20"/>
      <w:szCs w:val="20"/>
      <w:lang w:val="en-GB"/>
    </w:rPr>
  </w:style>
  <w:style w:type="character" w:styleId="Utheving">
    <w:name w:val="Emphasis"/>
    <w:basedOn w:val="Standardskriftforavsnitt"/>
    <w:qFormat/>
    <w:rsid w:val="00FC4219"/>
    <w:rPr>
      <w:i/>
      <w:iCs/>
    </w:rPr>
  </w:style>
  <w:style w:type="character" w:styleId="Hyperkobling">
    <w:name w:val="Hyperlink"/>
    <w:basedOn w:val="Standardskriftforavsnitt"/>
    <w:uiPriority w:val="99"/>
    <w:unhideWhenUsed/>
    <w:rsid w:val="00FC4219"/>
    <w:rPr>
      <w:color w:val="0000FF"/>
      <w:u w:val="single"/>
    </w:rPr>
  </w:style>
  <w:style w:type="table" w:styleId="Tabellrutenett">
    <w:name w:val="Table Grid"/>
    <w:basedOn w:val="Vanligtabell"/>
    <w:rsid w:val="0089211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tnotereferanse">
    <w:name w:val="footnote reference"/>
    <w:basedOn w:val="Standardskriftforavsnitt"/>
    <w:semiHidden/>
    <w:rsid w:val="00750EE9"/>
    <w:rPr>
      <w:vertAlign w:val="superscript"/>
    </w:rPr>
  </w:style>
  <w:style w:type="character" w:customStyle="1" w:styleId="shorttext">
    <w:name w:val="short_text"/>
    <w:basedOn w:val="Standardskriftforavsnitt"/>
    <w:rsid w:val="00750EE9"/>
  </w:style>
  <w:style w:type="character" w:customStyle="1" w:styleId="hps">
    <w:name w:val="hps"/>
    <w:basedOn w:val="Standardskriftforavsnitt"/>
    <w:rsid w:val="00750EE9"/>
  </w:style>
  <w:style w:type="character" w:styleId="Merknadsreferanse">
    <w:name w:val="annotation reference"/>
    <w:basedOn w:val="Standardskriftforavsnitt"/>
    <w:uiPriority w:val="99"/>
    <w:semiHidden/>
    <w:unhideWhenUsed/>
    <w:rsid w:val="00AF512A"/>
    <w:rPr>
      <w:sz w:val="16"/>
      <w:szCs w:val="16"/>
    </w:rPr>
  </w:style>
  <w:style w:type="paragraph" w:styleId="Merknadstekst">
    <w:name w:val="annotation text"/>
    <w:basedOn w:val="Normal"/>
    <w:link w:val="MerknadstekstTegn"/>
    <w:uiPriority w:val="99"/>
    <w:unhideWhenUsed/>
    <w:rsid w:val="00AF512A"/>
    <w:pPr>
      <w:spacing w:line="240" w:lineRule="auto"/>
    </w:pPr>
    <w:rPr>
      <w:sz w:val="20"/>
      <w:szCs w:val="20"/>
    </w:rPr>
  </w:style>
  <w:style w:type="character" w:customStyle="1" w:styleId="MerknadstekstTegn">
    <w:name w:val="Merknadstekst Tegn"/>
    <w:basedOn w:val="Standardskriftforavsnitt"/>
    <w:link w:val="Merknadstekst"/>
    <w:uiPriority w:val="99"/>
    <w:rsid w:val="00AF512A"/>
    <w:rPr>
      <w:rFonts w:ascii="Calibri" w:eastAsia="Calibri" w:hAnsi="Calibri" w:cs="Times New Roman"/>
      <w:sz w:val="20"/>
      <w:szCs w:val="20"/>
      <w:lang w:val="en-GB"/>
    </w:rPr>
  </w:style>
  <w:style w:type="paragraph" w:styleId="Kommentaremne">
    <w:name w:val="annotation subject"/>
    <w:basedOn w:val="Merknadstekst"/>
    <w:next w:val="Merknadstekst"/>
    <w:link w:val="KommentaremneTegn"/>
    <w:uiPriority w:val="99"/>
    <w:semiHidden/>
    <w:unhideWhenUsed/>
    <w:rsid w:val="00AF512A"/>
    <w:rPr>
      <w:b/>
      <w:bCs/>
    </w:rPr>
  </w:style>
  <w:style w:type="character" w:customStyle="1" w:styleId="KommentaremneTegn">
    <w:name w:val="Kommentaremne Tegn"/>
    <w:basedOn w:val="MerknadstekstTegn"/>
    <w:link w:val="Kommentaremne"/>
    <w:uiPriority w:val="99"/>
    <w:semiHidden/>
    <w:rsid w:val="00AF512A"/>
    <w:rPr>
      <w:rFonts w:ascii="Calibri" w:eastAsia="Calibri" w:hAnsi="Calibri" w:cs="Times New Roman"/>
      <w:b/>
      <w:bCs/>
      <w:sz w:val="20"/>
      <w:szCs w:val="20"/>
      <w:lang w:val="en-GB"/>
    </w:rPr>
  </w:style>
  <w:style w:type="paragraph" w:styleId="Bobletekst">
    <w:name w:val="Balloon Text"/>
    <w:basedOn w:val="Normal"/>
    <w:link w:val="BobletekstTegn"/>
    <w:uiPriority w:val="99"/>
    <w:semiHidden/>
    <w:unhideWhenUsed/>
    <w:rsid w:val="00AF51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F512A"/>
    <w:rPr>
      <w:rFonts w:ascii="Tahoma" w:eastAsia="Calibri" w:hAnsi="Tahoma" w:cs="Tahoma"/>
      <w:sz w:val="16"/>
      <w:szCs w:val="16"/>
      <w:lang w:val="en-GB"/>
    </w:rPr>
  </w:style>
  <w:style w:type="paragraph" w:customStyle="1" w:styleId="Default">
    <w:name w:val="Default"/>
    <w:rsid w:val="001A0D36"/>
    <w:pPr>
      <w:autoSpaceDE w:val="0"/>
      <w:autoSpaceDN w:val="0"/>
      <w:adjustRightInd w:val="0"/>
      <w:spacing w:after="0" w:line="240" w:lineRule="auto"/>
    </w:pPr>
    <w:rPr>
      <w:rFonts w:ascii="Trivia Sans Book" w:hAnsi="Trivia Sans Book" w:cs="Trivia Sans Book"/>
      <w:color w:val="000000"/>
      <w:sz w:val="24"/>
      <w:szCs w:val="24"/>
      <w:lang w:val="en-GB"/>
    </w:rPr>
  </w:style>
  <w:style w:type="character" w:customStyle="1" w:styleId="A14">
    <w:name w:val="A14"/>
    <w:uiPriority w:val="99"/>
    <w:rsid w:val="00E1259A"/>
    <w:rPr>
      <w:rFonts w:cs="Trivia Sans Light"/>
      <w:color w:val="000000"/>
      <w:sz w:val="11"/>
      <w:szCs w:val="11"/>
    </w:rPr>
  </w:style>
  <w:style w:type="paragraph" w:styleId="Topptekst">
    <w:name w:val="header"/>
    <w:basedOn w:val="Normal"/>
    <w:link w:val="TopptekstTegn"/>
    <w:uiPriority w:val="99"/>
    <w:unhideWhenUsed/>
    <w:rsid w:val="00805A4B"/>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805A4B"/>
    <w:rPr>
      <w:rFonts w:ascii="Calibri" w:eastAsia="Calibri" w:hAnsi="Calibri" w:cs="Times New Roman"/>
      <w:lang w:val="en-GB"/>
    </w:rPr>
  </w:style>
  <w:style w:type="paragraph" w:styleId="Bunntekst">
    <w:name w:val="footer"/>
    <w:basedOn w:val="Normal"/>
    <w:link w:val="BunntekstTegn"/>
    <w:uiPriority w:val="99"/>
    <w:unhideWhenUsed/>
    <w:rsid w:val="00805A4B"/>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805A4B"/>
    <w:rPr>
      <w:rFonts w:ascii="Calibri" w:eastAsia="Calibri" w:hAnsi="Calibri" w:cs="Times New Roman"/>
      <w:lang w:val="en-GB"/>
    </w:rPr>
  </w:style>
  <w:style w:type="character" w:customStyle="1" w:styleId="tgc">
    <w:name w:val="_tgc"/>
    <w:basedOn w:val="Standardskriftforavsnitt"/>
    <w:rsid w:val="00BF6691"/>
  </w:style>
  <w:style w:type="paragraph" w:styleId="Listeavsnitt">
    <w:name w:val="List Paragraph"/>
    <w:basedOn w:val="Normal"/>
    <w:uiPriority w:val="34"/>
    <w:qFormat/>
    <w:rsid w:val="00BF6691"/>
    <w:pPr>
      <w:ind w:left="720"/>
      <w:contextualSpacing/>
    </w:pPr>
  </w:style>
  <w:style w:type="character" w:styleId="Sluttnotereferanse">
    <w:name w:val="endnote reference"/>
    <w:basedOn w:val="Standardskriftforavsnitt"/>
    <w:uiPriority w:val="99"/>
    <w:semiHidden/>
    <w:unhideWhenUsed/>
    <w:rsid w:val="005F04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2881">
      <w:bodyDiv w:val="1"/>
      <w:marLeft w:val="0"/>
      <w:marRight w:val="0"/>
      <w:marTop w:val="0"/>
      <w:marBottom w:val="0"/>
      <w:divBdr>
        <w:top w:val="none" w:sz="0" w:space="0" w:color="auto"/>
        <w:left w:val="none" w:sz="0" w:space="0" w:color="auto"/>
        <w:bottom w:val="none" w:sz="0" w:space="0" w:color="auto"/>
        <w:right w:val="none" w:sz="0" w:space="0" w:color="auto"/>
      </w:divBdr>
    </w:div>
    <w:div w:id="149056834">
      <w:bodyDiv w:val="1"/>
      <w:marLeft w:val="0"/>
      <w:marRight w:val="0"/>
      <w:marTop w:val="0"/>
      <w:marBottom w:val="0"/>
      <w:divBdr>
        <w:top w:val="none" w:sz="0" w:space="0" w:color="auto"/>
        <w:left w:val="none" w:sz="0" w:space="0" w:color="auto"/>
        <w:bottom w:val="none" w:sz="0" w:space="0" w:color="auto"/>
        <w:right w:val="none" w:sz="0" w:space="0" w:color="auto"/>
      </w:divBdr>
    </w:div>
    <w:div w:id="1380931437">
      <w:bodyDiv w:val="1"/>
      <w:marLeft w:val="0"/>
      <w:marRight w:val="0"/>
      <w:marTop w:val="0"/>
      <w:marBottom w:val="0"/>
      <w:divBdr>
        <w:top w:val="none" w:sz="0" w:space="0" w:color="auto"/>
        <w:left w:val="none" w:sz="0" w:space="0" w:color="auto"/>
        <w:bottom w:val="none" w:sz="0" w:space="0" w:color="auto"/>
        <w:right w:val="none" w:sz="0" w:space="0" w:color="auto"/>
      </w:divBdr>
    </w:div>
    <w:div w:id="21385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who.int/gho/data/node.main-euro.A1229?lang=en&amp;showonly=RSUD" TargetMode="External"/><Relationship Id="rId18" Type="http://schemas.openxmlformats.org/officeDocument/2006/relationships/hyperlink" Target="http://www.ncbi.nlm.nih.gov/pubmed/?term=Gon%C3%A7alves%20R%5BAuthor%5D&amp;cauthor=true&amp;cauthor_uid=2526589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25265899" TargetMode="External"/><Relationship Id="rId7" Type="http://schemas.openxmlformats.org/officeDocument/2006/relationships/endnotes" Target="endnotes.xml"/><Relationship Id="rId12" Type="http://schemas.openxmlformats.org/officeDocument/2006/relationships/hyperlink" Target="http://apps.who.int/gho/data/node.main-euro.A1221?lang=en&amp;showonly=RSUD" TargetMode="External"/><Relationship Id="rId17" Type="http://schemas.openxmlformats.org/officeDocument/2006/relationships/hyperlink" Target="http://apps.who.int/gho/data/node.main-euro.A1333?lang=en&amp;showonly=RSU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who.int/gho/data/node.main-euro.A1319?lang=en&amp;showonly=RSUD" TargetMode="External"/><Relationship Id="rId20" Type="http://schemas.openxmlformats.org/officeDocument/2006/relationships/hyperlink" Target="http://www.ncbi.nlm.nih.gov/pubmed/?term=Silva%20SN%5BAuthor%5D&amp;cauthor=true&amp;cauthor_uid=252658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gho/data/node.main-euro.A1211?lang=en&amp;showonly=RSUD" TargetMode="External"/><Relationship Id="rId24" Type="http://schemas.openxmlformats.org/officeDocument/2006/relationships/hyperlink" Target="http://en.ofdt.fr/BDD/publications/docs/nr2012si2.pdf" TargetMode="External"/><Relationship Id="rId5" Type="http://schemas.openxmlformats.org/officeDocument/2006/relationships/webSettings" Target="webSettings.xml"/><Relationship Id="rId15" Type="http://schemas.openxmlformats.org/officeDocument/2006/relationships/hyperlink" Target="http://apps.who.int/gho/data/node.main-euro.A1280?lang=en&amp;showonly=RSUD" TargetMode="External"/><Relationship Id="rId23" Type="http://schemas.openxmlformats.org/officeDocument/2006/relationships/hyperlink" Target="http://www.sciencedirect.com/science/article/pii/S074054721300038X" TargetMode="External"/><Relationship Id="rId10" Type="http://schemas.openxmlformats.org/officeDocument/2006/relationships/hyperlink" Target="http://www.eizg.hr/hr-HR/dr-sc-Jelena-Budak-59.aspx" TargetMode="External"/><Relationship Id="rId19" Type="http://schemas.openxmlformats.org/officeDocument/2006/relationships/hyperlink" Target="http://www.ncbi.nlm.nih.gov/pubmed/?term=Louren%C3%A7o%20A%5BAuthor%5D&amp;cauthor=true&amp;cauthor_uid=25265899" TargetMode="External"/><Relationship Id="rId4" Type="http://schemas.openxmlformats.org/officeDocument/2006/relationships/settings" Target="settings.xml"/><Relationship Id="rId9" Type="http://schemas.openxmlformats.org/officeDocument/2006/relationships/hyperlink" Target="http://www.eizg.hr/hr-HR/dr-sc-Sandra-Svaljek-49.aspx" TargetMode="External"/><Relationship Id="rId14" Type="http://schemas.openxmlformats.org/officeDocument/2006/relationships/hyperlink" Target="http://apps.who.int/gho/data/node.main-euro.A1233?lang=en&amp;showonly=RSUD" TargetMode="External"/><Relationship Id="rId22" Type="http://schemas.openxmlformats.org/officeDocument/2006/relationships/hyperlink" Target="http://onlinelibrary.wiley.com/doi/10.1111/dar.2009.28.issue-2/issuetoc"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AE15-FABB-45D4-8126-3ED33E6D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10064</Words>
  <Characters>53343</Characters>
  <Application>Microsoft Office Word</Application>
  <DocSecurity>0</DocSecurity>
  <Lines>444</Lines>
  <Paragraphs>126</Paragraphs>
  <ScaleCrop>false</ScaleCrop>
  <HeadingPairs>
    <vt:vector size="8" baseType="variant">
      <vt:variant>
        <vt:lpstr>Tittel</vt:lpstr>
      </vt:variant>
      <vt:variant>
        <vt:i4>1</vt:i4>
      </vt:variant>
      <vt:variant>
        <vt:lpstr>Title</vt:lpstr>
      </vt:variant>
      <vt:variant>
        <vt:i4>1</vt:i4>
      </vt:variant>
      <vt:variant>
        <vt:lpstr>Título</vt:lpstr>
      </vt:variant>
      <vt:variant>
        <vt:i4>1</vt:i4>
      </vt:variant>
      <vt:variant>
        <vt:lpstr>Naslov</vt:lpstr>
      </vt:variant>
      <vt:variant>
        <vt:i4>1</vt:i4>
      </vt:variant>
    </vt:vector>
  </HeadingPairs>
  <TitlesOfParts>
    <vt:vector size="4" baseType="lpstr">
      <vt:lpstr/>
      <vt:lpstr/>
      <vt:lpstr/>
      <vt:lpstr/>
    </vt:vector>
  </TitlesOfParts>
  <Company>Hewlett-Packard Company</Company>
  <LinksUpToDate>false</LinksUpToDate>
  <CharactersWithSpaces>63281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Bretteville-Jensen, Anne Line</cp:lastModifiedBy>
  <cp:revision>2</cp:revision>
  <cp:lastPrinted>2016-10-13T06:31:00Z</cp:lastPrinted>
  <dcterms:created xsi:type="dcterms:W3CDTF">2016-11-18T16:30:00Z</dcterms:created>
  <dcterms:modified xsi:type="dcterms:W3CDTF">2016-11-18T16:30:00Z</dcterms:modified>
</cp:coreProperties>
</file>