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DF" w:rsidRPr="00BE15B8" w:rsidRDefault="00CA65F3" w:rsidP="00EA1934">
      <w:pPr>
        <w:spacing w:after="0"/>
        <w:jc w:val="both"/>
        <w:rPr>
          <w:rFonts w:asciiTheme="minorHAnsi" w:hAnsiTheme="minorHAnsi"/>
          <w:b/>
          <w:sz w:val="32"/>
          <w:szCs w:val="32"/>
        </w:rPr>
      </w:pPr>
      <w:r w:rsidRPr="00BE15B8">
        <w:rPr>
          <w:rFonts w:asciiTheme="minorHAnsi" w:hAnsiTheme="minorHAnsi"/>
          <w:b/>
          <w:sz w:val="32"/>
          <w:szCs w:val="32"/>
        </w:rPr>
        <w:t>PUBLIC EXPENDITURE ON SUPPLY REDUCTION</w:t>
      </w:r>
      <w:r w:rsidR="000F6331">
        <w:rPr>
          <w:rFonts w:asciiTheme="minorHAnsi" w:hAnsiTheme="minorHAnsi"/>
          <w:b/>
          <w:sz w:val="32"/>
          <w:szCs w:val="32"/>
        </w:rPr>
        <w:t xml:space="preserve"> POLICIES</w:t>
      </w:r>
    </w:p>
    <w:p w:rsidR="00CA65F3" w:rsidRPr="00BE15B8" w:rsidRDefault="00CA65F3" w:rsidP="00EA1934">
      <w:pPr>
        <w:spacing w:after="0"/>
        <w:jc w:val="both"/>
        <w:rPr>
          <w:rFonts w:asciiTheme="minorHAnsi" w:hAnsiTheme="minorHAnsi"/>
          <w:b/>
          <w:sz w:val="32"/>
          <w:szCs w:val="32"/>
        </w:rPr>
      </w:pPr>
      <w:r w:rsidRPr="00BE15B8">
        <w:rPr>
          <w:rFonts w:asciiTheme="minorHAnsi" w:hAnsiTheme="minorHAnsi"/>
          <w:b/>
          <w:sz w:val="32"/>
          <w:szCs w:val="32"/>
        </w:rPr>
        <w:t xml:space="preserve">Joint publication EMCDDA/Pompidou Group, </w:t>
      </w:r>
    </w:p>
    <w:p w:rsidR="00CA65F3" w:rsidRPr="00BE15B8" w:rsidRDefault="00BE15B8" w:rsidP="00EA1934">
      <w:pPr>
        <w:spacing w:after="0"/>
        <w:jc w:val="both"/>
        <w:rPr>
          <w:rFonts w:asciiTheme="minorHAnsi" w:hAnsiTheme="minorHAnsi"/>
          <w:b/>
          <w:sz w:val="32"/>
          <w:szCs w:val="32"/>
        </w:rPr>
      </w:pPr>
      <w:r>
        <w:rPr>
          <w:rFonts w:asciiTheme="minorHAnsi" w:hAnsiTheme="minorHAnsi"/>
          <w:b/>
          <w:sz w:val="32"/>
          <w:szCs w:val="32"/>
        </w:rPr>
        <w:t>November</w:t>
      </w:r>
      <w:r w:rsidR="00CA65F3" w:rsidRPr="00BE15B8">
        <w:rPr>
          <w:rFonts w:asciiTheme="minorHAnsi" w:hAnsiTheme="minorHAnsi"/>
          <w:b/>
          <w:sz w:val="32"/>
          <w:szCs w:val="32"/>
        </w:rPr>
        <w:t xml:space="preserve"> 2016</w:t>
      </w:r>
    </w:p>
    <w:p w:rsidR="001E0BDF" w:rsidRPr="00BE15B8" w:rsidRDefault="001E0BDF" w:rsidP="00EA1934">
      <w:pPr>
        <w:spacing w:after="0"/>
        <w:jc w:val="both"/>
        <w:rPr>
          <w:rFonts w:asciiTheme="minorHAnsi" w:hAnsiTheme="minorHAnsi"/>
          <w:b/>
          <w:sz w:val="24"/>
          <w:szCs w:val="24"/>
        </w:rPr>
      </w:pPr>
    </w:p>
    <w:p w:rsidR="00012746" w:rsidRPr="00BE15B8" w:rsidRDefault="00012746" w:rsidP="00B34A00">
      <w:pPr>
        <w:jc w:val="both"/>
        <w:rPr>
          <w:rFonts w:asciiTheme="minorHAnsi" w:hAnsiTheme="minorHAnsi"/>
          <w:sz w:val="24"/>
          <w:lang w:val="en-AU"/>
        </w:rPr>
      </w:pPr>
      <w:r w:rsidRPr="00BE15B8">
        <w:rPr>
          <w:rFonts w:asciiTheme="minorHAnsi" w:hAnsiTheme="minorHAnsi"/>
          <w:sz w:val="24"/>
          <w:lang w:val="en-AU"/>
        </w:rPr>
        <w:t xml:space="preserve">The aim of this publication is </w:t>
      </w:r>
      <w:r w:rsidR="00504963">
        <w:rPr>
          <w:rFonts w:asciiTheme="minorHAnsi" w:hAnsiTheme="minorHAnsi"/>
          <w:sz w:val="24"/>
          <w:lang w:val="en-AU"/>
        </w:rPr>
        <w:t>t</w:t>
      </w:r>
      <w:r w:rsidR="00DA1E7F">
        <w:rPr>
          <w:rFonts w:asciiTheme="minorHAnsi" w:hAnsiTheme="minorHAnsi"/>
          <w:sz w:val="24"/>
          <w:lang w:val="en-AU"/>
        </w:rPr>
        <w:t>hree</w:t>
      </w:r>
      <w:r w:rsidR="00DA1E7F" w:rsidRPr="00BE15B8">
        <w:rPr>
          <w:rFonts w:asciiTheme="minorHAnsi" w:hAnsiTheme="minorHAnsi"/>
          <w:sz w:val="24"/>
          <w:lang w:val="en-AU"/>
        </w:rPr>
        <w:t>fold</w:t>
      </w:r>
      <w:r w:rsidRPr="00BE15B8">
        <w:rPr>
          <w:rFonts w:asciiTheme="minorHAnsi" w:hAnsiTheme="minorHAnsi"/>
          <w:sz w:val="24"/>
          <w:lang w:val="en-AU"/>
        </w:rPr>
        <w:t xml:space="preserve">. First, </w:t>
      </w:r>
      <w:r w:rsidR="00DA1E7F" w:rsidRPr="00BE15B8">
        <w:rPr>
          <w:rFonts w:asciiTheme="minorHAnsi" w:hAnsiTheme="minorHAnsi"/>
          <w:sz w:val="24"/>
          <w:lang w:val="en-AU"/>
        </w:rPr>
        <w:t>increas</w:t>
      </w:r>
      <w:r w:rsidR="00DA1E7F">
        <w:rPr>
          <w:rFonts w:asciiTheme="minorHAnsi" w:hAnsiTheme="minorHAnsi"/>
          <w:sz w:val="24"/>
          <w:lang w:val="en-AU"/>
        </w:rPr>
        <w:t>e</w:t>
      </w:r>
      <w:r w:rsidR="00DA1E7F" w:rsidRPr="00BE15B8">
        <w:rPr>
          <w:rFonts w:asciiTheme="minorHAnsi" w:hAnsiTheme="minorHAnsi"/>
          <w:sz w:val="24"/>
          <w:lang w:val="en-AU"/>
        </w:rPr>
        <w:t xml:space="preserve"> </w:t>
      </w:r>
      <w:r w:rsidRPr="00BE15B8">
        <w:rPr>
          <w:rFonts w:asciiTheme="minorHAnsi" w:hAnsiTheme="minorHAnsi"/>
          <w:sz w:val="24"/>
          <w:lang w:val="en-AU"/>
        </w:rPr>
        <w:t xml:space="preserve">international awareness </w:t>
      </w:r>
      <w:r w:rsidR="00DA1E7F">
        <w:rPr>
          <w:rFonts w:asciiTheme="minorHAnsi" w:hAnsiTheme="minorHAnsi"/>
          <w:sz w:val="24"/>
          <w:lang w:val="en-AU"/>
        </w:rPr>
        <w:t>about</w:t>
      </w:r>
      <w:r w:rsidR="00DA1E7F" w:rsidRPr="00BE15B8">
        <w:rPr>
          <w:rFonts w:asciiTheme="minorHAnsi" w:hAnsiTheme="minorHAnsi"/>
          <w:sz w:val="24"/>
          <w:lang w:val="en-AU"/>
        </w:rPr>
        <w:t xml:space="preserve"> </w:t>
      </w:r>
      <w:r w:rsidRPr="00BE15B8">
        <w:rPr>
          <w:rFonts w:asciiTheme="minorHAnsi" w:hAnsiTheme="minorHAnsi"/>
          <w:sz w:val="24"/>
          <w:lang w:val="en-AU"/>
        </w:rPr>
        <w:t xml:space="preserve">the importance of </w:t>
      </w:r>
      <w:r w:rsidR="00E569AA">
        <w:rPr>
          <w:rFonts w:asciiTheme="minorHAnsi" w:hAnsiTheme="minorHAnsi"/>
          <w:sz w:val="24"/>
          <w:lang w:val="en-AU"/>
        </w:rPr>
        <w:t>estimat</w:t>
      </w:r>
      <w:r w:rsidR="00DA1E7F">
        <w:rPr>
          <w:rFonts w:asciiTheme="minorHAnsi" w:hAnsiTheme="minorHAnsi"/>
          <w:sz w:val="24"/>
          <w:lang w:val="en-AU"/>
        </w:rPr>
        <w:t>ing</w:t>
      </w:r>
      <w:r w:rsidR="00E569AA">
        <w:rPr>
          <w:rFonts w:asciiTheme="minorHAnsi" w:hAnsiTheme="minorHAnsi"/>
          <w:sz w:val="24"/>
          <w:lang w:val="en-AU"/>
        </w:rPr>
        <w:t xml:space="preserve"> public expenditure on supply reduction initiatives</w:t>
      </w:r>
      <w:r w:rsidRPr="00BE15B8">
        <w:rPr>
          <w:rFonts w:asciiTheme="minorHAnsi" w:hAnsiTheme="minorHAnsi"/>
          <w:sz w:val="24"/>
          <w:lang w:val="en-AU"/>
        </w:rPr>
        <w:t>. Second, raise public awareness</w:t>
      </w:r>
      <w:r w:rsidR="001172A0">
        <w:rPr>
          <w:rFonts w:asciiTheme="minorHAnsi" w:hAnsiTheme="minorHAnsi"/>
          <w:sz w:val="24"/>
          <w:lang w:val="en-AU"/>
        </w:rPr>
        <w:t xml:space="preserve"> </w:t>
      </w:r>
      <w:r w:rsidRPr="00BE15B8">
        <w:rPr>
          <w:rFonts w:asciiTheme="minorHAnsi" w:hAnsiTheme="minorHAnsi"/>
          <w:sz w:val="24"/>
          <w:lang w:val="en-AU"/>
        </w:rPr>
        <w:t xml:space="preserve">of the need to </w:t>
      </w:r>
      <w:r w:rsidR="001172A0">
        <w:rPr>
          <w:rFonts w:asciiTheme="minorHAnsi" w:hAnsiTheme="minorHAnsi"/>
          <w:sz w:val="24"/>
          <w:lang w:val="en-AU"/>
        </w:rPr>
        <w:t>agree upon harmoniz</w:t>
      </w:r>
      <w:r w:rsidR="00DA1E7F">
        <w:rPr>
          <w:rFonts w:asciiTheme="minorHAnsi" w:hAnsiTheme="minorHAnsi"/>
          <w:sz w:val="24"/>
          <w:lang w:val="en-AU"/>
        </w:rPr>
        <w:t>ing</w:t>
      </w:r>
      <w:r w:rsidR="001172A0">
        <w:rPr>
          <w:rFonts w:asciiTheme="minorHAnsi" w:hAnsiTheme="minorHAnsi"/>
          <w:sz w:val="24"/>
          <w:lang w:val="en-AU"/>
        </w:rPr>
        <w:t xml:space="preserve"> definitions and </w:t>
      </w:r>
      <w:r w:rsidR="00DA1E7F">
        <w:rPr>
          <w:rFonts w:asciiTheme="minorHAnsi" w:hAnsiTheme="minorHAnsi"/>
          <w:sz w:val="24"/>
          <w:lang w:val="en-AU"/>
        </w:rPr>
        <w:t>increasing the</w:t>
      </w:r>
      <w:r w:rsidR="00DA1E7F" w:rsidRPr="00BE15B8">
        <w:rPr>
          <w:rFonts w:asciiTheme="minorHAnsi" w:hAnsiTheme="minorHAnsi"/>
          <w:sz w:val="24"/>
          <w:lang w:val="en-AU"/>
        </w:rPr>
        <w:t xml:space="preserve"> </w:t>
      </w:r>
      <w:r w:rsidRPr="00BE15B8">
        <w:rPr>
          <w:rFonts w:asciiTheme="minorHAnsi" w:hAnsiTheme="minorHAnsi"/>
          <w:sz w:val="24"/>
          <w:lang w:val="en-AU"/>
        </w:rPr>
        <w:t>availability, comparability and reliability of data</w:t>
      </w:r>
      <w:r w:rsidR="00DA1E7F">
        <w:rPr>
          <w:rFonts w:asciiTheme="minorHAnsi" w:hAnsiTheme="minorHAnsi"/>
          <w:sz w:val="24"/>
          <w:lang w:val="en-AU"/>
        </w:rPr>
        <w:t xml:space="preserve"> as well as</w:t>
      </w:r>
      <w:r w:rsidR="00E569AA">
        <w:rPr>
          <w:rFonts w:asciiTheme="minorHAnsi" w:hAnsiTheme="minorHAnsi"/>
          <w:sz w:val="24"/>
          <w:lang w:val="en-AU"/>
        </w:rPr>
        <w:t xml:space="preserve"> methods</w:t>
      </w:r>
      <w:r w:rsidRPr="00BE15B8">
        <w:rPr>
          <w:rFonts w:asciiTheme="minorHAnsi" w:hAnsiTheme="minorHAnsi"/>
          <w:sz w:val="24"/>
          <w:lang w:val="en-AU"/>
        </w:rPr>
        <w:t xml:space="preserve"> </w:t>
      </w:r>
      <w:r w:rsidR="00DA1E7F">
        <w:rPr>
          <w:rFonts w:asciiTheme="minorHAnsi" w:hAnsiTheme="minorHAnsi"/>
          <w:sz w:val="24"/>
          <w:lang w:val="en-AU"/>
        </w:rPr>
        <w:t>for</w:t>
      </w:r>
      <w:r w:rsidR="00DA1E7F" w:rsidRPr="00BE15B8">
        <w:rPr>
          <w:rFonts w:asciiTheme="minorHAnsi" w:hAnsiTheme="minorHAnsi"/>
          <w:sz w:val="24"/>
          <w:lang w:val="en-AU"/>
        </w:rPr>
        <w:t xml:space="preserve"> </w:t>
      </w:r>
      <w:r w:rsidR="001172A0">
        <w:rPr>
          <w:rFonts w:asciiTheme="minorHAnsi" w:hAnsiTheme="minorHAnsi"/>
          <w:sz w:val="24"/>
          <w:lang w:val="en-AU"/>
        </w:rPr>
        <w:t xml:space="preserve">sound </w:t>
      </w:r>
      <w:r w:rsidRPr="00BE15B8">
        <w:rPr>
          <w:rFonts w:asciiTheme="minorHAnsi" w:hAnsiTheme="minorHAnsi"/>
          <w:sz w:val="24"/>
          <w:lang w:val="en-AU"/>
        </w:rPr>
        <w:t xml:space="preserve">estimates. </w:t>
      </w:r>
      <w:r w:rsidR="00504963">
        <w:rPr>
          <w:rFonts w:asciiTheme="minorHAnsi" w:hAnsiTheme="minorHAnsi"/>
          <w:sz w:val="24"/>
          <w:lang w:val="en-AU"/>
        </w:rPr>
        <w:t>Third</w:t>
      </w:r>
      <w:r w:rsidR="00B30C8C">
        <w:rPr>
          <w:rFonts w:asciiTheme="minorHAnsi" w:hAnsiTheme="minorHAnsi"/>
          <w:sz w:val="24"/>
          <w:lang w:val="en-AU"/>
        </w:rPr>
        <w:t>,</w:t>
      </w:r>
      <w:r w:rsidR="00524FE3">
        <w:rPr>
          <w:rFonts w:asciiTheme="minorHAnsi" w:hAnsiTheme="minorHAnsi"/>
          <w:sz w:val="24"/>
          <w:lang w:val="en-AU"/>
        </w:rPr>
        <w:t xml:space="preserve"> </w:t>
      </w:r>
      <w:r w:rsidR="00DA1E7F">
        <w:rPr>
          <w:rFonts w:asciiTheme="minorHAnsi" w:hAnsiTheme="minorHAnsi"/>
          <w:sz w:val="24"/>
          <w:lang w:val="en-AU"/>
        </w:rPr>
        <w:t xml:space="preserve">contribute </w:t>
      </w:r>
      <w:r w:rsidR="00504963">
        <w:rPr>
          <w:rFonts w:asciiTheme="minorHAnsi" w:hAnsiTheme="minorHAnsi"/>
          <w:sz w:val="24"/>
          <w:lang w:val="en-AU"/>
        </w:rPr>
        <w:t>to</w:t>
      </w:r>
      <w:r w:rsidR="00DA1E7F">
        <w:rPr>
          <w:rFonts w:asciiTheme="minorHAnsi" w:hAnsiTheme="minorHAnsi"/>
          <w:sz w:val="24"/>
          <w:lang w:val="en-AU"/>
        </w:rPr>
        <w:t xml:space="preserve"> developing </w:t>
      </w:r>
      <w:r w:rsidR="007845A6">
        <w:rPr>
          <w:rFonts w:asciiTheme="minorHAnsi" w:hAnsiTheme="minorHAnsi"/>
          <w:sz w:val="24"/>
          <w:lang w:val="en-AU"/>
        </w:rPr>
        <w:t xml:space="preserve">national and </w:t>
      </w:r>
      <w:r w:rsidR="00DA1E7F">
        <w:rPr>
          <w:rFonts w:asciiTheme="minorHAnsi" w:hAnsiTheme="minorHAnsi"/>
          <w:sz w:val="24"/>
          <w:lang w:val="en-AU"/>
        </w:rPr>
        <w:t>international</w:t>
      </w:r>
      <w:r w:rsidR="00524FE3">
        <w:rPr>
          <w:rFonts w:asciiTheme="minorHAnsi" w:hAnsiTheme="minorHAnsi"/>
          <w:sz w:val="24"/>
          <w:lang w:val="en-AU"/>
        </w:rPr>
        <w:t xml:space="preserve"> </w:t>
      </w:r>
      <w:r w:rsidR="00B30C8C">
        <w:rPr>
          <w:rFonts w:asciiTheme="minorHAnsi" w:hAnsiTheme="minorHAnsi"/>
          <w:sz w:val="24"/>
          <w:lang w:val="en-AU"/>
        </w:rPr>
        <w:t xml:space="preserve">estimation </w:t>
      </w:r>
      <w:r w:rsidR="00DA1E7F">
        <w:rPr>
          <w:rFonts w:asciiTheme="minorHAnsi" w:hAnsiTheme="minorHAnsi"/>
          <w:sz w:val="24"/>
          <w:lang w:val="en-AU"/>
        </w:rPr>
        <w:t>practices</w:t>
      </w:r>
      <w:r w:rsidR="00B30C8C">
        <w:rPr>
          <w:rFonts w:asciiTheme="minorHAnsi" w:hAnsiTheme="minorHAnsi"/>
          <w:sz w:val="24"/>
          <w:lang w:val="en-AU"/>
        </w:rPr>
        <w:t xml:space="preserve"> to obtain</w:t>
      </w:r>
      <w:r w:rsidR="00DA1E7F">
        <w:rPr>
          <w:rFonts w:asciiTheme="minorHAnsi" w:hAnsiTheme="minorHAnsi"/>
          <w:sz w:val="24"/>
          <w:lang w:val="en-AU"/>
        </w:rPr>
        <w:t xml:space="preserve"> </w:t>
      </w:r>
      <w:r w:rsidR="007845A6">
        <w:rPr>
          <w:rFonts w:asciiTheme="minorHAnsi" w:hAnsiTheme="minorHAnsi"/>
          <w:sz w:val="24"/>
          <w:lang w:val="en-AU"/>
        </w:rPr>
        <w:t>accurate, complete</w:t>
      </w:r>
      <w:r w:rsidR="00084CCD">
        <w:rPr>
          <w:rFonts w:asciiTheme="minorHAnsi" w:hAnsiTheme="minorHAnsi"/>
          <w:sz w:val="24"/>
          <w:lang w:val="en-AU"/>
        </w:rPr>
        <w:t xml:space="preserve">, </w:t>
      </w:r>
      <w:r w:rsidR="00DA1E7F">
        <w:rPr>
          <w:rFonts w:asciiTheme="minorHAnsi" w:hAnsiTheme="minorHAnsi"/>
          <w:sz w:val="24"/>
          <w:lang w:val="en-AU"/>
        </w:rPr>
        <w:t>reliable and comparable</w:t>
      </w:r>
      <w:r w:rsidR="00524FE3">
        <w:rPr>
          <w:rFonts w:asciiTheme="minorHAnsi" w:hAnsiTheme="minorHAnsi"/>
          <w:sz w:val="24"/>
          <w:lang w:val="en-AU"/>
        </w:rPr>
        <w:t xml:space="preserve"> </w:t>
      </w:r>
      <w:r w:rsidR="00DA1E7F">
        <w:rPr>
          <w:rFonts w:asciiTheme="minorHAnsi" w:hAnsiTheme="minorHAnsi"/>
          <w:sz w:val="24"/>
          <w:lang w:val="en-AU"/>
        </w:rPr>
        <w:t xml:space="preserve">drug </w:t>
      </w:r>
      <w:r w:rsidR="00524FE3">
        <w:rPr>
          <w:rFonts w:asciiTheme="minorHAnsi" w:hAnsiTheme="minorHAnsi"/>
          <w:sz w:val="24"/>
          <w:lang w:val="en-AU"/>
        </w:rPr>
        <w:t>policy evaluations.</w:t>
      </w:r>
    </w:p>
    <w:p w:rsidR="00012746" w:rsidRPr="00BE15B8" w:rsidRDefault="00012746" w:rsidP="00B34A00">
      <w:pPr>
        <w:jc w:val="both"/>
        <w:rPr>
          <w:rFonts w:asciiTheme="minorHAnsi" w:hAnsiTheme="minorHAnsi"/>
          <w:sz w:val="24"/>
          <w:lang w:val="en-AU"/>
        </w:rPr>
      </w:pPr>
      <w:r w:rsidRPr="00BE15B8">
        <w:rPr>
          <w:rFonts w:asciiTheme="minorHAnsi" w:hAnsiTheme="minorHAnsi"/>
          <w:sz w:val="24"/>
          <w:lang w:val="en-AU"/>
        </w:rPr>
        <w:t xml:space="preserve">The target audience include </w:t>
      </w:r>
      <w:r w:rsidR="00B34A00" w:rsidRPr="00BE15B8">
        <w:rPr>
          <w:rFonts w:asciiTheme="minorHAnsi" w:hAnsiTheme="minorHAnsi"/>
          <w:sz w:val="24"/>
          <w:lang w:val="en-AU"/>
        </w:rPr>
        <w:t>officials involved in the evaluation of drug policy; those wanting to evaluate drug policy priorities, develop drug policy strategies and action plans</w:t>
      </w:r>
      <w:r w:rsidR="00DA1E7F">
        <w:rPr>
          <w:rFonts w:asciiTheme="minorHAnsi" w:hAnsiTheme="minorHAnsi"/>
          <w:sz w:val="24"/>
          <w:lang w:val="en-AU"/>
        </w:rPr>
        <w:t xml:space="preserve"> and</w:t>
      </w:r>
      <w:r w:rsidR="00DA1E7F" w:rsidRPr="00BE15B8">
        <w:rPr>
          <w:rFonts w:asciiTheme="minorHAnsi" w:hAnsiTheme="minorHAnsi"/>
          <w:sz w:val="24"/>
          <w:lang w:val="en-AU"/>
        </w:rPr>
        <w:t xml:space="preserve"> </w:t>
      </w:r>
      <w:r w:rsidR="00524FE3">
        <w:rPr>
          <w:rFonts w:asciiTheme="minorHAnsi" w:hAnsiTheme="minorHAnsi"/>
          <w:sz w:val="24"/>
          <w:lang w:val="en-AU"/>
        </w:rPr>
        <w:t xml:space="preserve">analyse their economic, social and political consequences; </w:t>
      </w:r>
      <w:r w:rsidRPr="00BE15B8">
        <w:rPr>
          <w:rFonts w:asciiTheme="minorHAnsi" w:hAnsiTheme="minorHAnsi"/>
          <w:sz w:val="24"/>
          <w:lang w:val="en-AU"/>
        </w:rPr>
        <w:t>accounting authorities; entities seeking funds to finance their</w:t>
      </w:r>
      <w:r w:rsidR="00B34A00" w:rsidRPr="00BE15B8">
        <w:rPr>
          <w:rFonts w:asciiTheme="minorHAnsi" w:hAnsiTheme="minorHAnsi"/>
          <w:sz w:val="24"/>
          <w:lang w:val="en-AU"/>
        </w:rPr>
        <w:t xml:space="preserve"> service provision; and researchers</w:t>
      </w:r>
      <w:r w:rsidRPr="00BE15B8">
        <w:rPr>
          <w:rFonts w:asciiTheme="minorHAnsi" w:hAnsiTheme="minorHAnsi"/>
          <w:sz w:val="24"/>
          <w:lang w:val="en-AU"/>
        </w:rPr>
        <w:t>.</w:t>
      </w:r>
    </w:p>
    <w:p w:rsidR="00644AF8" w:rsidRDefault="00644AF8" w:rsidP="00EA1934">
      <w:pPr>
        <w:spacing w:after="0"/>
        <w:jc w:val="both"/>
        <w:rPr>
          <w:rFonts w:asciiTheme="minorHAnsi" w:hAnsiTheme="minorHAnsi"/>
          <w:b/>
          <w:sz w:val="28"/>
          <w:szCs w:val="28"/>
        </w:rPr>
      </w:pPr>
    </w:p>
    <w:p w:rsidR="00644AF8" w:rsidRDefault="00644AF8" w:rsidP="00EA1934">
      <w:pPr>
        <w:spacing w:after="0"/>
        <w:jc w:val="both"/>
        <w:rPr>
          <w:rFonts w:asciiTheme="minorHAnsi" w:hAnsiTheme="minorHAnsi"/>
          <w:b/>
          <w:sz w:val="28"/>
          <w:szCs w:val="28"/>
        </w:rPr>
      </w:pPr>
    </w:p>
    <w:p w:rsidR="00711219" w:rsidRPr="00BE15B8" w:rsidRDefault="00711219" w:rsidP="002428D9">
      <w:pPr>
        <w:pStyle w:val="Overskrift1"/>
      </w:pPr>
      <w:r w:rsidRPr="00BE15B8">
        <w:t>Introduction</w:t>
      </w:r>
    </w:p>
    <w:p w:rsidR="005F04B4" w:rsidRDefault="002D3CAA" w:rsidP="00DB21D1">
      <w:pPr>
        <w:jc w:val="both"/>
        <w:rPr>
          <w:rFonts w:asciiTheme="minorHAnsi" w:hAnsiTheme="minorHAnsi"/>
          <w:bCs/>
          <w:color w:val="000000" w:themeColor="text1"/>
          <w:sz w:val="24"/>
          <w:szCs w:val="24"/>
        </w:rPr>
      </w:pPr>
      <w:r>
        <w:rPr>
          <w:rFonts w:cs="Arial"/>
          <w:color w:val="000000" w:themeColor="text1"/>
          <w:sz w:val="24"/>
        </w:rPr>
        <w:t xml:space="preserve">Most European countries have a national drug policy </w:t>
      </w:r>
      <w:r w:rsidR="00FE7F5C">
        <w:rPr>
          <w:rFonts w:cs="Arial"/>
          <w:color w:val="000000" w:themeColor="text1"/>
          <w:sz w:val="24"/>
        </w:rPr>
        <w:t>presented</w:t>
      </w:r>
      <w:r>
        <w:rPr>
          <w:rFonts w:cs="Arial"/>
          <w:color w:val="000000" w:themeColor="text1"/>
          <w:sz w:val="24"/>
        </w:rPr>
        <w:t xml:space="preserve"> in a drug strategy document</w:t>
      </w:r>
      <w:r w:rsidR="00084CCD">
        <w:rPr>
          <w:rFonts w:cs="Arial"/>
          <w:color w:val="000000" w:themeColor="text1"/>
          <w:sz w:val="24"/>
        </w:rPr>
        <w:t xml:space="preserve"> </w:t>
      </w:r>
      <w:r w:rsidR="00084CCD" w:rsidRPr="00273197">
        <w:rPr>
          <w:rFonts w:asciiTheme="minorHAnsi" w:hAnsiTheme="minorHAnsi" w:cs="Arial"/>
          <w:color w:val="000000" w:themeColor="text1"/>
          <w:sz w:val="24"/>
        </w:rPr>
        <w:t>(EMCDDA, 2015)</w:t>
      </w:r>
      <w:r>
        <w:rPr>
          <w:rFonts w:cs="Arial"/>
          <w:color w:val="000000" w:themeColor="text1"/>
          <w:sz w:val="24"/>
        </w:rPr>
        <w:t>. N</w:t>
      </w:r>
      <w:r w:rsidR="0080744E" w:rsidRPr="00BE15B8">
        <w:rPr>
          <w:rFonts w:asciiTheme="minorHAnsi" w:hAnsiTheme="minorHAnsi"/>
          <w:bCs/>
          <w:color w:val="000000" w:themeColor="text1"/>
          <w:sz w:val="24"/>
          <w:szCs w:val="24"/>
        </w:rPr>
        <w:t>ational drug strategies</w:t>
      </w:r>
      <w:r w:rsidR="003745BD" w:rsidRPr="00BE15B8">
        <w:rPr>
          <w:rFonts w:asciiTheme="minorHAnsi" w:hAnsiTheme="minorHAnsi"/>
          <w:bCs/>
          <w:color w:val="000000" w:themeColor="text1"/>
          <w:sz w:val="24"/>
          <w:szCs w:val="24"/>
        </w:rPr>
        <w:t xml:space="preserve"> </w:t>
      </w:r>
      <w:r w:rsidR="007B2ED2">
        <w:rPr>
          <w:rFonts w:asciiTheme="minorHAnsi" w:hAnsiTheme="minorHAnsi"/>
          <w:bCs/>
          <w:color w:val="000000" w:themeColor="text1"/>
          <w:sz w:val="24"/>
          <w:szCs w:val="24"/>
        </w:rPr>
        <w:t xml:space="preserve">tend to reflect </w:t>
      </w:r>
      <w:r w:rsidR="006D4F94">
        <w:rPr>
          <w:rFonts w:asciiTheme="minorHAnsi" w:hAnsiTheme="minorHAnsi"/>
          <w:bCs/>
          <w:color w:val="000000" w:themeColor="text1"/>
          <w:sz w:val="24"/>
          <w:szCs w:val="24"/>
        </w:rPr>
        <w:t>a</w:t>
      </w:r>
      <w:r w:rsidR="007B2ED2">
        <w:rPr>
          <w:rFonts w:asciiTheme="minorHAnsi" w:hAnsiTheme="minorHAnsi"/>
          <w:bCs/>
          <w:color w:val="000000" w:themeColor="text1"/>
          <w:sz w:val="24"/>
          <w:szCs w:val="24"/>
        </w:rPr>
        <w:t xml:space="preserve"> balanced approach between drug demand and drug supply reduction</w:t>
      </w:r>
      <w:r w:rsidR="00483D70">
        <w:rPr>
          <w:rFonts w:asciiTheme="minorHAnsi" w:hAnsiTheme="minorHAnsi"/>
          <w:bCs/>
          <w:color w:val="000000" w:themeColor="text1"/>
          <w:sz w:val="24"/>
          <w:szCs w:val="24"/>
        </w:rPr>
        <w:t xml:space="preserve"> (EMCDDA, 2016)</w:t>
      </w:r>
      <w:r w:rsidR="0080744E" w:rsidRPr="00BE15B8">
        <w:rPr>
          <w:rFonts w:asciiTheme="minorHAnsi" w:hAnsiTheme="minorHAnsi"/>
          <w:bCs/>
          <w:color w:val="000000" w:themeColor="text1"/>
          <w:sz w:val="24"/>
          <w:szCs w:val="24"/>
        </w:rPr>
        <w:t>.</w:t>
      </w:r>
      <w:r w:rsidR="00BE15B8" w:rsidRPr="00BE15B8">
        <w:rPr>
          <w:rFonts w:asciiTheme="minorHAnsi" w:hAnsiTheme="minorHAnsi"/>
          <w:sz w:val="24"/>
          <w:szCs w:val="24"/>
        </w:rPr>
        <w:t xml:space="preserve"> </w:t>
      </w:r>
      <w:r w:rsidR="00483D70">
        <w:rPr>
          <w:rFonts w:asciiTheme="minorHAnsi" w:hAnsiTheme="minorHAnsi"/>
          <w:sz w:val="24"/>
          <w:szCs w:val="24"/>
        </w:rPr>
        <w:t>A</w:t>
      </w:r>
      <w:r w:rsidR="00FD53FC">
        <w:rPr>
          <w:rFonts w:asciiTheme="minorHAnsi" w:hAnsiTheme="minorHAnsi"/>
          <w:bCs/>
          <w:color w:val="000000" w:themeColor="text1"/>
          <w:sz w:val="24"/>
          <w:szCs w:val="24"/>
        </w:rPr>
        <w:t>n</w:t>
      </w:r>
      <w:r w:rsidR="0014097D">
        <w:rPr>
          <w:rFonts w:asciiTheme="minorHAnsi" w:hAnsiTheme="minorHAnsi"/>
          <w:bCs/>
          <w:color w:val="000000" w:themeColor="text1"/>
          <w:sz w:val="24"/>
          <w:szCs w:val="24"/>
        </w:rPr>
        <w:t xml:space="preserve"> </w:t>
      </w:r>
      <w:r w:rsidR="0014097D" w:rsidRPr="00BE15B8">
        <w:rPr>
          <w:rFonts w:asciiTheme="minorHAnsi" w:hAnsiTheme="minorHAnsi"/>
          <w:sz w:val="24"/>
          <w:szCs w:val="24"/>
        </w:rPr>
        <w:t>optimal balance</w:t>
      </w:r>
      <w:r w:rsidR="00483D70">
        <w:rPr>
          <w:rFonts w:asciiTheme="minorHAnsi" w:hAnsiTheme="minorHAnsi"/>
          <w:sz w:val="24"/>
          <w:szCs w:val="24"/>
        </w:rPr>
        <w:t>, however,</w:t>
      </w:r>
      <w:r w:rsidR="0014097D" w:rsidRPr="00BE15B8">
        <w:rPr>
          <w:rFonts w:asciiTheme="minorHAnsi" w:hAnsiTheme="minorHAnsi"/>
          <w:sz w:val="24"/>
          <w:szCs w:val="24"/>
        </w:rPr>
        <w:t xml:space="preserve"> </w:t>
      </w:r>
      <w:r w:rsidR="00FE7F5C">
        <w:rPr>
          <w:rFonts w:asciiTheme="minorHAnsi" w:hAnsiTheme="minorHAnsi"/>
          <w:bCs/>
          <w:color w:val="000000" w:themeColor="text1"/>
          <w:sz w:val="24"/>
          <w:szCs w:val="24"/>
        </w:rPr>
        <w:t>may</w:t>
      </w:r>
      <w:r w:rsidR="00FD53FC">
        <w:rPr>
          <w:rFonts w:asciiTheme="minorHAnsi" w:hAnsiTheme="minorHAnsi"/>
          <w:bCs/>
          <w:color w:val="000000" w:themeColor="text1"/>
          <w:sz w:val="24"/>
          <w:szCs w:val="24"/>
        </w:rPr>
        <w:t xml:space="preserve"> </w:t>
      </w:r>
      <w:r w:rsidR="00BE15B8" w:rsidRPr="00483D70">
        <w:rPr>
          <w:rFonts w:asciiTheme="minorHAnsi" w:hAnsiTheme="minorHAnsi"/>
          <w:bCs/>
          <w:color w:val="000000" w:themeColor="text1"/>
          <w:sz w:val="24"/>
          <w:szCs w:val="24"/>
        </w:rPr>
        <w:t>not</w:t>
      </w:r>
      <w:r w:rsidR="00BE15B8" w:rsidRPr="00BE15B8">
        <w:rPr>
          <w:rFonts w:asciiTheme="minorHAnsi" w:hAnsiTheme="minorHAnsi"/>
          <w:bCs/>
          <w:color w:val="000000" w:themeColor="text1"/>
          <w:sz w:val="24"/>
          <w:szCs w:val="24"/>
        </w:rPr>
        <w:t xml:space="preserve"> imply that </w:t>
      </w:r>
      <w:r w:rsidR="0014097D">
        <w:rPr>
          <w:rFonts w:asciiTheme="minorHAnsi" w:hAnsiTheme="minorHAnsi"/>
          <w:bCs/>
          <w:color w:val="000000" w:themeColor="text1"/>
          <w:sz w:val="24"/>
          <w:szCs w:val="24"/>
        </w:rPr>
        <w:t xml:space="preserve">the two </w:t>
      </w:r>
      <w:r w:rsidR="001C57F7">
        <w:rPr>
          <w:rFonts w:asciiTheme="minorHAnsi" w:hAnsiTheme="minorHAnsi"/>
          <w:bCs/>
          <w:color w:val="000000" w:themeColor="text1"/>
          <w:sz w:val="24"/>
          <w:szCs w:val="24"/>
        </w:rPr>
        <w:t>approaches</w:t>
      </w:r>
      <w:r w:rsidR="0014097D">
        <w:rPr>
          <w:rFonts w:asciiTheme="minorHAnsi" w:hAnsiTheme="minorHAnsi"/>
          <w:bCs/>
          <w:color w:val="000000" w:themeColor="text1"/>
          <w:sz w:val="24"/>
          <w:szCs w:val="24"/>
        </w:rPr>
        <w:t xml:space="preserve"> receive </w:t>
      </w:r>
      <w:r w:rsidR="00BE15B8" w:rsidRPr="00BE15B8">
        <w:rPr>
          <w:rFonts w:asciiTheme="minorHAnsi" w:hAnsiTheme="minorHAnsi"/>
          <w:bCs/>
          <w:color w:val="000000" w:themeColor="text1"/>
          <w:sz w:val="24"/>
          <w:szCs w:val="24"/>
        </w:rPr>
        <w:t>an equal share of resources and attention</w:t>
      </w:r>
      <w:r w:rsidR="00FD53FC">
        <w:rPr>
          <w:rFonts w:asciiTheme="minorHAnsi" w:hAnsiTheme="minorHAnsi"/>
          <w:bCs/>
          <w:color w:val="000000" w:themeColor="text1"/>
          <w:sz w:val="24"/>
          <w:szCs w:val="24"/>
        </w:rPr>
        <w:t xml:space="preserve"> but </w:t>
      </w:r>
      <w:r w:rsidR="006D4F94">
        <w:rPr>
          <w:rFonts w:asciiTheme="minorHAnsi" w:hAnsiTheme="minorHAnsi"/>
          <w:bCs/>
          <w:color w:val="000000" w:themeColor="text1"/>
          <w:sz w:val="24"/>
          <w:szCs w:val="24"/>
        </w:rPr>
        <w:t xml:space="preserve">will </w:t>
      </w:r>
      <w:r w:rsidR="00FD53FC">
        <w:rPr>
          <w:rFonts w:asciiTheme="minorHAnsi" w:hAnsiTheme="minorHAnsi"/>
          <w:bCs/>
          <w:color w:val="000000" w:themeColor="text1"/>
          <w:sz w:val="24"/>
          <w:szCs w:val="24"/>
        </w:rPr>
        <w:t>depend on country specific priorities and aims for the different sectors of drug policy</w:t>
      </w:r>
      <w:r w:rsidR="006D4F94">
        <w:rPr>
          <w:rFonts w:asciiTheme="minorHAnsi" w:hAnsiTheme="minorHAnsi"/>
          <w:bCs/>
          <w:color w:val="000000" w:themeColor="text1"/>
          <w:sz w:val="24"/>
          <w:szCs w:val="24"/>
        </w:rPr>
        <w:t>,</w:t>
      </w:r>
      <w:r w:rsidR="008A3BB9">
        <w:rPr>
          <w:rFonts w:asciiTheme="minorHAnsi" w:hAnsiTheme="minorHAnsi"/>
          <w:bCs/>
          <w:color w:val="000000" w:themeColor="text1"/>
          <w:sz w:val="24"/>
          <w:szCs w:val="24"/>
        </w:rPr>
        <w:t xml:space="preserve"> as well as on the relative price of implementing </w:t>
      </w:r>
      <w:r w:rsidR="00206F09">
        <w:rPr>
          <w:rFonts w:asciiTheme="minorHAnsi" w:hAnsiTheme="minorHAnsi"/>
          <w:bCs/>
          <w:color w:val="000000" w:themeColor="text1"/>
          <w:sz w:val="24"/>
          <w:szCs w:val="24"/>
        </w:rPr>
        <w:t>each</w:t>
      </w:r>
      <w:r w:rsidR="008A3BB9">
        <w:rPr>
          <w:rFonts w:asciiTheme="minorHAnsi" w:hAnsiTheme="minorHAnsi"/>
          <w:bCs/>
          <w:color w:val="000000" w:themeColor="text1"/>
          <w:sz w:val="24"/>
          <w:szCs w:val="24"/>
        </w:rPr>
        <w:t xml:space="preserve"> activit</w:t>
      </w:r>
      <w:r w:rsidR="00206F09">
        <w:rPr>
          <w:rFonts w:asciiTheme="minorHAnsi" w:hAnsiTheme="minorHAnsi"/>
          <w:bCs/>
          <w:color w:val="000000" w:themeColor="text1"/>
          <w:sz w:val="24"/>
          <w:szCs w:val="24"/>
        </w:rPr>
        <w:t>y</w:t>
      </w:r>
      <w:r w:rsidR="008A3BB9">
        <w:rPr>
          <w:rFonts w:asciiTheme="minorHAnsi" w:hAnsiTheme="minorHAnsi"/>
          <w:bCs/>
          <w:color w:val="000000" w:themeColor="text1"/>
          <w:sz w:val="24"/>
          <w:szCs w:val="24"/>
        </w:rPr>
        <w:t xml:space="preserve"> in a cost-</w:t>
      </w:r>
      <w:r w:rsidR="006D4F94">
        <w:rPr>
          <w:rFonts w:asciiTheme="minorHAnsi" w:hAnsiTheme="minorHAnsi"/>
          <w:bCs/>
          <w:color w:val="000000" w:themeColor="text1"/>
          <w:sz w:val="24"/>
          <w:szCs w:val="24"/>
        </w:rPr>
        <w:t>effectively</w:t>
      </w:r>
      <w:r w:rsidR="008A3BB9">
        <w:rPr>
          <w:rFonts w:asciiTheme="minorHAnsi" w:hAnsiTheme="minorHAnsi"/>
          <w:bCs/>
          <w:color w:val="000000" w:themeColor="text1"/>
          <w:sz w:val="24"/>
          <w:szCs w:val="24"/>
        </w:rPr>
        <w:t xml:space="preserve"> manner</w:t>
      </w:r>
      <w:r w:rsidR="00BE15B8" w:rsidRPr="00BE15B8">
        <w:rPr>
          <w:rFonts w:asciiTheme="minorHAnsi" w:hAnsiTheme="minorHAnsi"/>
          <w:bCs/>
          <w:color w:val="000000" w:themeColor="text1"/>
          <w:sz w:val="24"/>
          <w:szCs w:val="24"/>
        </w:rPr>
        <w:t>.</w:t>
      </w:r>
      <w:r w:rsidR="0080744E" w:rsidRPr="00BE15B8">
        <w:rPr>
          <w:rFonts w:asciiTheme="minorHAnsi" w:hAnsiTheme="minorHAnsi"/>
          <w:bCs/>
          <w:color w:val="000000" w:themeColor="text1"/>
          <w:sz w:val="24"/>
          <w:szCs w:val="24"/>
        </w:rPr>
        <w:t xml:space="preserve"> </w:t>
      </w:r>
    </w:p>
    <w:p w:rsidR="00B45810" w:rsidRDefault="00FE7F5C" w:rsidP="00B45810">
      <w:pPr>
        <w:autoSpaceDE w:val="0"/>
        <w:autoSpaceDN w:val="0"/>
        <w:adjustRightInd w:val="0"/>
        <w:spacing w:before="240"/>
        <w:jc w:val="both"/>
        <w:rPr>
          <w:rFonts w:cs="Arial"/>
          <w:sz w:val="24"/>
          <w:szCs w:val="24"/>
        </w:rPr>
      </w:pPr>
      <w:r w:rsidRPr="00C701B7">
        <w:rPr>
          <w:rFonts w:cs="Arial"/>
          <w:color w:val="000000" w:themeColor="text1"/>
          <w:sz w:val="24"/>
        </w:rPr>
        <w:t>S</w:t>
      </w:r>
      <w:r w:rsidR="00B45810" w:rsidRPr="00C701B7">
        <w:rPr>
          <w:rFonts w:cs="Arial"/>
          <w:color w:val="000000" w:themeColor="text1"/>
          <w:sz w:val="24"/>
        </w:rPr>
        <w:t xml:space="preserve">upply reduction is </w:t>
      </w:r>
      <w:r w:rsidR="00C701B7" w:rsidRPr="00C701B7">
        <w:rPr>
          <w:rFonts w:cs="Arial"/>
          <w:color w:val="000000" w:themeColor="text1"/>
          <w:sz w:val="24"/>
        </w:rPr>
        <w:t>often</w:t>
      </w:r>
      <w:r w:rsidRPr="00C701B7">
        <w:rPr>
          <w:rFonts w:cs="Arial"/>
          <w:color w:val="000000" w:themeColor="text1"/>
          <w:sz w:val="24"/>
        </w:rPr>
        <w:t xml:space="preserve"> </w:t>
      </w:r>
      <w:r w:rsidR="00B45810" w:rsidRPr="00C701B7">
        <w:rPr>
          <w:rFonts w:cs="Arial"/>
          <w:color w:val="000000" w:themeColor="text1"/>
          <w:sz w:val="24"/>
        </w:rPr>
        <w:t xml:space="preserve">the main approach </w:t>
      </w:r>
      <w:r w:rsidR="00C701B7" w:rsidRPr="00C701B7">
        <w:rPr>
          <w:rFonts w:cs="Arial"/>
          <w:color w:val="000000" w:themeColor="text1"/>
          <w:sz w:val="24"/>
        </w:rPr>
        <w:t xml:space="preserve">used </w:t>
      </w:r>
      <w:r w:rsidR="00B45810" w:rsidRPr="00C701B7">
        <w:rPr>
          <w:rFonts w:cs="Arial"/>
          <w:color w:val="000000" w:themeColor="text1"/>
          <w:sz w:val="24"/>
        </w:rPr>
        <w:t xml:space="preserve">for addressing the </w:t>
      </w:r>
      <w:r w:rsidR="00B45810" w:rsidRPr="00C701B7">
        <w:rPr>
          <w:rFonts w:cs="Arial"/>
          <w:color w:val="000000" w:themeColor="text1"/>
          <w:sz w:val="24"/>
        </w:rPr>
        <w:t xml:space="preserve">drug problem. Still, efforts aiming at reducing the demand (mainly prevention and treatment measures) are </w:t>
      </w:r>
      <w:r w:rsidR="00056D8E" w:rsidRPr="00C701B7">
        <w:rPr>
          <w:rFonts w:cs="Arial"/>
          <w:color w:val="000000" w:themeColor="text1"/>
          <w:sz w:val="24"/>
        </w:rPr>
        <w:t xml:space="preserve">also </w:t>
      </w:r>
      <w:r w:rsidR="00B45810" w:rsidRPr="00C701B7">
        <w:rPr>
          <w:rFonts w:cs="Arial"/>
          <w:color w:val="000000" w:themeColor="text1"/>
          <w:sz w:val="24"/>
        </w:rPr>
        <w:t xml:space="preserve">important elements, and harm reduction initiatives have gained importance over the years. </w:t>
      </w:r>
      <w:r w:rsidR="00056D8E" w:rsidRPr="00C701B7">
        <w:rPr>
          <w:rFonts w:cs="Arial"/>
          <w:color w:val="000000" w:themeColor="text1"/>
          <w:sz w:val="24"/>
        </w:rPr>
        <w:t xml:space="preserve">Furthermore, </w:t>
      </w:r>
      <w:r w:rsidR="00056D8E" w:rsidRPr="00C701B7">
        <w:rPr>
          <w:rFonts w:cs="Arial"/>
          <w:sz w:val="24"/>
          <w:szCs w:val="24"/>
        </w:rPr>
        <w:t xml:space="preserve">the </w:t>
      </w:r>
      <w:r w:rsidR="00B45810" w:rsidRPr="00C701B7">
        <w:rPr>
          <w:rFonts w:cs="Arial"/>
          <w:sz w:val="24"/>
          <w:szCs w:val="24"/>
        </w:rPr>
        <w:t xml:space="preserve">effects of supply and demand reduction efforts </w:t>
      </w:r>
      <w:r w:rsidR="00F72D8C" w:rsidRPr="00C701B7">
        <w:rPr>
          <w:rFonts w:cs="Arial"/>
          <w:sz w:val="24"/>
          <w:szCs w:val="24"/>
        </w:rPr>
        <w:t xml:space="preserve">are </w:t>
      </w:r>
      <w:r w:rsidR="00B45810" w:rsidRPr="00C701B7">
        <w:rPr>
          <w:rFonts w:cs="Arial"/>
          <w:sz w:val="24"/>
          <w:szCs w:val="24"/>
        </w:rPr>
        <w:t xml:space="preserve">often interrelated. For instance, successful reduction in drug availability </w:t>
      </w:r>
      <w:r w:rsidR="00D80E3C" w:rsidRPr="00C701B7">
        <w:rPr>
          <w:rFonts w:cs="Arial"/>
          <w:sz w:val="24"/>
          <w:szCs w:val="24"/>
        </w:rPr>
        <w:t>may influence</w:t>
      </w:r>
      <w:r w:rsidR="00B45810" w:rsidRPr="00C701B7">
        <w:rPr>
          <w:rFonts w:cs="Arial"/>
          <w:sz w:val="24"/>
          <w:szCs w:val="24"/>
        </w:rPr>
        <w:t xml:space="preserve"> </w:t>
      </w:r>
      <w:r w:rsidR="006B4EBE" w:rsidRPr="00C701B7">
        <w:rPr>
          <w:rFonts w:cs="Arial"/>
          <w:sz w:val="24"/>
          <w:szCs w:val="24"/>
        </w:rPr>
        <w:t xml:space="preserve">the </w:t>
      </w:r>
      <w:r w:rsidR="000F6A5B" w:rsidRPr="00C701B7">
        <w:rPr>
          <w:rFonts w:cs="Arial"/>
          <w:sz w:val="24"/>
          <w:szCs w:val="24"/>
        </w:rPr>
        <w:t>consumption</w:t>
      </w:r>
      <w:r w:rsidR="006B4EBE" w:rsidRPr="00C701B7">
        <w:rPr>
          <w:rFonts w:cs="Arial"/>
          <w:sz w:val="24"/>
          <w:szCs w:val="24"/>
        </w:rPr>
        <w:t xml:space="preserve"> of </w:t>
      </w:r>
      <w:r w:rsidR="00B45810" w:rsidRPr="00C701B7">
        <w:rPr>
          <w:rFonts w:cs="Arial"/>
          <w:sz w:val="24"/>
          <w:szCs w:val="24"/>
        </w:rPr>
        <w:t>drug</w:t>
      </w:r>
      <w:r w:rsidR="006B4EBE" w:rsidRPr="00C701B7">
        <w:rPr>
          <w:rFonts w:cs="Arial"/>
          <w:sz w:val="24"/>
          <w:szCs w:val="24"/>
        </w:rPr>
        <w:t>s</w:t>
      </w:r>
      <w:r w:rsidR="00766E54" w:rsidRPr="00C701B7">
        <w:rPr>
          <w:rFonts w:cs="Arial"/>
          <w:sz w:val="24"/>
          <w:szCs w:val="24"/>
        </w:rPr>
        <w:t xml:space="preserve"> and by that affect also</w:t>
      </w:r>
      <w:r w:rsidR="00B45810" w:rsidRPr="00C701B7">
        <w:rPr>
          <w:rFonts w:cs="Arial"/>
          <w:sz w:val="24"/>
          <w:szCs w:val="24"/>
        </w:rPr>
        <w:t xml:space="preserve"> problem drug use and adverse drug use consequences.</w:t>
      </w:r>
      <w:r w:rsidR="00B45810">
        <w:rPr>
          <w:rFonts w:cs="Arial"/>
          <w:sz w:val="24"/>
          <w:szCs w:val="24"/>
        </w:rPr>
        <w:t xml:space="preserve"> </w:t>
      </w:r>
    </w:p>
    <w:p w:rsidR="005F04B4" w:rsidRPr="0081271E" w:rsidRDefault="002D3CAA" w:rsidP="00D80E3C">
      <w:pPr>
        <w:autoSpaceDE w:val="0"/>
        <w:autoSpaceDN w:val="0"/>
        <w:adjustRightInd w:val="0"/>
        <w:spacing w:before="240"/>
        <w:jc w:val="both"/>
        <w:rPr>
          <w:rFonts w:cs="AdvP497E2"/>
          <w:color w:val="000000" w:themeColor="text1"/>
          <w:sz w:val="24"/>
          <w:szCs w:val="24"/>
        </w:rPr>
      </w:pPr>
      <w:r>
        <w:rPr>
          <w:rFonts w:cs="Arial"/>
          <w:color w:val="000000" w:themeColor="text1"/>
          <w:sz w:val="24"/>
        </w:rPr>
        <w:t>The overarching objective of supply reduction is a measurable reduction of the availability of illicit drugs</w:t>
      </w:r>
      <w:r w:rsidR="009A7126">
        <w:rPr>
          <w:rFonts w:cs="Arial"/>
          <w:color w:val="000000" w:themeColor="text1"/>
          <w:sz w:val="24"/>
        </w:rPr>
        <w:t xml:space="preserve">. </w:t>
      </w:r>
      <w:r w:rsidR="009A7126" w:rsidRPr="00B45810">
        <w:rPr>
          <w:rFonts w:cs="Arial"/>
          <w:color w:val="000000" w:themeColor="text1"/>
          <w:sz w:val="24"/>
        </w:rPr>
        <w:t xml:space="preserve">Supply reduction </w:t>
      </w:r>
      <w:r w:rsidR="009A7126">
        <w:rPr>
          <w:rFonts w:cs="Arial"/>
          <w:color w:val="000000" w:themeColor="text1"/>
          <w:sz w:val="24"/>
        </w:rPr>
        <w:t xml:space="preserve">initiatives comprise </w:t>
      </w:r>
      <w:r w:rsidR="009A7126" w:rsidRPr="00193A65">
        <w:rPr>
          <w:sz w:val="24"/>
          <w:szCs w:val="24"/>
        </w:rPr>
        <w:t>the</w:t>
      </w:r>
      <w:r w:rsidR="009A7126" w:rsidRPr="00193A65">
        <w:rPr>
          <w:rFonts w:eastAsia="Open Sans" w:cstheme="minorHAnsi"/>
          <w:sz w:val="24"/>
          <w:szCs w:val="24"/>
        </w:rPr>
        <w:t xml:space="preserve"> whole system of laws, regulatory measures, courses of action and funding priorities concerning illicit drugs put into effect by a government or its representatives</w:t>
      </w:r>
      <w:r w:rsidR="009A7126">
        <w:rPr>
          <w:rFonts w:eastAsia="Open Sans" w:cstheme="minorHAnsi"/>
          <w:sz w:val="24"/>
          <w:szCs w:val="24"/>
        </w:rPr>
        <w:t xml:space="preserve"> (law enforcement officers such as police and customs officers, judges, prison guards etc.). </w:t>
      </w:r>
      <w:r w:rsidR="00C701B7">
        <w:rPr>
          <w:rFonts w:eastAsia="Open Sans" w:cstheme="minorHAnsi"/>
          <w:sz w:val="24"/>
          <w:szCs w:val="24"/>
        </w:rPr>
        <w:t>A reduction in drug availability is aimed for through</w:t>
      </w:r>
      <w:r w:rsidR="00D209FA">
        <w:rPr>
          <w:rFonts w:cs="Arial"/>
          <w:color w:val="000000" w:themeColor="text1"/>
          <w:sz w:val="24"/>
        </w:rPr>
        <w:t xml:space="preserve"> </w:t>
      </w:r>
      <w:r>
        <w:rPr>
          <w:rFonts w:cs="Arial"/>
          <w:color w:val="000000" w:themeColor="text1"/>
          <w:sz w:val="24"/>
        </w:rPr>
        <w:t>disruption of illicit drug trafficking; dismantling of the organized crime organizations that are involved in drug production and trafficking; efficient use of the criminal justice system; effective intelligence-led law enforcement and increased intelligence sharing and; an emphasis on large-scale, cross-border and organized drug-related crime (EMCDDA, 2016)</w:t>
      </w:r>
      <w:r>
        <w:rPr>
          <w:rFonts w:cs="Arial"/>
          <w:i/>
          <w:color w:val="000000" w:themeColor="text1"/>
          <w:sz w:val="24"/>
        </w:rPr>
        <w:t>.</w:t>
      </w:r>
      <w:r>
        <w:rPr>
          <w:rFonts w:cs="Arial"/>
          <w:color w:val="000000" w:themeColor="text1"/>
          <w:sz w:val="24"/>
        </w:rPr>
        <w:t xml:space="preserve"> </w:t>
      </w:r>
    </w:p>
    <w:p w:rsidR="00EB1823" w:rsidRDefault="000F6A5B" w:rsidP="00EB1823">
      <w:pPr>
        <w:jc w:val="both"/>
        <w:rPr>
          <w:rFonts w:asciiTheme="minorHAnsi" w:hAnsiTheme="minorHAnsi"/>
          <w:bCs/>
          <w:color w:val="000000" w:themeColor="text1"/>
          <w:sz w:val="24"/>
          <w:szCs w:val="24"/>
        </w:rPr>
      </w:pPr>
      <w:r w:rsidRPr="000F6A5B">
        <w:rPr>
          <w:rFonts w:asciiTheme="minorHAnsi" w:hAnsiTheme="minorHAnsi"/>
          <w:sz w:val="24"/>
          <w:szCs w:val="24"/>
        </w:rPr>
        <w:t>As stated in documents like t</w:t>
      </w:r>
      <w:r w:rsidR="00B45810" w:rsidRPr="000F6A5B">
        <w:rPr>
          <w:rFonts w:asciiTheme="minorHAnsi" w:hAnsiTheme="minorHAnsi"/>
          <w:sz w:val="24"/>
          <w:szCs w:val="24"/>
        </w:rPr>
        <w:t xml:space="preserve">he 2013-2020 European Union Drug Strategy </w:t>
      </w:r>
      <w:r w:rsidR="00B45810" w:rsidRPr="000F6A5B">
        <w:rPr>
          <w:sz w:val="24"/>
          <w:szCs w:val="24"/>
          <w:lang w:val="en-US"/>
        </w:rPr>
        <w:t>(</w:t>
      </w:r>
      <w:r w:rsidR="00B45810" w:rsidRPr="000F6A5B">
        <w:rPr>
          <w:rFonts w:cs="Calibri"/>
          <w:sz w:val="24"/>
        </w:rPr>
        <w:t>Council of the European Union, 2013)</w:t>
      </w:r>
      <w:r w:rsidR="00B45810" w:rsidRPr="000F6A5B">
        <w:rPr>
          <w:rFonts w:cs="Calibri"/>
        </w:rPr>
        <w:t xml:space="preserve"> </w:t>
      </w:r>
      <w:r w:rsidR="00B45810" w:rsidRPr="000F6A5B">
        <w:rPr>
          <w:rFonts w:asciiTheme="minorHAnsi" w:hAnsiTheme="minorHAnsi"/>
          <w:sz w:val="24"/>
          <w:szCs w:val="24"/>
        </w:rPr>
        <w:t>and the EU Action Plan to Combat Drugs 2013-2016 (</w:t>
      </w:r>
      <w:r w:rsidR="00E364F8" w:rsidRPr="000F6A5B">
        <w:rPr>
          <w:rFonts w:asciiTheme="minorHAnsi" w:hAnsiTheme="minorHAnsi"/>
          <w:sz w:val="24"/>
          <w:szCs w:val="24"/>
        </w:rPr>
        <w:t xml:space="preserve">Official Journal </w:t>
      </w:r>
      <w:r w:rsidR="00E364F8" w:rsidRPr="000F6A5B">
        <w:rPr>
          <w:rFonts w:asciiTheme="minorHAnsi" w:hAnsiTheme="minorHAnsi"/>
          <w:sz w:val="24"/>
          <w:szCs w:val="24"/>
        </w:rPr>
        <w:t>of the European Union, 2013</w:t>
      </w:r>
      <w:r w:rsidR="00B45810" w:rsidRPr="000F6A5B">
        <w:rPr>
          <w:rFonts w:asciiTheme="minorHAnsi" w:hAnsiTheme="minorHAnsi"/>
          <w:sz w:val="24"/>
          <w:szCs w:val="24"/>
        </w:rPr>
        <w:t>)</w:t>
      </w:r>
      <w:r w:rsidRPr="000F6A5B">
        <w:rPr>
          <w:rFonts w:asciiTheme="minorHAnsi" w:hAnsiTheme="minorHAnsi"/>
          <w:sz w:val="24"/>
          <w:szCs w:val="24"/>
        </w:rPr>
        <w:t xml:space="preserve">, </w:t>
      </w:r>
      <w:r w:rsidR="00FF5988">
        <w:rPr>
          <w:rFonts w:asciiTheme="minorHAnsi" w:hAnsiTheme="minorHAnsi"/>
          <w:sz w:val="24"/>
          <w:szCs w:val="24"/>
        </w:rPr>
        <w:t>an</w:t>
      </w:r>
      <w:r w:rsidR="00B45810" w:rsidRPr="000F6A5B">
        <w:rPr>
          <w:rFonts w:asciiTheme="minorHAnsi" w:hAnsiTheme="minorHAnsi"/>
          <w:sz w:val="24"/>
          <w:szCs w:val="24"/>
        </w:rPr>
        <w:t xml:space="preserve"> evaluation of </w:t>
      </w:r>
      <w:r w:rsidR="00FF5988">
        <w:rPr>
          <w:rFonts w:asciiTheme="minorHAnsi" w:hAnsiTheme="minorHAnsi"/>
          <w:sz w:val="24"/>
          <w:szCs w:val="24"/>
        </w:rPr>
        <w:t>the</w:t>
      </w:r>
      <w:r w:rsidR="00B45810" w:rsidRPr="000F6A5B">
        <w:rPr>
          <w:rFonts w:asciiTheme="minorHAnsi" w:hAnsiTheme="minorHAnsi"/>
          <w:sz w:val="24"/>
          <w:szCs w:val="24"/>
        </w:rPr>
        <w:t xml:space="preserve"> drug policy is an integral part of the approach to fight illicit </w:t>
      </w:r>
      <w:r w:rsidR="00B45810" w:rsidRPr="00541120">
        <w:rPr>
          <w:rFonts w:asciiTheme="minorHAnsi" w:hAnsiTheme="minorHAnsi"/>
          <w:sz w:val="24"/>
          <w:szCs w:val="24"/>
        </w:rPr>
        <w:t xml:space="preserve">drugs. </w:t>
      </w:r>
      <w:r w:rsidR="00EB1823" w:rsidRPr="00541120">
        <w:rPr>
          <w:rFonts w:asciiTheme="minorHAnsi" w:hAnsiTheme="minorHAnsi"/>
          <w:sz w:val="24"/>
          <w:szCs w:val="24"/>
        </w:rPr>
        <w:t>The estimation</w:t>
      </w:r>
      <w:r w:rsidR="00EB1823">
        <w:rPr>
          <w:rFonts w:asciiTheme="minorHAnsi" w:hAnsiTheme="minorHAnsi"/>
          <w:sz w:val="24"/>
          <w:szCs w:val="24"/>
        </w:rPr>
        <w:t xml:space="preserve"> of drug-related public expenditure can be seen as a first step </w:t>
      </w:r>
      <w:r w:rsidR="00FF5988">
        <w:rPr>
          <w:rFonts w:asciiTheme="minorHAnsi" w:hAnsiTheme="minorHAnsi"/>
          <w:sz w:val="24"/>
          <w:szCs w:val="24"/>
        </w:rPr>
        <w:t>in this direction</w:t>
      </w:r>
      <w:r w:rsidR="00EB1823">
        <w:rPr>
          <w:rFonts w:asciiTheme="minorHAnsi" w:hAnsiTheme="minorHAnsi"/>
          <w:sz w:val="24"/>
          <w:szCs w:val="24"/>
        </w:rPr>
        <w:t xml:space="preserve">. </w:t>
      </w:r>
      <w:r w:rsidR="00EB1823" w:rsidRPr="00BE15B8">
        <w:rPr>
          <w:rFonts w:asciiTheme="minorHAnsi" w:hAnsiTheme="minorHAnsi"/>
          <w:sz w:val="24"/>
          <w:szCs w:val="24"/>
        </w:rPr>
        <w:t>Public expenditure</w:t>
      </w:r>
      <w:r w:rsidR="00EB1823" w:rsidRPr="00BE15B8">
        <w:rPr>
          <w:rFonts w:asciiTheme="minorHAnsi" w:hAnsiTheme="minorHAnsi"/>
          <w:sz w:val="24"/>
          <w:szCs w:val="24"/>
          <w:lang w:bidi="ur-PK"/>
        </w:rPr>
        <w:t xml:space="preserve"> </w:t>
      </w:r>
      <w:r w:rsidR="00EB1823">
        <w:rPr>
          <w:rFonts w:asciiTheme="minorHAnsi" w:hAnsiTheme="minorHAnsi"/>
          <w:sz w:val="24"/>
          <w:szCs w:val="24"/>
        </w:rPr>
        <w:t>estimates aim to calculate</w:t>
      </w:r>
      <w:r w:rsidR="00EB1823" w:rsidRPr="00BE15B8">
        <w:rPr>
          <w:rFonts w:asciiTheme="minorHAnsi" w:hAnsiTheme="minorHAnsi"/>
          <w:sz w:val="24"/>
          <w:szCs w:val="24"/>
        </w:rPr>
        <w:t xml:space="preserve"> </w:t>
      </w:r>
      <w:r w:rsidR="00EB1823">
        <w:rPr>
          <w:rFonts w:asciiTheme="minorHAnsi" w:hAnsiTheme="minorHAnsi"/>
          <w:sz w:val="24"/>
          <w:szCs w:val="24"/>
        </w:rPr>
        <w:t xml:space="preserve">the </w:t>
      </w:r>
      <w:r w:rsidR="00EB1823" w:rsidRPr="00BE15B8">
        <w:rPr>
          <w:rFonts w:asciiTheme="minorHAnsi" w:hAnsiTheme="minorHAnsi"/>
          <w:sz w:val="24"/>
          <w:szCs w:val="24"/>
        </w:rPr>
        <w:t>amount of resources spent, or needed, to implement targeted interventions in a particular policy field</w:t>
      </w:r>
      <w:r w:rsidR="00EB1823">
        <w:rPr>
          <w:rFonts w:asciiTheme="minorHAnsi" w:hAnsiTheme="minorHAnsi"/>
          <w:sz w:val="24"/>
          <w:szCs w:val="24"/>
        </w:rPr>
        <w:t xml:space="preserve">, </w:t>
      </w:r>
      <w:r w:rsidR="0025272F">
        <w:rPr>
          <w:rFonts w:asciiTheme="minorHAnsi" w:hAnsiTheme="minorHAnsi"/>
          <w:sz w:val="24"/>
          <w:szCs w:val="24"/>
        </w:rPr>
        <w:t xml:space="preserve">and </w:t>
      </w:r>
      <w:r w:rsidR="00EC716F">
        <w:rPr>
          <w:rFonts w:asciiTheme="minorHAnsi" w:hAnsiTheme="minorHAnsi"/>
          <w:sz w:val="24"/>
          <w:szCs w:val="24"/>
        </w:rPr>
        <w:t xml:space="preserve">may </w:t>
      </w:r>
      <w:r w:rsidR="0025272F">
        <w:rPr>
          <w:rFonts w:asciiTheme="minorHAnsi" w:hAnsiTheme="minorHAnsi"/>
          <w:sz w:val="24"/>
          <w:szCs w:val="24"/>
        </w:rPr>
        <w:t>r</w:t>
      </w:r>
      <w:r w:rsidR="00EB1823" w:rsidRPr="00BE15B8">
        <w:rPr>
          <w:rFonts w:asciiTheme="minorHAnsi" w:hAnsiTheme="minorHAnsi"/>
          <w:sz w:val="24"/>
          <w:szCs w:val="24"/>
        </w:rPr>
        <w:t>eveal to what extent the policy intentions are reflected in relevant budgets</w:t>
      </w:r>
      <w:r w:rsidR="00EC716F">
        <w:rPr>
          <w:rFonts w:asciiTheme="minorHAnsi" w:hAnsiTheme="minorHAnsi"/>
          <w:sz w:val="24"/>
          <w:szCs w:val="24"/>
        </w:rPr>
        <w:t xml:space="preserve"> and are conditioned by size of the drug phenomena</w:t>
      </w:r>
      <w:r w:rsidR="00EB1823" w:rsidRPr="00BE15B8">
        <w:rPr>
          <w:rFonts w:asciiTheme="minorHAnsi" w:hAnsiTheme="minorHAnsi"/>
          <w:sz w:val="24"/>
          <w:szCs w:val="24"/>
        </w:rPr>
        <w:t>.</w:t>
      </w:r>
      <w:r w:rsidR="00EB1823">
        <w:rPr>
          <w:rFonts w:asciiTheme="minorHAnsi" w:hAnsiTheme="minorHAnsi"/>
          <w:bCs/>
          <w:color w:val="000000" w:themeColor="text1"/>
          <w:sz w:val="24"/>
          <w:szCs w:val="24"/>
        </w:rPr>
        <w:t xml:space="preserve"> </w:t>
      </w:r>
    </w:p>
    <w:p w:rsidR="00EB1823" w:rsidRPr="00BE15B8" w:rsidRDefault="00EB1823" w:rsidP="00EB1823">
      <w:pPr>
        <w:jc w:val="both"/>
        <w:rPr>
          <w:rFonts w:asciiTheme="minorHAnsi" w:hAnsiTheme="minorHAnsi"/>
          <w:iCs/>
          <w:sz w:val="24"/>
          <w:szCs w:val="24"/>
        </w:rPr>
      </w:pPr>
      <w:r>
        <w:rPr>
          <w:rFonts w:asciiTheme="minorHAnsi" w:hAnsiTheme="minorHAnsi"/>
          <w:bCs/>
          <w:color w:val="000000" w:themeColor="text1"/>
          <w:sz w:val="24"/>
          <w:szCs w:val="24"/>
        </w:rPr>
        <w:t>C</w:t>
      </w:r>
      <w:r w:rsidRPr="00BE15B8">
        <w:rPr>
          <w:rFonts w:asciiTheme="minorHAnsi" w:hAnsiTheme="minorHAnsi"/>
          <w:bCs/>
          <w:color w:val="000000" w:themeColor="text1"/>
          <w:sz w:val="24"/>
          <w:szCs w:val="24"/>
        </w:rPr>
        <w:t xml:space="preserve">omparing public expenditure on demand and supply </w:t>
      </w:r>
      <w:r>
        <w:rPr>
          <w:rFonts w:asciiTheme="minorHAnsi" w:hAnsiTheme="minorHAnsi"/>
          <w:bCs/>
          <w:color w:val="000000" w:themeColor="text1"/>
          <w:sz w:val="24"/>
          <w:szCs w:val="24"/>
        </w:rPr>
        <w:t>reduction</w:t>
      </w:r>
      <w:r w:rsidRPr="00BE15B8">
        <w:rPr>
          <w:rFonts w:asciiTheme="minorHAnsi" w:hAnsiTheme="minorHAnsi"/>
          <w:bCs/>
          <w:color w:val="000000" w:themeColor="text1"/>
          <w:sz w:val="24"/>
          <w:szCs w:val="24"/>
        </w:rPr>
        <w:t xml:space="preserve"> efforts is one way of examining the </w:t>
      </w:r>
      <w:r>
        <w:rPr>
          <w:rFonts w:asciiTheme="minorHAnsi" w:hAnsiTheme="minorHAnsi"/>
          <w:bCs/>
          <w:color w:val="000000" w:themeColor="text1"/>
          <w:sz w:val="24"/>
          <w:szCs w:val="24"/>
        </w:rPr>
        <w:t xml:space="preserve">authorities’ response to the drug problem. </w:t>
      </w:r>
      <w:r w:rsidRPr="00BE15B8">
        <w:rPr>
          <w:rFonts w:asciiTheme="minorHAnsi" w:hAnsiTheme="minorHAnsi"/>
          <w:iCs/>
          <w:sz w:val="24"/>
          <w:szCs w:val="24"/>
        </w:rPr>
        <w:t xml:space="preserve">Further, accurate estimates of public expenditure necessary for implementing drug policy initiatives will help policy makers to plan relevant interventions and make the required funds available for the authorities in charge of implementing </w:t>
      </w:r>
      <w:r w:rsidR="00546376">
        <w:rPr>
          <w:rFonts w:asciiTheme="minorHAnsi" w:hAnsiTheme="minorHAnsi"/>
          <w:iCs/>
          <w:sz w:val="24"/>
          <w:szCs w:val="24"/>
        </w:rPr>
        <w:t>them</w:t>
      </w:r>
      <w:r w:rsidRPr="00BE15B8">
        <w:rPr>
          <w:rFonts w:asciiTheme="minorHAnsi" w:hAnsiTheme="minorHAnsi"/>
          <w:iCs/>
          <w:sz w:val="24"/>
          <w:szCs w:val="24"/>
        </w:rPr>
        <w:t xml:space="preserve">. </w:t>
      </w:r>
      <w:r w:rsidRPr="00BE15B8">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 xml:space="preserve">Moreover, </w:t>
      </w:r>
      <w:r w:rsidRPr="00BE15B8">
        <w:rPr>
          <w:rFonts w:asciiTheme="minorHAnsi" w:hAnsiTheme="minorHAnsi"/>
          <w:iCs/>
          <w:sz w:val="24"/>
          <w:szCs w:val="24"/>
        </w:rPr>
        <w:t>also cross-country comparisons of the level and composition of drug expenditures may be useful for decision makers evaluating national drug policies (EMCDDA 2008).</w:t>
      </w:r>
      <w:r w:rsidRPr="00BE15B8">
        <w:rPr>
          <w:rFonts w:asciiTheme="minorHAnsi" w:hAnsiTheme="minorHAnsi"/>
          <w:sz w:val="24"/>
          <w:szCs w:val="24"/>
        </w:rPr>
        <w:t xml:space="preserve"> </w:t>
      </w:r>
      <w:r w:rsidRPr="00BE15B8">
        <w:rPr>
          <w:rFonts w:asciiTheme="minorHAnsi" w:hAnsiTheme="minorHAnsi"/>
          <w:iCs/>
          <w:sz w:val="24"/>
          <w:szCs w:val="24"/>
        </w:rPr>
        <w:t>In addition, a thorough a</w:t>
      </w:r>
      <w:r w:rsidRPr="00BE15B8">
        <w:rPr>
          <w:rFonts w:asciiTheme="minorHAnsi" w:hAnsiTheme="minorHAnsi"/>
          <w:bCs/>
          <w:color w:val="000000" w:themeColor="text1"/>
          <w:sz w:val="24"/>
          <w:szCs w:val="24"/>
        </w:rPr>
        <w:t xml:space="preserve">ssessment of drug policy expenditures will contribute to improved transparency and accountability of public institutions. </w:t>
      </w:r>
      <w:r w:rsidRPr="00BE15B8">
        <w:rPr>
          <w:rFonts w:asciiTheme="minorHAnsi" w:hAnsiTheme="minorHAnsi"/>
          <w:iCs/>
          <w:sz w:val="24"/>
          <w:szCs w:val="24"/>
        </w:rPr>
        <w:t>Sound planning, i</w:t>
      </w:r>
      <w:r w:rsidRPr="00BE15B8">
        <w:rPr>
          <w:rFonts w:asciiTheme="minorHAnsi" w:hAnsiTheme="minorHAnsi"/>
          <w:color w:val="000000" w:themeColor="text1"/>
          <w:sz w:val="24"/>
        </w:rPr>
        <w:t>mproved knowledge with regard to the recourses allocated to this policy field</w:t>
      </w:r>
      <w:r w:rsidRPr="00BE15B8">
        <w:rPr>
          <w:rFonts w:asciiTheme="minorHAnsi" w:hAnsiTheme="minorHAnsi"/>
          <w:iCs/>
          <w:sz w:val="24"/>
          <w:szCs w:val="24"/>
        </w:rPr>
        <w:t xml:space="preserve"> and cost-effective resource allocation are particularly required in times of economic downturns and reduced available resources. </w:t>
      </w:r>
    </w:p>
    <w:p w:rsidR="00066FE9" w:rsidRDefault="0050621A" w:rsidP="00B45810">
      <w:pPr>
        <w:jc w:val="both"/>
        <w:rPr>
          <w:rFonts w:asciiTheme="minorHAnsi" w:hAnsiTheme="minorHAnsi"/>
          <w:iCs/>
          <w:sz w:val="24"/>
          <w:szCs w:val="24"/>
        </w:rPr>
      </w:pPr>
      <w:r w:rsidRPr="009E2F27">
        <w:rPr>
          <w:rFonts w:asciiTheme="minorHAnsi" w:hAnsiTheme="minorHAnsi"/>
          <w:iCs/>
          <w:sz w:val="24"/>
          <w:szCs w:val="24"/>
        </w:rPr>
        <w:t xml:space="preserve">A </w:t>
      </w:r>
      <w:r w:rsidR="00A05154" w:rsidRPr="009E2F27">
        <w:rPr>
          <w:rFonts w:asciiTheme="minorHAnsi" w:hAnsiTheme="minorHAnsi"/>
          <w:iCs/>
          <w:sz w:val="24"/>
          <w:szCs w:val="24"/>
        </w:rPr>
        <w:t xml:space="preserve">subsequent </w:t>
      </w:r>
      <w:r w:rsidRPr="009E2F27">
        <w:rPr>
          <w:rFonts w:asciiTheme="minorHAnsi" w:hAnsiTheme="minorHAnsi"/>
          <w:iCs/>
          <w:sz w:val="24"/>
          <w:szCs w:val="24"/>
        </w:rPr>
        <w:t xml:space="preserve">step </w:t>
      </w:r>
      <w:r w:rsidR="00EC716F">
        <w:rPr>
          <w:rFonts w:asciiTheme="minorHAnsi" w:hAnsiTheme="minorHAnsi"/>
          <w:iCs/>
          <w:sz w:val="24"/>
          <w:szCs w:val="24"/>
        </w:rPr>
        <w:t xml:space="preserve">to policy evaluation </w:t>
      </w:r>
      <w:r w:rsidR="00C5293C">
        <w:rPr>
          <w:rFonts w:asciiTheme="minorHAnsi" w:hAnsiTheme="minorHAnsi"/>
          <w:iCs/>
          <w:sz w:val="24"/>
          <w:szCs w:val="24"/>
        </w:rPr>
        <w:t>w</w:t>
      </w:r>
      <w:r w:rsidR="009E2F27" w:rsidRPr="009E2F27">
        <w:rPr>
          <w:rFonts w:asciiTheme="minorHAnsi" w:hAnsiTheme="minorHAnsi"/>
          <w:iCs/>
          <w:sz w:val="24"/>
          <w:szCs w:val="24"/>
        </w:rPr>
        <w:t>ould be to</w:t>
      </w:r>
      <w:r w:rsidR="003B667E" w:rsidRPr="003B667E">
        <w:rPr>
          <w:rFonts w:asciiTheme="minorHAnsi" w:hAnsiTheme="minorHAnsi"/>
          <w:color w:val="000000" w:themeColor="text1"/>
          <w:sz w:val="24"/>
        </w:rPr>
        <w:t xml:space="preserve"> </w:t>
      </w:r>
      <w:r w:rsidR="003B667E" w:rsidRPr="00BE15B8">
        <w:rPr>
          <w:rFonts w:asciiTheme="minorHAnsi" w:hAnsiTheme="minorHAnsi"/>
          <w:color w:val="000000" w:themeColor="text1"/>
          <w:sz w:val="24"/>
        </w:rPr>
        <w:t>systematically compare</w:t>
      </w:r>
      <w:r w:rsidR="00C5293C">
        <w:rPr>
          <w:rFonts w:asciiTheme="minorHAnsi" w:hAnsiTheme="minorHAnsi"/>
          <w:iCs/>
          <w:sz w:val="24"/>
          <w:szCs w:val="24"/>
        </w:rPr>
        <w:t xml:space="preserve"> </w:t>
      </w:r>
      <w:r w:rsidR="00FE7731">
        <w:rPr>
          <w:rFonts w:asciiTheme="minorHAnsi" w:hAnsiTheme="minorHAnsi"/>
          <w:iCs/>
          <w:sz w:val="24"/>
          <w:szCs w:val="24"/>
        </w:rPr>
        <w:t xml:space="preserve">the </w:t>
      </w:r>
      <w:r w:rsidR="000970F5">
        <w:rPr>
          <w:rFonts w:asciiTheme="minorHAnsi" w:hAnsiTheme="minorHAnsi"/>
          <w:iCs/>
          <w:sz w:val="24"/>
          <w:szCs w:val="24"/>
        </w:rPr>
        <w:t xml:space="preserve">public </w:t>
      </w:r>
      <w:r w:rsidR="00C5293C">
        <w:rPr>
          <w:rFonts w:asciiTheme="minorHAnsi" w:hAnsiTheme="minorHAnsi"/>
          <w:iCs/>
          <w:sz w:val="24"/>
          <w:szCs w:val="24"/>
        </w:rPr>
        <w:t>expenditure</w:t>
      </w:r>
      <w:r w:rsidR="00FE7731">
        <w:rPr>
          <w:rFonts w:asciiTheme="minorHAnsi" w:hAnsiTheme="minorHAnsi"/>
          <w:iCs/>
          <w:sz w:val="24"/>
          <w:szCs w:val="24"/>
        </w:rPr>
        <w:t>s</w:t>
      </w:r>
      <w:r w:rsidR="00C5293C">
        <w:rPr>
          <w:rFonts w:asciiTheme="minorHAnsi" w:hAnsiTheme="minorHAnsi"/>
          <w:iCs/>
          <w:sz w:val="24"/>
          <w:szCs w:val="24"/>
        </w:rPr>
        <w:t xml:space="preserve"> </w:t>
      </w:r>
      <w:r w:rsidR="004955EA">
        <w:rPr>
          <w:rFonts w:asciiTheme="minorHAnsi" w:hAnsiTheme="minorHAnsi"/>
          <w:iCs/>
          <w:sz w:val="24"/>
          <w:szCs w:val="24"/>
        </w:rPr>
        <w:t xml:space="preserve">and other possible costs </w:t>
      </w:r>
      <w:r w:rsidR="00C5293C">
        <w:rPr>
          <w:rFonts w:asciiTheme="minorHAnsi" w:hAnsiTheme="minorHAnsi"/>
          <w:iCs/>
          <w:sz w:val="24"/>
          <w:szCs w:val="24"/>
        </w:rPr>
        <w:t>to measures of output or results of the policy.</w:t>
      </w:r>
      <w:r w:rsidR="0033351A" w:rsidRPr="0033351A">
        <w:rPr>
          <w:rFonts w:asciiTheme="minorHAnsi" w:hAnsiTheme="minorHAnsi"/>
          <w:color w:val="000000" w:themeColor="text1"/>
          <w:sz w:val="24"/>
        </w:rPr>
        <w:t xml:space="preserve"> </w:t>
      </w:r>
      <w:r w:rsidR="0033351A">
        <w:rPr>
          <w:rFonts w:asciiTheme="minorHAnsi" w:hAnsiTheme="minorHAnsi"/>
          <w:color w:val="000000" w:themeColor="text1"/>
          <w:sz w:val="24"/>
        </w:rPr>
        <w:t>Depending on how the results are</w:t>
      </w:r>
      <w:r w:rsidR="00C81BB4">
        <w:rPr>
          <w:rFonts w:asciiTheme="minorHAnsi" w:hAnsiTheme="minorHAnsi"/>
          <w:color w:val="000000" w:themeColor="text1"/>
          <w:sz w:val="24"/>
        </w:rPr>
        <w:t xml:space="preserve"> defined and </w:t>
      </w:r>
      <w:r w:rsidR="0033351A">
        <w:rPr>
          <w:rFonts w:asciiTheme="minorHAnsi" w:hAnsiTheme="minorHAnsi"/>
          <w:color w:val="000000" w:themeColor="text1"/>
          <w:sz w:val="24"/>
        </w:rPr>
        <w:t xml:space="preserve">measured, </w:t>
      </w:r>
      <w:r w:rsidR="00EC716F">
        <w:rPr>
          <w:rFonts w:asciiTheme="minorHAnsi" w:hAnsiTheme="minorHAnsi"/>
          <w:color w:val="000000" w:themeColor="text1"/>
          <w:sz w:val="24"/>
        </w:rPr>
        <w:t xml:space="preserve">analysis such </w:t>
      </w:r>
      <w:r w:rsidR="0033351A">
        <w:rPr>
          <w:rFonts w:asciiTheme="minorHAnsi" w:hAnsiTheme="minorHAnsi"/>
          <w:color w:val="000000" w:themeColor="text1"/>
          <w:sz w:val="24"/>
        </w:rPr>
        <w:t>a</w:t>
      </w:r>
      <w:r w:rsidR="00EC716F">
        <w:rPr>
          <w:rFonts w:asciiTheme="minorHAnsi" w:hAnsiTheme="minorHAnsi"/>
          <w:color w:val="000000" w:themeColor="text1"/>
          <w:sz w:val="24"/>
        </w:rPr>
        <w:t>s</w:t>
      </w:r>
      <w:r w:rsidR="0033351A">
        <w:rPr>
          <w:rFonts w:asciiTheme="minorHAnsi" w:hAnsiTheme="minorHAnsi"/>
          <w:color w:val="000000" w:themeColor="text1"/>
          <w:sz w:val="24"/>
        </w:rPr>
        <w:t xml:space="preserve"> </w:t>
      </w:r>
      <w:r w:rsidR="004955EA">
        <w:rPr>
          <w:rFonts w:asciiTheme="minorHAnsi" w:hAnsiTheme="minorHAnsi"/>
          <w:color w:val="000000" w:themeColor="text1"/>
          <w:sz w:val="24"/>
        </w:rPr>
        <w:t xml:space="preserve">the </w:t>
      </w:r>
      <w:r w:rsidR="0033351A" w:rsidRPr="00BE15B8">
        <w:rPr>
          <w:rFonts w:asciiTheme="minorHAnsi" w:hAnsiTheme="minorHAnsi"/>
          <w:color w:val="000000" w:themeColor="text1"/>
          <w:sz w:val="24"/>
        </w:rPr>
        <w:t xml:space="preserve">cost-benefit </w:t>
      </w:r>
      <w:r w:rsidR="0033351A">
        <w:rPr>
          <w:rFonts w:asciiTheme="minorHAnsi" w:hAnsiTheme="minorHAnsi"/>
          <w:color w:val="000000" w:themeColor="text1"/>
          <w:sz w:val="24"/>
        </w:rPr>
        <w:t xml:space="preserve">or </w:t>
      </w:r>
      <w:r w:rsidR="004955EA">
        <w:rPr>
          <w:rFonts w:asciiTheme="minorHAnsi" w:hAnsiTheme="minorHAnsi"/>
          <w:color w:val="000000" w:themeColor="text1"/>
          <w:sz w:val="24"/>
        </w:rPr>
        <w:t xml:space="preserve">the </w:t>
      </w:r>
      <w:r w:rsidR="0033351A">
        <w:rPr>
          <w:rFonts w:asciiTheme="minorHAnsi" w:hAnsiTheme="minorHAnsi"/>
          <w:color w:val="000000" w:themeColor="text1"/>
          <w:sz w:val="24"/>
        </w:rPr>
        <w:t xml:space="preserve">cost-effectiveness analysis </w:t>
      </w:r>
      <w:r w:rsidR="00C81BB4">
        <w:rPr>
          <w:rFonts w:asciiTheme="minorHAnsi" w:hAnsiTheme="minorHAnsi"/>
          <w:color w:val="000000" w:themeColor="text1"/>
          <w:sz w:val="24"/>
        </w:rPr>
        <w:t>can</w:t>
      </w:r>
      <w:r w:rsidR="0033351A">
        <w:rPr>
          <w:rFonts w:asciiTheme="minorHAnsi" w:hAnsiTheme="minorHAnsi"/>
          <w:color w:val="000000" w:themeColor="text1"/>
          <w:sz w:val="24"/>
        </w:rPr>
        <w:t xml:space="preserve"> be conducted (see glossary).</w:t>
      </w:r>
      <w:r w:rsidR="00C5293C">
        <w:rPr>
          <w:rFonts w:asciiTheme="minorHAnsi" w:hAnsiTheme="minorHAnsi"/>
          <w:iCs/>
          <w:sz w:val="24"/>
          <w:szCs w:val="24"/>
        </w:rPr>
        <w:t xml:space="preserve"> </w:t>
      </w:r>
      <w:r w:rsidR="004955EA">
        <w:rPr>
          <w:rFonts w:asciiTheme="minorHAnsi" w:hAnsiTheme="minorHAnsi"/>
          <w:iCs/>
          <w:sz w:val="24"/>
          <w:szCs w:val="24"/>
        </w:rPr>
        <w:t>In this case, r</w:t>
      </w:r>
      <w:r w:rsidR="00DE737B" w:rsidRPr="00BE15B8">
        <w:rPr>
          <w:rFonts w:asciiTheme="minorHAnsi" w:hAnsiTheme="minorHAnsi"/>
          <w:iCs/>
          <w:sz w:val="24"/>
          <w:szCs w:val="24"/>
        </w:rPr>
        <w:t>esource inputs (the costs of la</w:t>
      </w:r>
      <w:r w:rsidR="003B667E">
        <w:rPr>
          <w:rFonts w:asciiTheme="minorHAnsi" w:hAnsiTheme="minorHAnsi"/>
          <w:iCs/>
          <w:sz w:val="24"/>
          <w:szCs w:val="24"/>
        </w:rPr>
        <w:t xml:space="preserve">bour, capital and/or equipment) </w:t>
      </w:r>
      <w:r w:rsidR="0033351A">
        <w:rPr>
          <w:rFonts w:asciiTheme="minorHAnsi" w:hAnsiTheme="minorHAnsi"/>
          <w:iCs/>
          <w:sz w:val="24"/>
          <w:szCs w:val="24"/>
        </w:rPr>
        <w:t xml:space="preserve">are </w:t>
      </w:r>
      <w:r w:rsidR="00F553C0">
        <w:rPr>
          <w:rFonts w:asciiTheme="minorHAnsi" w:hAnsiTheme="minorHAnsi"/>
          <w:iCs/>
          <w:sz w:val="24"/>
          <w:szCs w:val="24"/>
        </w:rPr>
        <w:t>linked</w:t>
      </w:r>
      <w:r w:rsidR="0033351A">
        <w:rPr>
          <w:rFonts w:asciiTheme="minorHAnsi" w:hAnsiTheme="minorHAnsi"/>
          <w:iCs/>
          <w:sz w:val="24"/>
          <w:szCs w:val="24"/>
        </w:rPr>
        <w:t xml:space="preserve"> to</w:t>
      </w:r>
      <w:r w:rsidR="003B667E">
        <w:rPr>
          <w:rFonts w:asciiTheme="minorHAnsi" w:hAnsiTheme="minorHAnsi"/>
          <w:iCs/>
          <w:sz w:val="24"/>
          <w:szCs w:val="24"/>
        </w:rPr>
        <w:t xml:space="preserve"> </w:t>
      </w:r>
      <w:r w:rsidR="00DE737B" w:rsidRPr="00BE15B8">
        <w:rPr>
          <w:rFonts w:asciiTheme="minorHAnsi" w:hAnsiTheme="minorHAnsi"/>
          <w:iCs/>
          <w:sz w:val="24"/>
          <w:szCs w:val="24"/>
        </w:rPr>
        <w:t>intermediate (e.g. number of drug dealers arrested)</w:t>
      </w:r>
      <w:r w:rsidR="004955EA">
        <w:rPr>
          <w:rFonts w:asciiTheme="minorHAnsi" w:hAnsiTheme="minorHAnsi"/>
          <w:iCs/>
          <w:sz w:val="24"/>
          <w:szCs w:val="24"/>
        </w:rPr>
        <w:t>;</w:t>
      </w:r>
      <w:r w:rsidR="00DE737B" w:rsidRPr="00BE15B8">
        <w:rPr>
          <w:rFonts w:asciiTheme="minorHAnsi" w:hAnsiTheme="minorHAnsi"/>
          <w:iCs/>
          <w:sz w:val="24"/>
          <w:szCs w:val="24"/>
        </w:rPr>
        <w:t xml:space="preserve">  final outputs (e.g. lives saved, life years gained, </w:t>
      </w:r>
      <w:r w:rsidR="00427C5F">
        <w:rPr>
          <w:rFonts w:asciiTheme="minorHAnsi" w:hAnsiTheme="minorHAnsi"/>
          <w:iCs/>
          <w:sz w:val="24"/>
          <w:szCs w:val="24"/>
        </w:rPr>
        <w:t>number of drug users, reduction in drug-related harms,</w:t>
      </w:r>
      <w:r w:rsidR="00427C5F" w:rsidRPr="00BE15B8">
        <w:rPr>
          <w:rFonts w:asciiTheme="minorHAnsi" w:hAnsiTheme="minorHAnsi"/>
          <w:iCs/>
          <w:sz w:val="24"/>
          <w:szCs w:val="24"/>
        </w:rPr>
        <w:t xml:space="preserve"> </w:t>
      </w:r>
      <w:r w:rsidR="00DE737B" w:rsidRPr="00BE15B8">
        <w:rPr>
          <w:rFonts w:asciiTheme="minorHAnsi" w:hAnsiTheme="minorHAnsi"/>
          <w:iCs/>
          <w:sz w:val="24"/>
          <w:szCs w:val="24"/>
        </w:rPr>
        <w:t xml:space="preserve">percentage reduction in crimes committed) </w:t>
      </w:r>
      <w:r w:rsidR="004955EA">
        <w:rPr>
          <w:rFonts w:asciiTheme="minorHAnsi" w:hAnsiTheme="minorHAnsi"/>
          <w:iCs/>
          <w:sz w:val="24"/>
          <w:szCs w:val="24"/>
        </w:rPr>
        <w:t>or;</w:t>
      </w:r>
      <w:r w:rsidR="00DE737B" w:rsidRPr="00BE15B8">
        <w:rPr>
          <w:rFonts w:asciiTheme="minorHAnsi" w:hAnsiTheme="minorHAnsi"/>
          <w:iCs/>
          <w:sz w:val="24"/>
          <w:szCs w:val="24"/>
        </w:rPr>
        <w:t xml:space="preserve"> policy goals</w:t>
      </w:r>
      <w:r w:rsidR="00DE737B">
        <w:rPr>
          <w:rFonts w:asciiTheme="minorHAnsi" w:hAnsiTheme="minorHAnsi"/>
          <w:iCs/>
          <w:sz w:val="24"/>
          <w:szCs w:val="24"/>
        </w:rPr>
        <w:t>.</w:t>
      </w:r>
      <w:r w:rsidR="003B667E" w:rsidRPr="003B667E">
        <w:rPr>
          <w:rFonts w:asciiTheme="minorHAnsi" w:hAnsiTheme="minorHAnsi"/>
          <w:iCs/>
          <w:sz w:val="24"/>
          <w:szCs w:val="24"/>
        </w:rPr>
        <w:t xml:space="preserve"> </w:t>
      </w:r>
      <w:r w:rsidR="007C42C2">
        <w:rPr>
          <w:rFonts w:asciiTheme="minorHAnsi" w:hAnsiTheme="minorHAnsi"/>
          <w:iCs/>
          <w:sz w:val="24"/>
          <w:szCs w:val="24"/>
        </w:rPr>
        <w:t xml:space="preserve">Irrespective of the chosen </w:t>
      </w:r>
      <w:r w:rsidR="00F553C0">
        <w:rPr>
          <w:rFonts w:asciiTheme="minorHAnsi" w:hAnsiTheme="minorHAnsi"/>
          <w:iCs/>
          <w:sz w:val="24"/>
          <w:szCs w:val="24"/>
        </w:rPr>
        <w:t xml:space="preserve">output </w:t>
      </w:r>
      <w:r w:rsidR="007C42C2">
        <w:rPr>
          <w:rFonts w:asciiTheme="minorHAnsi" w:hAnsiTheme="minorHAnsi"/>
          <w:iCs/>
          <w:sz w:val="24"/>
          <w:szCs w:val="24"/>
        </w:rPr>
        <w:t>measure</w:t>
      </w:r>
      <w:r w:rsidR="004955EA">
        <w:rPr>
          <w:rFonts w:asciiTheme="minorHAnsi" w:hAnsiTheme="minorHAnsi"/>
          <w:iCs/>
          <w:sz w:val="24"/>
          <w:szCs w:val="24"/>
        </w:rPr>
        <w:t>s</w:t>
      </w:r>
      <w:r w:rsidR="007C42C2">
        <w:rPr>
          <w:rFonts w:asciiTheme="minorHAnsi" w:hAnsiTheme="minorHAnsi"/>
          <w:iCs/>
          <w:sz w:val="24"/>
          <w:szCs w:val="24"/>
        </w:rPr>
        <w:t xml:space="preserve">, however, public expenditure </w:t>
      </w:r>
      <w:r w:rsidR="00797057">
        <w:rPr>
          <w:rFonts w:asciiTheme="minorHAnsi" w:hAnsiTheme="minorHAnsi"/>
          <w:iCs/>
          <w:sz w:val="24"/>
          <w:szCs w:val="24"/>
        </w:rPr>
        <w:t xml:space="preserve">will </w:t>
      </w:r>
      <w:r w:rsidR="007C42C2">
        <w:rPr>
          <w:rFonts w:asciiTheme="minorHAnsi" w:hAnsiTheme="minorHAnsi"/>
          <w:iCs/>
          <w:sz w:val="24"/>
          <w:szCs w:val="24"/>
        </w:rPr>
        <w:t xml:space="preserve">be </w:t>
      </w:r>
      <w:r w:rsidR="004955EA">
        <w:rPr>
          <w:rFonts w:asciiTheme="minorHAnsi" w:hAnsiTheme="minorHAnsi"/>
          <w:iCs/>
          <w:sz w:val="24"/>
          <w:szCs w:val="24"/>
        </w:rPr>
        <w:t xml:space="preserve">a </w:t>
      </w:r>
      <w:r w:rsidR="007C42C2">
        <w:rPr>
          <w:rFonts w:asciiTheme="minorHAnsi" w:hAnsiTheme="minorHAnsi"/>
          <w:iCs/>
          <w:sz w:val="24"/>
          <w:szCs w:val="24"/>
        </w:rPr>
        <w:t>central cost factor</w:t>
      </w:r>
      <w:r w:rsidR="004955EA">
        <w:rPr>
          <w:rFonts w:asciiTheme="minorHAnsi" w:hAnsiTheme="minorHAnsi"/>
          <w:iCs/>
          <w:sz w:val="24"/>
          <w:szCs w:val="24"/>
        </w:rPr>
        <w:t>, since governments constitute the main provider of drug supply reduction services in Europe</w:t>
      </w:r>
      <w:r w:rsidR="007C42C2">
        <w:rPr>
          <w:rFonts w:asciiTheme="minorHAnsi" w:hAnsiTheme="minorHAnsi"/>
          <w:iCs/>
          <w:sz w:val="24"/>
          <w:szCs w:val="24"/>
        </w:rPr>
        <w:t xml:space="preserve">. </w:t>
      </w:r>
    </w:p>
    <w:p w:rsidR="006F2D8C" w:rsidRPr="00BE15B8" w:rsidRDefault="00797057" w:rsidP="00E63580">
      <w:pPr>
        <w:jc w:val="both"/>
        <w:rPr>
          <w:rFonts w:asciiTheme="minorHAnsi" w:hAnsiTheme="minorHAnsi"/>
          <w:iCs/>
          <w:sz w:val="24"/>
          <w:szCs w:val="24"/>
        </w:rPr>
      </w:pPr>
      <w:r>
        <w:rPr>
          <w:rFonts w:asciiTheme="minorHAnsi" w:hAnsiTheme="minorHAnsi"/>
          <w:bCs/>
          <w:color w:val="000000" w:themeColor="text1"/>
          <w:sz w:val="24"/>
          <w:szCs w:val="24"/>
        </w:rPr>
        <w:t>A</w:t>
      </w:r>
      <w:r w:rsidR="0033351A">
        <w:rPr>
          <w:rFonts w:asciiTheme="minorHAnsi" w:hAnsiTheme="minorHAnsi"/>
          <w:bCs/>
          <w:color w:val="000000" w:themeColor="text1"/>
          <w:sz w:val="24"/>
          <w:szCs w:val="24"/>
        </w:rPr>
        <w:t xml:space="preserve"> </w:t>
      </w:r>
      <w:r w:rsidR="00F553C0">
        <w:rPr>
          <w:rFonts w:asciiTheme="minorHAnsi" w:hAnsiTheme="minorHAnsi"/>
          <w:bCs/>
          <w:color w:val="000000" w:themeColor="text1"/>
          <w:sz w:val="24"/>
          <w:szCs w:val="24"/>
        </w:rPr>
        <w:t xml:space="preserve">thorough </w:t>
      </w:r>
      <w:r w:rsidR="007C42C2">
        <w:rPr>
          <w:rFonts w:asciiTheme="minorHAnsi" w:hAnsiTheme="minorHAnsi"/>
          <w:bCs/>
          <w:color w:val="000000" w:themeColor="text1"/>
          <w:sz w:val="24"/>
          <w:szCs w:val="24"/>
        </w:rPr>
        <w:t>economic evaluation</w:t>
      </w:r>
      <w:r w:rsidR="0033351A">
        <w:rPr>
          <w:rFonts w:asciiTheme="minorHAnsi" w:hAnsiTheme="minorHAnsi"/>
          <w:bCs/>
          <w:color w:val="000000" w:themeColor="text1"/>
          <w:sz w:val="24"/>
          <w:szCs w:val="24"/>
        </w:rPr>
        <w:t xml:space="preserve"> </w:t>
      </w:r>
      <w:r w:rsidR="009C135A">
        <w:rPr>
          <w:rFonts w:asciiTheme="minorHAnsi" w:hAnsiTheme="minorHAnsi"/>
          <w:bCs/>
          <w:color w:val="000000" w:themeColor="text1"/>
          <w:sz w:val="24"/>
          <w:szCs w:val="24"/>
        </w:rPr>
        <w:t>can</w:t>
      </w:r>
      <w:r w:rsidR="00F553C0">
        <w:rPr>
          <w:rFonts w:asciiTheme="minorHAnsi" w:hAnsiTheme="minorHAnsi"/>
          <w:bCs/>
          <w:color w:val="000000" w:themeColor="text1"/>
          <w:sz w:val="24"/>
          <w:szCs w:val="24"/>
        </w:rPr>
        <w:t xml:space="preserve"> </w:t>
      </w:r>
      <w:r w:rsidR="0033351A">
        <w:rPr>
          <w:rFonts w:asciiTheme="minorHAnsi" w:hAnsiTheme="minorHAnsi"/>
          <w:bCs/>
          <w:color w:val="000000" w:themeColor="text1"/>
          <w:sz w:val="24"/>
          <w:szCs w:val="24"/>
        </w:rPr>
        <w:t>provide</w:t>
      </w:r>
      <w:r w:rsidR="00886B3D">
        <w:rPr>
          <w:rFonts w:asciiTheme="minorHAnsi" w:hAnsiTheme="minorHAnsi"/>
          <w:bCs/>
          <w:color w:val="000000" w:themeColor="text1"/>
          <w:sz w:val="24"/>
          <w:szCs w:val="24"/>
        </w:rPr>
        <w:t xml:space="preserve"> policy makers</w:t>
      </w:r>
      <w:r w:rsidR="0033351A">
        <w:rPr>
          <w:rFonts w:asciiTheme="minorHAnsi" w:hAnsiTheme="minorHAnsi"/>
          <w:bCs/>
          <w:color w:val="000000" w:themeColor="text1"/>
          <w:sz w:val="24"/>
          <w:szCs w:val="24"/>
        </w:rPr>
        <w:t xml:space="preserve"> with</w:t>
      </w:r>
      <w:r w:rsidR="00886B3D">
        <w:rPr>
          <w:rFonts w:asciiTheme="minorHAnsi" w:hAnsiTheme="minorHAnsi"/>
          <w:bCs/>
          <w:color w:val="000000" w:themeColor="text1"/>
          <w:sz w:val="24"/>
          <w:szCs w:val="24"/>
        </w:rPr>
        <w:t xml:space="preserve"> information </w:t>
      </w:r>
      <w:r w:rsidR="003A2F71">
        <w:rPr>
          <w:rFonts w:asciiTheme="minorHAnsi" w:hAnsiTheme="minorHAnsi"/>
          <w:bCs/>
          <w:color w:val="000000" w:themeColor="text1"/>
          <w:sz w:val="24"/>
          <w:szCs w:val="24"/>
        </w:rPr>
        <w:t xml:space="preserve">required </w:t>
      </w:r>
      <w:r w:rsidR="00C718CD">
        <w:rPr>
          <w:rFonts w:asciiTheme="minorHAnsi" w:hAnsiTheme="minorHAnsi"/>
          <w:bCs/>
          <w:color w:val="000000" w:themeColor="text1"/>
          <w:sz w:val="24"/>
          <w:szCs w:val="24"/>
        </w:rPr>
        <w:t>for taking</w:t>
      </w:r>
      <w:r w:rsidR="00886B3D">
        <w:rPr>
          <w:rFonts w:asciiTheme="minorHAnsi" w:hAnsiTheme="minorHAnsi"/>
          <w:bCs/>
          <w:color w:val="000000" w:themeColor="text1"/>
          <w:sz w:val="24"/>
          <w:szCs w:val="24"/>
        </w:rPr>
        <w:t xml:space="preserve"> we</w:t>
      </w:r>
      <w:r w:rsidR="00C81BB4">
        <w:rPr>
          <w:rFonts w:asciiTheme="minorHAnsi" w:hAnsiTheme="minorHAnsi"/>
          <w:bCs/>
          <w:color w:val="000000" w:themeColor="text1"/>
          <w:sz w:val="24"/>
          <w:szCs w:val="24"/>
        </w:rPr>
        <w:t>ll-informed decisions</w:t>
      </w:r>
      <w:r w:rsidR="00886B3D">
        <w:rPr>
          <w:rFonts w:asciiTheme="minorHAnsi" w:hAnsiTheme="minorHAnsi"/>
          <w:bCs/>
          <w:color w:val="000000" w:themeColor="text1"/>
          <w:sz w:val="24"/>
          <w:szCs w:val="24"/>
        </w:rPr>
        <w:t>.</w:t>
      </w:r>
      <w:r w:rsidR="00066FE9">
        <w:rPr>
          <w:rFonts w:asciiTheme="minorHAnsi" w:hAnsiTheme="minorHAnsi"/>
          <w:bCs/>
          <w:color w:val="000000" w:themeColor="text1"/>
          <w:sz w:val="24"/>
          <w:szCs w:val="24"/>
        </w:rPr>
        <w:t xml:space="preserve"> </w:t>
      </w:r>
      <w:r w:rsidR="00D01AE0">
        <w:rPr>
          <w:rFonts w:asciiTheme="minorHAnsi" w:hAnsiTheme="minorHAnsi"/>
          <w:bCs/>
          <w:color w:val="000000" w:themeColor="text1"/>
          <w:sz w:val="24"/>
          <w:szCs w:val="24"/>
        </w:rPr>
        <w:t>Although t</w:t>
      </w:r>
      <w:r w:rsidR="00066FE9">
        <w:rPr>
          <w:rFonts w:asciiTheme="minorHAnsi" w:hAnsiTheme="minorHAnsi"/>
          <w:bCs/>
          <w:color w:val="000000" w:themeColor="text1"/>
          <w:sz w:val="24"/>
          <w:szCs w:val="24"/>
        </w:rPr>
        <w:t xml:space="preserve">he </w:t>
      </w:r>
      <w:r w:rsidR="00D01AE0">
        <w:rPr>
          <w:rFonts w:asciiTheme="minorHAnsi" w:hAnsiTheme="minorHAnsi"/>
          <w:bCs/>
          <w:color w:val="000000" w:themeColor="text1"/>
          <w:sz w:val="24"/>
          <w:szCs w:val="24"/>
        </w:rPr>
        <w:t xml:space="preserve">data and </w:t>
      </w:r>
      <w:r w:rsidR="00066FE9">
        <w:rPr>
          <w:rFonts w:asciiTheme="minorHAnsi" w:hAnsiTheme="minorHAnsi"/>
          <w:bCs/>
          <w:color w:val="000000" w:themeColor="text1"/>
          <w:sz w:val="24"/>
          <w:szCs w:val="24"/>
        </w:rPr>
        <w:t xml:space="preserve">quantification of </w:t>
      </w:r>
      <w:r w:rsidR="00066FE9" w:rsidRPr="00D01AE0">
        <w:rPr>
          <w:rFonts w:asciiTheme="minorHAnsi" w:hAnsiTheme="minorHAnsi"/>
          <w:bCs/>
          <w:i/>
          <w:color w:val="000000" w:themeColor="text1"/>
          <w:sz w:val="24"/>
          <w:szCs w:val="24"/>
        </w:rPr>
        <w:t>all</w:t>
      </w:r>
      <w:r w:rsidR="00D01AE0">
        <w:rPr>
          <w:rFonts w:asciiTheme="minorHAnsi" w:hAnsiTheme="minorHAnsi"/>
          <w:bCs/>
          <w:color w:val="000000" w:themeColor="text1"/>
          <w:sz w:val="24"/>
          <w:szCs w:val="24"/>
        </w:rPr>
        <w:t xml:space="preserve"> outcomes and cost</w:t>
      </w:r>
      <w:r w:rsidR="00066FE9">
        <w:rPr>
          <w:rFonts w:asciiTheme="minorHAnsi" w:hAnsiTheme="minorHAnsi"/>
          <w:bCs/>
          <w:color w:val="000000" w:themeColor="text1"/>
          <w:sz w:val="24"/>
          <w:szCs w:val="24"/>
        </w:rPr>
        <w:t xml:space="preserve"> elements </w:t>
      </w:r>
      <w:r w:rsidR="00D01AE0">
        <w:rPr>
          <w:rFonts w:asciiTheme="minorHAnsi" w:hAnsiTheme="minorHAnsi"/>
          <w:bCs/>
          <w:color w:val="000000" w:themeColor="text1"/>
          <w:sz w:val="24"/>
          <w:szCs w:val="24"/>
        </w:rPr>
        <w:t xml:space="preserve">required </w:t>
      </w:r>
      <w:r w:rsidR="00066FE9">
        <w:rPr>
          <w:rFonts w:asciiTheme="minorHAnsi" w:hAnsiTheme="minorHAnsi"/>
          <w:bCs/>
          <w:color w:val="000000" w:themeColor="text1"/>
          <w:sz w:val="24"/>
          <w:szCs w:val="24"/>
        </w:rPr>
        <w:t xml:space="preserve">for conducting the most comprehensive analyses </w:t>
      </w:r>
      <w:r w:rsidR="00D01AE0">
        <w:rPr>
          <w:rFonts w:asciiTheme="minorHAnsi" w:hAnsiTheme="minorHAnsi"/>
          <w:bCs/>
          <w:color w:val="000000" w:themeColor="text1"/>
          <w:sz w:val="24"/>
          <w:szCs w:val="24"/>
        </w:rPr>
        <w:t>are</w:t>
      </w:r>
      <w:r w:rsidR="00066FE9">
        <w:rPr>
          <w:rFonts w:asciiTheme="minorHAnsi" w:hAnsiTheme="minorHAnsi"/>
          <w:bCs/>
          <w:color w:val="000000" w:themeColor="text1"/>
          <w:sz w:val="24"/>
          <w:szCs w:val="24"/>
        </w:rPr>
        <w:t xml:space="preserve"> </w:t>
      </w:r>
      <w:r w:rsidR="00D01AE0">
        <w:rPr>
          <w:rFonts w:asciiTheme="minorHAnsi" w:hAnsiTheme="minorHAnsi"/>
          <w:bCs/>
          <w:color w:val="000000" w:themeColor="text1"/>
          <w:sz w:val="24"/>
          <w:szCs w:val="24"/>
        </w:rPr>
        <w:t>currently not available, a somewhat l</w:t>
      </w:r>
      <w:r w:rsidR="00E63580">
        <w:rPr>
          <w:rFonts w:asciiTheme="minorHAnsi" w:hAnsiTheme="minorHAnsi"/>
          <w:color w:val="000000" w:themeColor="text1"/>
          <w:sz w:val="24"/>
        </w:rPr>
        <w:t>ess extensive analysis and i</w:t>
      </w:r>
      <w:r w:rsidR="00AF3462">
        <w:rPr>
          <w:rFonts w:asciiTheme="minorHAnsi" w:hAnsiTheme="minorHAnsi"/>
          <w:color w:val="000000" w:themeColor="text1"/>
          <w:sz w:val="24"/>
        </w:rPr>
        <w:t>mproved</w:t>
      </w:r>
      <w:r w:rsidR="00C81BB4" w:rsidRPr="00BE15B8">
        <w:rPr>
          <w:rFonts w:asciiTheme="minorHAnsi" w:hAnsiTheme="minorHAnsi"/>
          <w:color w:val="000000" w:themeColor="text1"/>
          <w:sz w:val="24"/>
        </w:rPr>
        <w:t xml:space="preserve"> understanding of </w:t>
      </w:r>
      <w:r w:rsidR="00C81BB4">
        <w:rPr>
          <w:rFonts w:asciiTheme="minorHAnsi" w:hAnsiTheme="minorHAnsi"/>
          <w:color w:val="000000" w:themeColor="text1"/>
          <w:sz w:val="24"/>
        </w:rPr>
        <w:t>the</w:t>
      </w:r>
      <w:r>
        <w:rPr>
          <w:rFonts w:asciiTheme="minorHAnsi" w:hAnsiTheme="minorHAnsi"/>
          <w:color w:val="000000" w:themeColor="text1"/>
          <w:sz w:val="24"/>
        </w:rPr>
        <w:t xml:space="preserve"> individual </w:t>
      </w:r>
      <w:r w:rsidR="00C81BB4" w:rsidRPr="00BE15B8">
        <w:rPr>
          <w:rFonts w:asciiTheme="minorHAnsi" w:hAnsiTheme="minorHAnsi"/>
          <w:color w:val="000000" w:themeColor="text1"/>
          <w:sz w:val="24"/>
        </w:rPr>
        <w:t xml:space="preserve">elements involved is </w:t>
      </w:r>
      <w:r w:rsidR="00AF3462">
        <w:rPr>
          <w:rFonts w:asciiTheme="minorHAnsi" w:hAnsiTheme="minorHAnsi"/>
          <w:color w:val="000000" w:themeColor="text1"/>
          <w:sz w:val="24"/>
        </w:rPr>
        <w:t xml:space="preserve">still </w:t>
      </w:r>
      <w:r w:rsidR="00C81BB4" w:rsidRPr="00BE15B8">
        <w:rPr>
          <w:rFonts w:asciiTheme="minorHAnsi" w:hAnsiTheme="minorHAnsi"/>
          <w:color w:val="000000" w:themeColor="text1"/>
          <w:sz w:val="24"/>
        </w:rPr>
        <w:t>possible</w:t>
      </w:r>
      <w:r w:rsidR="00C81BB4">
        <w:rPr>
          <w:rFonts w:asciiTheme="minorHAnsi" w:hAnsiTheme="minorHAnsi"/>
          <w:color w:val="000000" w:themeColor="text1"/>
          <w:sz w:val="24"/>
        </w:rPr>
        <w:t>,</w:t>
      </w:r>
      <w:r w:rsidR="00C81BB4" w:rsidRPr="00BE15B8">
        <w:rPr>
          <w:rFonts w:asciiTheme="minorHAnsi" w:hAnsiTheme="minorHAnsi"/>
          <w:color w:val="000000" w:themeColor="text1"/>
          <w:sz w:val="24"/>
        </w:rPr>
        <w:t xml:space="preserve"> useful</w:t>
      </w:r>
      <w:r w:rsidR="00C81BB4">
        <w:rPr>
          <w:rFonts w:asciiTheme="minorHAnsi" w:hAnsiTheme="minorHAnsi"/>
          <w:color w:val="000000" w:themeColor="text1"/>
          <w:sz w:val="24"/>
        </w:rPr>
        <w:t xml:space="preserve"> </w:t>
      </w:r>
      <w:r w:rsidR="00C81BB4">
        <w:rPr>
          <w:rFonts w:asciiTheme="minorHAnsi" w:hAnsiTheme="minorHAnsi"/>
          <w:color w:val="000000" w:themeColor="text1"/>
          <w:sz w:val="24"/>
        </w:rPr>
        <w:t>and desirable</w:t>
      </w:r>
      <w:r w:rsidR="00E63580">
        <w:rPr>
          <w:rFonts w:asciiTheme="minorHAnsi" w:hAnsiTheme="minorHAnsi"/>
          <w:color w:val="000000" w:themeColor="text1"/>
          <w:sz w:val="24"/>
        </w:rPr>
        <w:t>. This report will take the first</w:t>
      </w:r>
      <w:r w:rsidR="00C81BB4" w:rsidRPr="00BE15B8">
        <w:rPr>
          <w:rFonts w:asciiTheme="minorHAnsi" w:hAnsiTheme="minorHAnsi"/>
          <w:color w:val="000000" w:themeColor="text1"/>
          <w:sz w:val="24"/>
        </w:rPr>
        <w:t xml:space="preserve"> step towards a systematic analysis by examining </w:t>
      </w:r>
      <w:r w:rsidR="0008060D">
        <w:rPr>
          <w:rFonts w:asciiTheme="minorHAnsi" w:hAnsiTheme="minorHAnsi"/>
          <w:color w:val="000000" w:themeColor="text1"/>
          <w:sz w:val="24"/>
        </w:rPr>
        <w:t xml:space="preserve">a set of representative attempts to estimate </w:t>
      </w:r>
      <w:r w:rsidR="00C81BB4" w:rsidRPr="00BE15B8">
        <w:rPr>
          <w:rFonts w:asciiTheme="minorHAnsi" w:hAnsiTheme="minorHAnsi"/>
          <w:color w:val="000000" w:themeColor="text1"/>
          <w:sz w:val="24"/>
        </w:rPr>
        <w:t>public expenditure on supply reduction</w:t>
      </w:r>
      <w:r w:rsidR="00C81BB4">
        <w:rPr>
          <w:rFonts w:asciiTheme="minorHAnsi" w:hAnsiTheme="minorHAnsi"/>
          <w:color w:val="000000" w:themeColor="text1"/>
          <w:sz w:val="24"/>
        </w:rPr>
        <w:t xml:space="preserve"> policies</w:t>
      </w:r>
      <w:r w:rsidR="00C81BB4" w:rsidRPr="00BE15B8">
        <w:rPr>
          <w:rFonts w:asciiTheme="minorHAnsi" w:hAnsiTheme="minorHAnsi"/>
          <w:color w:val="000000" w:themeColor="text1"/>
          <w:sz w:val="24"/>
        </w:rPr>
        <w:t xml:space="preserve">. </w:t>
      </w:r>
      <w:r w:rsidR="00E63580">
        <w:rPr>
          <w:rFonts w:asciiTheme="minorHAnsi" w:hAnsiTheme="minorHAnsi"/>
          <w:iCs/>
          <w:sz w:val="24"/>
          <w:szCs w:val="24"/>
        </w:rPr>
        <w:t xml:space="preserve">It </w:t>
      </w:r>
      <w:r w:rsidR="006F2D8C" w:rsidRPr="00BE15B8">
        <w:rPr>
          <w:rFonts w:asciiTheme="minorHAnsi" w:hAnsiTheme="minorHAnsi"/>
          <w:iCs/>
          <w:sz w:val="24"/>
          <w:szCs w:val="24"/>
        </w:rPr>
        <w:t xml:space="preserve">proposes a common set of definitions to be used </w:t>
      </w:r>
      <w:r w:rsidR="000A3FE0" w:rsidRPr="00BE15B8">
        <w:rPr>
          <w:rFonts w:asciiTheme="minorHAnsi" w:hAnsiTheme="minorHAnsi"/>
          <w:iCs/>
          <w:sz w:val="24"/>
          <w:szCs w:val="24"/>
        </w:rPr>
        <w:t>for</w:t>
      </w:r>
      <w:r w:rsidR="006F2D8C" w:rsidRPr="00BE15B8">
        <w:rPr>
          <w:rFonts w:asciiTheme="minorHAnsi" w:hAnsiTheme="minorHAnsi"/>
          <w:iCs/>
          <w:sz w:val="24"/>
          <w:szCs w:val="24"/>
        </w:rPr>
        <w:t xml:space="preserve"> public expenditure assessment and evaluation</w:t>
      </w:r>
      <w:r w:rsidR="00541120">
        <w:rPr>
          <w:rFonts w:asciiTheme="minorHAnsi" w:hAnsiTheme="minorHAnsi"/>
          <w:iCs/>
          <w:sz w:val="24"/>
          <w:szCs w:val="24"/>
        </w:rPr>
        <w:t>, and it</w:t>
      </w:r>
      <w:r w:rsidR="0008060D">
        <w:rPr>
          <w:rFonts w:asciiTheme="minorHAnsi" w:hAnsiTheme="minorHAnsi"/>
          <w:iCs/>
          <w:sz w:val="24"/>
          <w:szCs w:val="24"/>
        </w:rPr>
        <w:t xml:space="preserve"> aims </w:t>
      </w:r>
      <w:r w:rsidR="006F2D8C" w:rsidRPr="00BE15B8">
        <w:rPr>
          <w:rFonts w:asciiTheme="minorHAnsi" w:hAnsiTheme="minorHAnsi"/>
          <w:iCs/>
          <w:sz w:val="24"/>
          <w:szCs w:val="24"/>
        </w:rPr>
        <w:t xml:space="preserve">to </w:t>
      </w:r>
      <w:r w:rsidR="006F2D8C" w:rsidRPr="00BE15B8">
        <w:rPr>
          <w:rFonts w:asciiTheme="minorHAnsi" w:hAnsiTheme="minorHAnsi"/>
          <w:iCs/>
          <w:sz w:val="24"/>
          <w:szCs w:val="24"/>
        </w:rPr>
        <w:t>establish a common basis for understanding such complex subject matter and facilitate comparability in three main dimensions</w:t>
      </w:r>
      <w:r w:rsidR="000A3FE0" w:rsidRPr="00BE15B8">
        <w:rPr>
          <w:rFonts w:asciiTheme="minorHAnsi" w:hAnsiTheme="minorHAnsi"/>
          <w:iCs/>
          <w:sz w:val="24"/>
          <w:szCs w:val="24"/>
        </w:rPr>
        <w:t>:</w:t>
      </w:r>
      <w:r w:rsidR="006F2D8C" w:rsidRPr="00BE15B8">
        <w:rPr>
          <w:rFonts w:asciiTheme="minorHAnsi" w:hAnsiTheme="minorHAnsi"/>
          <w:iCs/>
          <w:sz w:val="24"/>
          <w:szCs w:val="24"/>
        </w:rPr>
        <w:t xml:space="preserve"> time, policy and countries. </w:t>
      </w:r>
      <w:r w:rsidR="005D11C8" w:rsidRPr="00BE15B8">
        <w:rPr>
          <w:rFonts w:asciiTheme="minorHAnsi" w:hAnsiTheme="minorHAnsi"/>
          <w:iCs/>
          <w:sz w:val="24"/>
          <w:szCs w:val="24"/>
        </w:rPr>
        <w:t>Although it is mainly confined to supply reduction expenditures</w:t>
      </w:r>
      <w:r w:rsidR="00E35A79" w:rsidRPr="00BE15B8">
        <w:rPr>
          <w:rFonts w:asciiTheme="minorHAnsi" w:hAnsiTheme="minorHAnsi"/>
          <w:iCs/>
          <w:sz w:val="24"/>
          <w:szCs w:val="24"/>
        </w:rPr>
        <w:t>,</w:t>
      </w:r>
      <w:r w:rsidR="00DD53DB">
        <w:rPr>
          <w:rFonts w:asciiTheme="minorHAnsi" w:hAnsiTheme="minorHAnsi"/>
          <w:iCs/>
          <w:sz w:val="24"/>
          <w:szCs w:val="24"/>
        </w:rPr>
        <w:t xml:space="preserve"> </w:t>
      </w:r>
      <w:r w:rsidR="0008060D">
        <w:rPr>
          <w:rFonts w:asciiTheme="minorHAnsi" w:hAnsiTheme="minorHAnsi"/>
          <w:iCs/>
          <w:sz w:val="24"/>
          <w:szCs w:val="24"/>
        </w:rPr>
        <w:t xml:space="preserve">in order to </w:t>
      </w:r>
      <w:r w:rsidR="00104456">
        <w:rPr>
          <w:rFonts w:asciiTheme="minorHAnsi" w:hAnsiTheme="minorHAnsi"/>
          <w:iCs/>
          <w:sz w:val="24"/>
          <w:szCs w:val="24"/>
        </w:rPr>
        <w:t xml:space="preserve">contextualize them, </w:t>
      </w:r>
      <w:r w:rsidR="00E35A79" w:rsidRPr="00BE15B8">
        <w:rPr>
          <w:rFonts w:asciiTheme="minorHAnsi" w:hAnsiTheme="minorHAnsi"/>
          <w:iCs/>
          <w:sz w:val="24"/>
          <w:szCs w:val="24"/>
        </w:rPr>
        <w:t xml:space="preserve">it describes </w:t>
      </w:r>
      <w:r w:rsidR="006F2D8C" w:rsidRPr="00BE15B8">
        <w:rPr>
          <w:rFonts w:asciiTheme="minorHAnsi" w:hAnsiTheme="minorHAnsi"/>
          <w:iCs/>
          <w:sz w:val="24"/>
          <w:szCs w:val="24"/>
        </w:rPr>
        <w:t xml:space="preserve">the proportion that </w:t>
      </w:r>
      <w:r w:rsidR="00A24244">
        <w:rPr>
          <w:rFonts w:asciiTheme="minorHAnsi" w:hAnsiTheme="minorHAnsi"/>
          <w:iCs/>
          <w:sz w:val="24"/>
          <w:szCs w:val="24"/>
        </w:rPr>
        <w:t xml:space="preserve">total </w:t>
      </w:r>
      <w:r w:rsidR="006F2D8C" w:rsidRPr="00BE15B8">
        <w:rPr>
          <w:rFonts w:asciiTheme="minorHAnsi" w:hAnsiTheme="minorHAnsi"/>
          <w:iCs/>
          <w:sz w:val="24"/>
          <w:szCs w:val="24"/>
        </w:rPr>
        <w:t>drug-related expenditure represent</w:t>
      </w:r>
      <w:r w:rsidR="000A3FE0" w:rsidRPr="00BE15B8">
        <w:rPr>
          <w:rFonts w:asciiTheme="minorHAnsi" w:hAnsiTheme="minorHAnsi"/>
          <w:iCs/>
          <w:sz w:val="24"/>
          <w:szCs w:val="24"/>
        </w:rPr>
        <w:t>s</w:t>
      </w:r>
      <w:r w:rsidR="006F2D8C" w:rsidRPr="00BE15B8">
        <w:rPr>
          <w:rFonts w:asciiTheme="minorHAnsi" w:hAnsiTheme="minorHAnsi"/>
          <w:iCs/>
          <w:sz w:val="24"/>
          <w:szCs w:val="24"/>
        </w:rPr>
        <w:t xml:space="preserve"> of </w:t>
      </w:r>
      <w:r w:rsidR="00DD53DB">
        <w:rPr>
          <w:rFonts w:asciiTheme="minorHAnsi" w:hAnsiTheme="minorHAnsi"/>
          <w:iCs/>
          <w:sz w:val="24"/>
          <w:szCs w:val="24"/>
        </w:rPr>
        <w:t>national</w:t>
      </w:r>
      <w:r w:rsidR="006F2D8C" w:rsidRPr="00BE15B8">
        <w:rPr>
          <w:rFonts w:asciiTheme="minorHAnsi" w:hAnsiTheme="minorHAnsi"/>
          <w:iCs/>
          <w:sz w:val="24"/>
          <w:szCs w:val="24"/>
        </w:rPr>
        <w:t xml:space="preserve"> public spending</w:t>
      </w:r>
      <w:r w:rsidR="00DD53DB">
        <w:rPr>
          <w:rFonts w:asciiTheme="minorHAnsi" w:hAnsiTheme="minorHAnsi"/>
          <w:iCs/>
          <w:sz w:val="24"/>
          <w:szCs w:val="24"/>
        </w:rPr>
        <w:t xml:space="preserve"> and presents</w:t>
      </w:r>
      <w:r w:rsidR="00E35A79" w:rsidRPr="00BE15B8">
        <w:rPr>
          <w:rFonts w:asciiTheme="minorHAnsi" w:hAnsiTheme="minorHAnsi"/>
          <w:iCs/>
          <w:sz w:val="24"/>
          <w:szCs w:val="24"/>
        </w:rPr>
        <w:t xml:space="preserve"> the balance of expenditures </w:t>
      </w:r>
      <w:r w:rsidR="007B0852">
        <w:rPr>
          <w:rFonts w:asciiTheme="minorHAnsi" w:hAnsiTheme="minorHAnsi"/>
          <w:iCs/>
          <w:sz w:val="24"/>
          <w:szCs w:val="24"/>
        </w:rPr>
        <w:t>between</w:t>
      </w:r>
      <w:r w:rsidR="007B0852" w:rsidRPr="00BE15B8">
        <w:rPr>
          <w:rFonts w:asciiTheme="minorHAnsi" w:hAnsiTheme="minorHAnsi"/>
          <w:iCs/>
          <w:sz w:val="24"/>
          <w:szCs w:val="24"/>
        </w:rPr>
        <w:t xml:space="preserve"> </w:t>
      </w:r>
      <w:r w:rsidR="00E35A79" w:rsidRPr="00BE15B8">
        <w:rPr>
          <w:rFonts w:asciiTheme="minorHAnsi" w:hAnsiTheme="minorHAnsi"/>
          <w:iCs/>
          <w:sz w:val="24"/>
          <w:szCs w:val="24"/>
        </w:rPr>
        <w:t xml:space="preserve">demand and supply reduction </w:t>
      </w:r>
      <w:r w:rsidR="007B0852">
        <w:rPr>
          <w:rFonts w:asciiTheme="minorHAnsi" w:hAnsiTheme="minorHAnsi"/>
          <w:iCs/>
          <w:sz w:val="24"/>
          <w:szCs w:val="24"/>
        </w:rPr>
        <w:t>initiatives</w:t>
      </w:r>
      <w:r w:rsidR="00304764" w:rsidRPr="00304764">
        <w:rPr>
          <w:rFonts w:asciiTheme="minorHAnsi" w:hAnsiTheme="minorHAnsi"/>
          <w:iCs/>
          <w:sz w:val="24"/>
          <w:szCs w:val="24"/>
        </w:rPr>
        <w:t xml:space="preserve"> </w:t>
      </w:r>
      <w:r w:rsidR="00304764">
        <w:rPr>
          <w:rFonts w:asciiTheme="minorHAnsi" w:hAnsiTheme="minorHAnsi"/>
          <w:iCs/>
          <w:sz w:val="24"/>
          <w:szCs w:val="24"/>
        </w:rPr>
        <w:t>for</w:t>
      </w:r>
      <w:r w:rsidR="00304764" w:rsidRPr="00BE15B8">
        <w:rPr>
          <w:rFonts w:asciiTheme="minorHAnsi" w:hAnsiTheme="minorHAnsi"/>
          <w:iCs/>
          <w:sz w:val="24"/>
          <w:szCs w:val="24"/>
        </w:rPr>
        <w:t xml:space="preserve"> a number of European countries</w:t>
      </w:r>
      <w:r w:rsidR="00E35A79" w:rsidRPr="00BE15B8">
        <w:rPr>
          <w:rFonts w:asciiTheme="minorHAnsi" w:hAnsiTheme="minorHAnsi"/>
          <w:iCs/>
          <w:sz w:val="24"/>
          <w:szCs w:val="24"/>
        </w:rPr>
        <w:t xml:space="preserve">. To </w:t>
      </w:r>
      <w:r w:rsidR="000A3FE0" w:rsidRPr="00BE15B8">
        <w:rPr>
          <w:rFonts w:asciiTheme="minorHAnsi" w:hAnsiTheme="minorHAnsi"/>
          <w:iCs/>
          <w:sz w:val="24"/>
          <w:szCs w:val="24"/>
        </w:rPr>
        <w:t xml:space="preserve">facilitate and promote </w:t>
      </w:r>
      <w:r w:rsidR="00E35A79" w:rsidRPr="00BE15B8">
        <w:rPr>
          <w:rFonts w:asciiTheme="minorHAnsi" w:hAnsiTheme="minorHAnsi"/>
          <w:iCs/>
          <w:sz w:val="24"/>
          <w:szCs w:val="24"/>
        </w:rPr>
        <w:t>future empirical expenditure studies,</w:t>
      </w:r>
      <w:r w:rsidR="006F2D8C" w:rsidRPr="00BE15B8">
        <w:rPr>
          <w:rFonts w:asciiTheme="minorHAnsi" w:hAnsiTheme="minorHAnsi"/>
          <w:iCs/>
          <w:sz w:val="24"/>
          <w:szCs w:val="24"/>
        </w:rPr>
        <w:t xml:space="preserve"> </w:t>
      </w:r>
      <w:r w:rsidR="00E35A79" w:rsidRPr="00BE15B8">
        <w:rPr>
          <w:rFonts w:asciiTheme="minorHAnsi" w:hAnsiTheme="minorHAnsi"/>
          <w:iCs/>
          <w:sz w:val="24"/>
          <w:szCs w:val="24"/>
        </w:rPr>
        <w:t xml:space="preserve">relevant </w:t>
      </w:r>
      <w:r w:rsidR="006F2D8C" w:rsidRPr="00BE15B8">
        <w:rPr>
          <w:rFonts w:asciiTheme="minorHAnsi" w:hAnsiTheme="minorHAnsi"/>
          <w:iCs/>
          <w:sz w:val="24"/>
          <w:szCs w:val="24"/>
        </w:rPr>
        <w:t xml:space="preserve">data sources </w:t>
      </w:r>
      <w:r w:rsidR="00E35A79" w:rsidRPr="00BE15B8">
        <w:rPr>
          <w:rFonts w:asciiTheme="minorHAnsi" w:hAnsiTheme="minorHAnsi"/>
          <w:iCs/>
          <w:sz w:val="24"/>
          <w:szCs w:val="24"/>
        </w:rPr>
        <w:t>and methodologies applied in empir</w:t>
      </w:r>
      <w:r w:rsidR="00B767A7" w:rsidRPr="00BE15B8">
        <w:rPr>
          <w:rFonts w:asciiTheme="minorHAnsi" w:hAnsiTheme="minorHAnsi"/>
          <w:iCs/>
          <w:sz w:val="24"/>
          <w:szCs w:val="24"/>
        </w:rPr>
        <w:t xml:space="preserve">ical estimations are listed and </w:t>
      </w:r>
      <w:r w:rsidR="00E35A79" w:rsidRPr="00BE15B8">
        <w:rPr>
          <w:rFonts w:asciiTheme="minorHAnsi" w:hAnsiTheme="minorHAnsi"/>
          <w:iCs/>
          <w:sz w:val="24"/>
          <w:szCs w:val="24"/>
        </w:rPr>
        <w:t>discussed</w:t>
      </w:r>
      <w:r w:rsidR="00F34163" w:rsidRPr="00BE15B8">
        <w:rPr>
          <w:rFonts w:asciiTheme="minorHAnsi" w:hAnsiTheme="minorHAnsi"/>
          <w:iCs/>
          <w:sz w:val="24"/>
          <w:szCs w:val="24"/>
        </w:rPr>
        <w:t xml:space="preserve">. </w:t>
      </w:r>
      <w:r w:rsidR="00E35A79" w:rsidRPr="00BE15B8">
        <w:rPr>
          <w:rFonts w:asciiTheme="minorHAnsi" w:hAnsiTheme="minorHAnsi"/>
          <w:iCs/>
          <w:sz w:val="24"/>
          <w:szCs w:val="24"/>
        </w:rPr>
        <w:t xml:space="preserve"> </w:t>
      </w:r>
      <w:r w:rsidR="00F34163" w:rsidRPr="00BE15B8">
        <w:rPr>
          <w:rFonts w:asciiTheme="minorHAnsi" w:hAnsiTheme="minorHAnsi"/>
          <w:iCs/>
          <w:sz w:val="24"/>
          <w:szCs w:val="24"/>
        </w:rPr>
        <w:t>Example</w:t>
      </w:r>
      <w:r w:rsidR="007B0852">
        <w:rPr>
          <w:rFonts w:asciiTheme="minorHAnsi" w:hAnsiTheme="minorHAnsi"/>
          <w:iCs/>
          <w:sz w:val="24"/>
          <w:szCs w:val="24"/>
        </w:rPr>
        <w:t>s</w:t>
      </w:r>
      <w:r w:rsidR="00F34163" w:rsidRPr="00BE15B8">
        <w:rPr>
          <w:rFonts w:asciiTheme="minorHAnsi" w:hAnsiTheme="minorHAnsi"/>
          <w:iCs/>
          <w:sz w:val="24"/>
          <w:szCs w:val="24"/>
        </w:rPr>
        <w:t xml:space="preserve"> of</w:t>
      </w:r>
      <w:r w:rsidR="006F2D8C" w:rsidRPr="00BE15B8">
        <w:rPr>
          <w:rFonts w:asciiTheme="minorHAnsi" w:hAnsiTheme="minorHAnsi"/>
          <w:iCs/>
          <w:sz w:val="24"/>
          <w:szCs w:val="24"/>
        </w:rPr>
        <w:t xml:space="preserve"> sectorial models of public spending and examples of national </w:t>
      </w:r>
      <w:r w:rsidR="00F34163" w:rsidRPr="00BE15B8">
        <w:rPr>
          <w:rFonts w:asciiTheme="minorHAnsi" w:hAnsiTheme="minorHAnsi"/>
          <w:iCs/>
          <w:sz w:val="24"/>
          <w:szCs w:val="24"/>
        </w:rPr>
        <w:t xml:space="preserve">supply reduction expenditure </w:t>
      </w:r>
      <w:r w:rsidR="006F2D8C" w:rsidRPr="00BE15B8">
        <w:rPr>
          <w:rFonts w:asciiTheme="minorHAnsi" w:hAnsiTheme="minorHAnsi"/>
          <w:iCs/>
          <w:sz w:val="24"/>
          <w:szCs w:val="24"/>
        </w:rPr>
        <w:t xml:space="preserve">studies </w:t>
      </w:r>
      <w:r w:rsidR="00F34163" w:rsidRPr="00BE15B8">
        <w:rPr>
          <w:rFonts w:asciiTheme="minorHAnsi" w:hAnsiTheme="minorHAnsi"/>
          <w:iCs/>
          <w:sz w:val="24"/>
          <w:szCs w:val="24"/>
        </w:rPr>
        <w:t>are</w:t>
      </w:r>
      <w:r w:rsidR="006F2D8C" w:rsidRPr="00BE15B8">
        <w:rPr>
          <w:rFonts w:asciiTheme="minorHAnsi" w:hAnsiTheme="minorHAnsi"/>
          <w:iCs/>
          <w:sz w:val="24"/>
          <w:szCs w:val="24"/>
        </w:rPr>
        <w:t xml:space="preserve"> provided.</w:t>
      </w:r>
      <w:r w:rsidR="00F34163" w:rsidRPr="00BE15B8">
        <w:rPr>
          <w:rFonts w:asciiTheme="minorHAnsi" w:hAnsiTheme="minorHAnsi"/>
          <w:iCs/>
          <w:sz w:val="24"/>
          <w:szCs w:val="24"/>
        </w:rPr>
        <w:t xml:space="preserve"> </w:t>
      </w:r>
      <w:r w:rsidR="00DE7529" w:rsidRPr="00BE15B8">
        <w:rPr>
          <w:rFonts w:asciiTheme="minorHAnsi" w:hAnsiTheme="minorHAnsi"/>
          <w:iCs/>
          <w:sz w:val="24"/>
          <w:szCs w:val="24"/>
        </w:rPr>
        <w:t xml:space="preserve">Finally, </w:t>
      </w:r>
      <w:r w:rsidR="000054A5" w:rsidRPr="00BE15B8">
        <w:rPr>
          <w:rFonts w:asciiTheme="minorHAnsi" w:hAnsiTheme="minorHAnsi"/>
          <w:iCs/>
          <w:sz w:val="24"/>
          <w:szCs w:val="24"/>
        </w:rPr>
        <w:t xml:space="preserve">some </w:t>
      </w:r>
      <w:r w:rsidR="00DE7529" w:rsidRPr="00BE15B8">
        <w:rPr>
          <w:rFonts w:asciiTheme="minorHAnsi" w:hAnsiTheme="minorHAnsi"/>
          <w:iCs/>
          <w:sz w:val="24"/>
          <w:szCs w:val="24"/>
        </w:rPr>
        <w:t xml:space="preserve">conclusions and recommendations are offered. </w:t>
      </w:r>
    </w:p>
    <w:p w:rsidR="006F224F" w:rsidRPr="00BE15B8" w:rsidRDefault="006F224F" w:rsidP="00EA1934">
      <w:pPr>
        <w:pStyle w:val="HTML-forhndsformatert"/>
        <w:shd w:val="clear" w:color="auto" w:fill="FFFFFF"/>
        <w:spacing w:line="276" w:lineRule="auto"/>
        <w:jc w:val="both"/>
        <w:rPr>
          <w:rFonts w:asciiTheme="minorHAnsi" w:hAnsiTheme="minorHAnsi" w:cs="Times New Roman"/>
          <w:iCs/>
          <w:sz w:val="24"/>
          <w:szCs w:val="24"/>
          <w:lang w:val="en-GB"/>
        </w:rPr>
      </w:pPr>
    </w:p>
    <w:p w:rsidR="00C93138" w:rsidRPr="00BE15B8" w:rsidRDefault="00C93138" w:rsidP="002428D9">
      <w:pPr>
        <w:pStyle w:val="Overskrift1"/>
      </w:pPr>
      <w:r w:rsidRPr="00BE15B8">
        <w:t>Defining concepts</w:t>
      </w:r>
    </w:p>
    <w:p w:rsidR="00C93138" w:rsidRPr="00BE15B8" w:rsidRDefault="00C93138" w:rsidP="00EA1934">
      <w:pPr>
        <w:pStyle w:val="HTML-forhndsformatert"/>
        <w:shd w:val="clear" w:color="auto" w:fill="FFFFFF"/>
        <w:spacing w:line="276" w:lineRule="auto"/>
        <w:jc w:val="both"/>
        <w:rPr>
          <w:rFonts w:asciiTheme="minorHAnsi" w:hAnsiTheme="minorHAnsi" w:cs="Times New Roman"/>
          <w:iCs/>
          <w:sz w:val="24"/>
          <w:szCs w:val="24"/>
          <w:lang w:val="en-GB"/>
        </w:rPr>
      </w:pPr>
    </w:p>
    <w:p w:rsidR="00741A77" w:rsidRPr="00BE15B8" w:rsidRDefault="00741A77" w:rsidP="00EA1934">
      <w:pPr>
        <w:autoSpaceDE w:val="0"/>
        <w:autoSpaceDN w:val="0"/>
        <w:adjustRightInd w:val="0"/>
        <w:spacing w:after="0"/>
        <w:jc w:val="both"/>
        <w:rPr>
          <w:rFonts w:asciiTheme="minorHAnsi" w:eastAsia="Times New Roman" w:hAnsiTheme="minorHAnsi"/>
          <w:b/>
          <w:i/>
          <w:iCs/>
          <w:sz w:val="24"/>
          <w:szCs w:val="24"/>
          <w:lang w:eastAsia="hr-HR"/>
        </w:rPr>
      </w:pPr>
      <w:r w:rsidRPr="00BE15B8">
        <w:rPr>
          <w:rFonts w:asciiTheme="minorHAnsi" w:eastAsia="Times New Roman" w:hAnsiTheme="minorHAnsi"/>
          <w:b/>
          <w:i/>
          <w:iCs/>
          <w:sz w:val="24"/>
          <w:szCs w:val="24"/>
          <w:lang w:eastAsia="hr-HR"/>
        </w:rPr>
        <w:t>Public expenditure</w:t>
      </w:r>
      <w:r w:rsidR="00276223" w:rsidRPr="00BE15B8">
        <w:rPr>
          <w:rFonts w:asciiTheme="minorHAnsi" w:eastAsia="Times New Roman" w:hAnsiTheme="minorHAnsi"/>
          <w:b/>
          <w:i/>
          <w:iCs/>
          <w:sz w:val="24"/>
          <w:szCs w:val="24"/>
          <w:lang w:eastAsia="hr-HR"/>
        </w:rPr>
        <w:t>s</w:t>
      </w:r>
    </w:p>
    <w:p w:rsidR="00B02DF5" w:rsidRPr="00865B8C" w:rsidRDefault="00B02DF5" w:rsidP="001D7881">
      <w:pPr>
        <w:jc w:val="both"/>
        <w:rPr>
          <w:rFonts w:asciiTheme="minorHAnsi" w:hAnsiTheme="minorHAnsi"/>
          <w:sz w:val="24"/>
          <w:lang w:eastAsia="hr-HR"/>
        </w:rPr>
      </w:pPr>
      <w:r w:rsidRPr="00865B8C">
        <w:rPr>
          <w:rFonts w:asciiTheme="minorHAnsi" w:hAnsiTheme="minorHAnsi"/>
          <w:sz w:val="24"/>
          <w:lang w:eastAsia="hr-HR"/>
        </w:rPr>
        <w:t xml:space="preserve">The term ‘public expenditure’ refers to the value of goods and services purchased by </w:t>
      </w:r>
      <w:r w:rsidR="007F1362" w:rsidRPr="00865B8C">
        <w:rPr>
          <w:rFonts w:asciiTheme="minorHAnsi" w:hAnsiTheme="minorHAnsi"/>
          <w:sz w:val="24"/>
          <w:lang w:eastAsia="hr-HR"/>
        </w:rPr>
        <w:t xml:space="preserve">a </w:t>
      </w:r>
      <w:r w:rsidRPr="00865B8C">
        <w:rPr>
          <w:rFonts w:asciiTheme="minorHAnsi" w:hAnsiTheme="minorHAnsi"/>
          <w:sz w:val="24"/>
          <w:lang w:eastAsia="hr-HR"/>
        </w:rPr>
        <w:t xml:space="preserve">general government (at central, regional </w:t>
      </w:r>
      <w:r w:rsidR="007A2B04" w:rsidRPr="00865B8C">
        <w:rPr>
          <w:rFonts w:asciiTheme="minorHAnsi" w:hAnsiTheme="minorHAnsi"/>
          <w:sz w:val="24"/>
          <w:lang w:eastAsia="hr-HR"/>
        </w:rPr>
        <w:t>and</w:t>
      </w:r>
      <w:r w:rsidRPr="00865B8C">
        <w:rPr>
          <w:rFonts w:asciiTheme="minorHAnsi" w:hAnsiTheme="minorHAnsi"/>
          <w:sz w:val="24"/>
          <w:lang w:eastAsia="hr-HR"/>
        </w:rPr>
        <w:t xml:space="preserve"> local level) in order to</w:t>
      </w:r>
      <w:r w:rsidR="00114B16" w:rsidRPr="00865B8C">
        <w:rPr>
          <w:rFonts w:asciiTheme="minorHAnsi" w:hAnsiTheme="minorHAnsi"/>
          <w:sz w:val="24"/>
          <w:lang w:eastAsia="hr-HR"/>
        </w:rPr>
        <w:t xml:space="preserve"> </w:t>
      </w:r>
      <w:r w:rsidR="00114B16" w:rsidRPr="00865B8C">
        <w:rPr>
          <w:rFonts w:asciiTheme="minorHAnsi" w:hAnsiTheme="minorHAnsi"/>
          <w:sz w:val="24"/>
          <w:lang w:eastAsia="hr-HR"/>
        </w:rPr>
        <w:t xml:space="preserve">perform its </w:t>
      </w:r>
      <w:r w:rsidR="00114B16" w:rsidRPr="00865B8C">
        <w:rPr>
          <w:rFonts w:asciiTheme="minorHAnsi" w:hAnsiTheme="minorHAnsi"/>
          <w:sz w:val="24"/>
          <w:lang w:eastAsia="hr-HR"/>
        </w:rPr>
        <w:t>functions</w:t>
      </w:r>
      <w:r w:rsidR="00A811A5" w:rsidRPr="00865B8C">
        <w:rPr>
          <w:rFonts w:asciiTheme="minorHAnsi" w:hAnsiTheme="minorHAnsi"/>
          <w:sz w:val="24"/>
          <w:lang w:eastAsia="hr-HR"/>
        </w:rPr>
        <w:t>.</w:t>
      </w:r>
      <w:r w:rsidR="00114B16" w:rsidRPr="00865B8C">
        <w:rPr>
          <w:rFonts w:asciiTheme="minorHAnsi" w:hAnsiTheme="minorHAnsi"/>
          <w:sz w:val="24"/>
          <w:lang w:eastAsia="hr-HR"/>
        </w:rPr>
        <w:t xml:space="preserve"> </w:t>
      </w:r>
      <w:r w:rsidR="00A811A5" w:rsidRPr="00865B8C">
        <w:rPr>
          <w:rFonts w:asciiTheme="minorHAnsi" w:hAnsiTheme="minorHAnsi"/>
          <w:sz w:val="24"/>
          <w:lang w:eastAsia="hr-HR"/>
        </w:rPr>
        <w:t>F</w:t>
      </w:r>
      <w:r w:rsidR="00114B16" w:rsidRPr="00865B8C">
        <w:rPr>
          <w:rFonts w:asciiTheme="minorHAnsi" w:hAnsiTheme="minorHAnsi"/>
          <w:sz w:val="24"/>
          <w:lang w:eastAsia="hr-HR"/>
        </w:rPr>
        <w:t>or instance, it refers to</w:t>
      </w:r>
      <w:r w:rsidRPr="00865B8C">
        <w:rPr>
          <w:rFonts w:asciiTheme="minorHAnsi" w:hAnsiTheme="minorHAnsi"/>
          <w:sz w:val="24"/>
          <w:lang w:eastAsia="hr-HR"/>
        </w:rPr>
        <w:t xml:space="preserve"> </w:t>
      </w:r>
      <w:r w:rsidR="000054A5" w:rsidRPr="00865B8C">
        <w:rPr>
          <w:rFonts w:asciiTheme="minorHAnsi" w:hAnsiTheme="minorHAnsi"/>
          <w:sz w:val="24"/>
          <w:lang w:eastAsia="hr-HR"/>
        </w:rPr>
        <w:t xml:space="preserve">resources spent on </w:t>
      </w:r>
      <w:r w:rsidRPr="00865B8C">
        <w:rPr>
          <w:rFonts w:asciiTheme="minorHAnsi" w:hAnsiTheme="minorHAnsi"/>
          <w:sz w:val="24"/>
          <w:lang w:eastAsia="hr-HR"/>
        </w:rPr>
        <w:t>healthcare, justice, public order</w:t>
      </w:r>
      <w:r w:rsidR="00F76FFC">
        <w:rPr>
          <w:rFonts w:asciiTheme="minorHAnsi" w:hAnsiTheme="minorHAnsi"/>
          <w:sz w:val="24"/>
          <w:lang w:eastAsia="hr-HR"/>
        </w:rPr>
        <w:t xml:space="preserve"> and safety</w:t>
      </w:r>
      <w:r w:rsidRPr="00865B8C">
        <w:rPr>
          <w:rFonts w:asciiTheme="minorHAnsi" w:hAnsiTheme="minorHAnsi"/>
          <w:sz w:val="24"/>
          <w:lang w:eastAsia="hr-HR"/>
        </w:rPr>
        <w:t xml:space="preserve">, education, social </w:t>
      </w:r>
      <w:r w:rsidR="00114B16" w:rsidRPr="00865B8C">
        <w:rPr>
          <w:rFonts w:asciiTheme="minorHAnsi" w:hAnsiTheme="minorHAnsi"/>
          <w:sz w:val="24"/>
          <w:lang w:eastAsia="hr-HR"/>
        </w:rPr>
        <w:t>protection</w:t>
      </w:r>
      <w:r w:rsidR="007F1362" w:rsidRPr="00865B8C">
        <w:rPr>
          <w:rFonts w:asciiTheme="minorHAnsi" w:hAnsiTheme="minorHAnsi"/>
          <w:sz w:val="24"/>
          <w:lang w:eastAsia="hr-HR"/>
        </w:rPr>
        <w:t>,</w:t>
      </w:r>
      <w:r w:rsidR="00114B16" w:rsidRPr="00865B8C">
        <w:rPr>
          <w:rFonts w:asciiTheme="minorHAnsi" w:hAnsiTheme="minorHAnsi"/>
          <w:sz w:val="24"/>
          <w:lang w:eastAsia="hr-HR"/>
        </w:rPr>
        <w:t xml:space="preserve"> </w:t>
      </w:r>
      <w:r w:rsidR="000054A5" w:rsidRPr="00865B8C">
        <w:rPr>
          <w:rFonts w:asciiTheme="minorHAnsi" w:hAnsiTheme="minorHAnsi"/>
          <w:sz w:val="24"/>
          <w:lang w:eastAsia="hr-HR"/>
        </w:rPr>
        <w:t xml:space="preserve">etc. </w:t>
      </w:r>
      <w:r w:rsidR="00114B16" w:rsidRPr="00865B8C">
        <w:rPr>
          <w:rFonts w:asciiTheme="minorHAnsi" w:hAnsiTheme="minorHAnsi"/>
          <w:sz w:val="24"/>
          <w:lang w:eastAsia="hr-HR"/>
        </w:rPr>
        <w:t>(Eurostat, 2011</w:t>
      </w:r>
      <w:r w:rsidRPr="00865B8C">
        <w:rPr>
          <w:rFonts w:asciiTheme="minorHAnsi" w:hAnsiTheme="minorHAnsi"/>
          <w:sz w:val="24"/>
          <w:lang w:eastAsia="hr-HR"/>
        </w:rPr>
        <w:t>)</w:t>
      </w:r>
      <w:r w:rsidR="007A2B04" w:rsidRPr="00865B8C">
        <w:rPr>
          <w:rFonts w:asciiTheme="minorHAnsi" w:hAnsiTheme="minorHAnsi"/>
          <w:sz w:val="24"/>
          <w:lang w:eastAsia="hr-HR"/>
        </w:rPr>
        <w:t>,</w:t>
      </w:r>
      <w:r w:rsidR="00A811A5" w:rsidRPr="00865B8C">
        <w:rPr>
          <w:rFonts w:asciiTheme="minorHAnsi" w:hAnsiTheme="minorHAnsi"/>
          <w:sz w:val="24"/>
          <w:lang w:eastAsia="hr-HR"/>
        </w:rPr>
        <w:t xml:space="preserve"> and i</w:t>
      </w:r>
      <w:r w:rsidRPr="00865B8C">
        <w:rPr>
          <w:rFonts w:asciiTheme="minorHAnsi" w:hAnsiTheme="minorHAnsi"/>
          <w:sz w:val="24"/>
          <w:lang w:eastAsia="hr-HR"/>
        </w:rPr>
        <w:t>ts quantification is a costing exercise undertaken from the government’s perspective</w:t>
      </w:r>
      <w:r w:rsidR="00F82E0D" w:rsidRPr="00865B8C">
        <w:rPr>
          <w:rFonts w:asciiTheme="minorHAnsi" w:hAnsiTheme="minorHAnsi"/>
          <w:sz w:val="24"/>
          <w:lang w:eastAsia="hr-HR"/>
        </w:rPr>
        <w:t xml:space="preserve"> </w:t>
      </w:r>
      <w:r w:rsidR="00F82E0D" w:rsidRPr="00865B8C">
        <w:rPr>
          <w:rFonts w:asciiTheme="minorHAnsi" w:hAnsiTheme="minorHAnsi"/>
          <w:sz w:val="24"/>
        </w:rPr>
        <w:t>(</w:t>
      </w:r>
      <w:r w:rsidR="009467E7" w:rsidRPr="00865B8C">
        <w:rPr>
          <w:rFonts w:asciiTheme="minorHAnsi" w:hAnsiTheme="minorHAnsi"/>
          <w:sz w:val="24"/>
        </w:rPr>
        <w:t>EMCDDA 2008</w:t>
      </w:r>
      <w:r w:rsidR="00F82E0D" w:rsidRPr="00865B8C">
        <w:rPr>
          <w:rFonts w:asciiTheme="minorHAnsi" w:hAnsiTheme="minorHAnsi"/>
          <w:sz w:val="24"/>
        </w:rPr>
        <w:t>).</w:t>
      </w:r>
      <w:r w:rsidR="00E611EA" w:rsidRPr="00865B8C">
        <w:rPr>
          <w:rFonts w:asciiTheme="minorHAnsi" w:hAnsiTheme="minorHAnsi"/>
          <w:sz w:val="24"/>
        </w:rPr>
        <w:t xml:space="preserve"> The role of private expenditures in drug policy </w:t>
      </w:r>
      <w:r w:rsidR="00F76FFC" w:rsidRPr="00865B8C">
        <w:rPr>
          <w:rFonts w:asciiTheme="minorHAnsi" w:hAnsiTheme="minorHAnsi"/>
          <w:sz w:val="24"/>
        </w:rPr>
        <w:t>var</w:t>
      </w:r>
      <w:r w:rsidR="00F76FFC">
        <w:rPr>
          <w:rFonts w:asciiTheme="minorHAnsi" w:hAnsiTheme="minorHAnsi"/>
          <w:sz w:val="24"/>
        </w:rPr>
        <w:t>ies</w:t>
      </w:r>
      <w:r w:rsidR="00F76FFC" w:rsidRPr="00865B8C">
        <w:rPr>
          <w:rFonts w:asciiTheme="minorHAnsi" w:hAnsiTheme="minorHAnsi"/>
          <w:sz w:val="24"/>
        </w:rPr>
        <w:t xml:space="preserve"> </w:t>
      </w:r>
      <w:r w:rsidR="00E611EA" w:rsidRPr="00865B8C">
        <w:rPr>
          <w:rFonts w:asciiTheme="minorHAnsi" w:hAnsiTheme="minorHAnsi"/>
          <w:sz w:val="24"/>
        </w:rPr>
        <w:t xml:space="preserve">across nations, time and policy areas. In many countries, drug treatment is partly financed by </w:t>
      </w:r>
      <w:r w:rsidR="00865B8C" w:rsidRPr="00865B8C">
        <w:rPr>
          <w:rFonts w:asciiTheme="minorHAnsi" w:hAnsiTheme="minorHAnsi"/>
          <w:sz w:val="24"/>
        </w:rPr>
        <w:t xml:space="preserve">the private sector (insurance companies, the drug users or their employers, relatives etc.). </w:t>
      </w:r>
      <w:r w:rsidR="00BB3091">
        <w:rPr>
          <w:rFonts w:asciiTheme="minorHAnsi" w:hAnsiTheme="minorHAnsi"/>
          <w:sz w:val="24"/>
        </w:rPr>
        <w:t xml:space="preserve">In other drug policy areas, such as </w:t>
      </w:r>
      <w:r w:rsidR="00865B8C" w:rsidRPr="00865B8C">
        <w:rPr>
          <w:rFonts w:asciiTheme="minorHAnsi" w:hAnsiTheme="minorHAnsi"/>
          <w:sz w:val="24"/>
        </w:rPr>
        <w:t xml:space="preserve">supply reduction, private funding usually </w:t>
      </w:r>
      <w:r w:rsidR="00813EF2">
        <w:rPr>
          <w:rFonts w:asciiTheme="minorHAnsi" w:hAnsiTheme="minorHAnsi"/>
          <w:sz w:val="24"/>
        </w:rPr>
        <w:t>constitutes</w:t>
      </w:r>
      <w:r w:rsidR="00865B8C" w:rsidRPr="00865B8C">
        <w:rPr>
          <w:rFonts w:asciiTheme="minorHAnsi" w:hAnsiTheme="minorHAnsi"/>
          <w:sz w:val="24"/>
        </w:rPr>
        <w:t xml:space="preserve"> a </w:t>
      </w:r>
      <w:r w:rsidR="00813EF2">
        <w:rPr>
          <w:rFonts w:asciiTheme="minorHAnsi" w:hAnsiTheme="minorHAnsi"/>
          <w:sz w:val="24"/>
        </w:rPr>
        <w:t>negligible share</w:t>
      </w:r>
      <w:r w:rsidR="00C0411C">
        <w:rPr>
          <w:rFonts w:asciiTheme="minorHAnsi" w:hAnsiTheme="minorHAnsi"/>
          <w:sz w:val="24"/>
        </w:rPr>
        <w:t xml:space="preserve"> of</w:t>
      </w:r>
      <w:r w:rsidR="004B285D">
        <w:rPr>
          <w:rFonts w:asciiTheme="minorHAnsi" w:hAnsiTheme="minorHAnsi"/>
          <w:sz w:val="24"/>
        </w:rPr>
        <w:t xml:space="preserve"> total</w:t>
      </w:r>
      <w:r w:rsidR="00C0411C">
        <w:rPr>
          <w:rFonts w:asciiTheme="minorHAnsi" w:hAnsiTheme="minorHAnsi"/>
          <w:sz w:val="24"/>
        </w:rPr>
        <w:t xml:space="preserve"> sp</w:t>
      </w:r>
      <w:r w:rsidR="00C0411C">
        <w:rPr>
          <w:rFonts w:asciiTheme="minorHAnsi" w:hAnsiTheme="minorHAnsi"/>
          <w:sz w:val="24"/>
        </w:rPr>
        <w:t>ending</w:t>
      </w:r>
      <w:r w:rsidR="00F31323">
        <w:rPr>
          <w:rFonts w:asciiTheme="minorHAnsi" w:hAnsiTheme="minorHAnsi"/>
          <w:sz w:val="24"/>
        </w:rPr>
        <w:t xml:space="preserve"> (European Commission, 2012)</w:t>
      </w:r>
      <w:r w:rsidR="00C0411C">
        <w:rPr>
          <w:rFonts w:asciiTheme="minorHAnsi" w:hAnsiTheme="minorHAnsi"/>
          <w:sz w:val="24"/>
        </w:rPr>
        <w:t xml:space="preserve">. </w:t>
      </w:r>
    </w:p>
    <w:p w:rsidR="00013858" w:rsidRPr="00BE15B8" w:rsidRDefault="00013858" w:rsidP="00013858">
      <w:pPr>
        <w:pStyle w:val="HTML-forhndsformatert"/>
        <w:shd w:val="clear" w:color="auto" w:fill="FFFFFF"/>
        <w:spacing w:line="276" w:lineRule="auto"/>
        <w:jc w:val="both"/>
        <w:rPr>
          <w:rFonts w:asciiTheme="minorHAnsi" w:hAnsiTheme="minorHAnsi" w:cs="Times New Roman"/>
          <w:b/>
          <w:i/>
          <w:iCs/>
          <w:sz w:val="24"/>
          <w:szCs w:val="24"/>
          <w:lang w:val="en-GB"/>
        </w:rPr>
      </w:pPr>
      <w:r w:rsidRPr="00BE15B8">
        <w:rPr>
          <w:rFonts w:asciiTheme="minorHAnsi" w:hAnsiTheme="minorHAnsi" w:cs="Times New Roman"/>
          <w:b/>
          <w:i/>
          <w:iCs/>
          <w:sz w:val="24"/>
          <w:szCs w:val="24"/>
          <w:lang w:val="en-GB"/>
        </w:rPr>
        <w:t xml:space="preserve">Drug-related </w:t>
      </w:r>
      <w:r w:rsidR="00A811A5" w:rsidRPr="00BE15B8">
        <w:rPr>
          <w:rFonts w:asciiTheme="minorHAnsi" w:hAnsiTheme="minorHAnsi" w:cs="Times New Roman"/>
          <w:b/>
          <w:i/>
          <w:iCs/>
          <w:sz w:val="24"/>
          <w:szCs w:val="24"/>
          <w:lang w:val="en-GB"/>
        </w:rPr>
        <w:t xml:space="preserve">public </w:t>
      </w:r>
      <w:r w:rsidRPr="00BE15B8">
        <w:rPr>
          <w:rFonts w:asciiTheme="minorHAnsi" w:hAnsiTheme="minorHAnsi" w:cs="Times New Roman"/>
          <w:b/>
          <w:i/>
          <w:iCs/>
          <w:sz w:val="24"/>
          <w:szCs w:val="24"/>
          <w:lang w:val="en-GB"/>
        </w:rPr>
        <w:t>expenditure</w:t>
      </w:r>
    </w:p>
    <w:p w:rsidR="00387728" w:rsidRPr="00BE15B8" w:rsidRDefault="00013858" w:rsidP="00387728">
      <w:pPr>
        <w:jc w:val="both"/>
        <w:rPr>
          <w:rFonts w:asciiTheme="minorHAnsi" w:hAnsiTheme="minorHAnsi"/>
          <w:sz w:val="24"/>
          <w:szCs w:val="24"/>
        </w:rPr>
      </w:pPr>
      <w:r w:rsidRPr="00BE15B8">
        <w:rPr>
          <w:rFonts w:asciiTheme="minorHAnsi" w:eastAsia="Times New Roman" w:hAnsiTheme="minorHAnsi"/>
          <w:iCs/>
          <w:sz w:val="24"/>
          <w:szCs w:val="24"/>
        </w:rPr>
        <w:t>Drug-related public expenditure is the value spent by governments in goods and services with the aim of tackling the illegal drug phenomena. A</w:t>
      </w:r>
      <w:r w:rsidRPr="00BE15B8">
        <w:rPr>
          <w:rFonts w:asciiTheme="minorHAnsi" w:hAnsiTheme="minorHAnsi"/>
          <w:iCs/>
          <w:sz w:val="24"/>
          <w:szCs w:val="24"/>
        </w:rPr>
        <w:t xml:space="preserve">lthough drug policy expenditure </w:t>
      </w:r>
      <w:r w:rsidR="0057650C">
        <w:rPr>
          <w:rFonts w:asciiTheme="minorHAnsi" w:hAnsiTheme="minorHAnsi"/>
          <w:iCs/>
          <w:sz w:val="24"/>
          <w:szCs w:val="24"/>
        </w:rPr>
        <w:t>estimates</w:t>
      </w:r>
      <w:r w:rsidR="0057650C" w:rsidRPr="00BE15B8">
        <w:rPr>
          <w:rFonts w:asciiTheme="minorHAnsi" w:hAnsiTheme="minorHAnsi"/>
          <w:iCs/>
          <w:sz w:val="24"/>
          <w:szCs w:val="24"/>
        </w:rPr>
        <w:t xml:space="preserve"> </w:t>
      </w:r>
      <w:r w:rsidRPr="00BE15B8">
        <w:rPr>
          <w:rFonts w:asciiTheme="minorHAnsi" w:hAnsiTheme="minorHAnsi"/>
          <w:iCs/>
          <w:sz w:val="24"/>
          <w:szCs w:val="24"/>
        </w:rPr>
        <w:t xml:space="preserve">are deemed useful, </w:t>
      </w:r>
      <w:r w:rsidR="002A5D8C">
        <w:rPr>
          <w:rFonts w:asciiTheme="minorHAnsi" w:hAnsiTheme="minorHAnsi"/>
          <w:iCs/>
          <w:sz w:val="24"/>
          <w:szCs w:val="24"/>
        </w:rPr>
        <w:t>m</w:t>
      </w:r>
      <w:r w:rsidR="002A5D8C" w:rsidRPr="00BE15B8">
        <w:rPr>
          <w:rFonts w:asciiTheme="minorHAnsi" w:eastAsia="Times New Roman" w:hAnsiTheme="minorHAnsi"/>
          <w:iCs/>
          <w:sz w:val="24"/>
          <w:szCs w:val="24"/>
        </w:rPr>
        <w:t>ost countries do not produce separate drug-</w:t>
      </w:r>
      <w:r w:rsidR="002A5D8C" w:rsidRPr="00BE15B8">
        <w:rPr>
          <w:rFonts w:asciiTheme="minorHAnsi" w:eastAsia="Times New Roman" w:hAnsiTheme="minorHAnsi"/>
          <w:iCs/>
          <w:sz w:val="24"/>
          <w:szCs w:val="24"/>
        </w:rPr>
        <w:t xml:space="preserve">related budgets </w:t>
      </w:r>
      <w:r w:rsidR="002A5D8C" w:rsidRPr="005270F5">
        <w:rPr>
          <w:rFonts w:asciiTheme="minorHAnsi" w:eastAsia="Times New Roman" w:hAnsiTheme="minorHAnsi"/>
          <w:iCs/>
          <w:sz w:val="24"/>
          <w:szCs w:val="24"/>
        </w:rPr>
        <w:t xml:space="preserve">as part of their ordinary budget routines. </w:t>
      </w:r>
      <w:r w:rsidR="0057650C">
        <w:rPr>
          <w:rFonts w:asciiTheme="minorHAnsi" w:eastAsia="Times New Roman" w:hAnsiTheme="minorHAnsi"/>
          <w:iCs/>
          <w:sz w:val="24"/>
          <w:szCs w:val="24"/>
        </w:rPr>
        <w:t>R</w:t>
      </w:r>
      <w:r w:rsidRPr="00BE15B8">
        <w:rPr>
          <w:rFonts w:asciiTheme="minorHAnsi" w:hAnsiTheme="minorHAnsi"/>
          <w:iCs/>
          <w:sz w:val="24"/>
          <w:szCs w:val="24"/>
        </w:rPr>
        <w:t xml:space="preserve">elevant analyses </w:t>
      </w:r>
      <w:r w:rsidR="00CC6811" w:rsidRPr="00BE15B8">
        <w:rPr>
          <w:rFonts w:asciiTheme="minorHAnsi" w:hAnsiTheme="minorHAnsi"/>
          <w:iCs/>
          <w:sz w:val="24"/>
          <w:szCs w:val="24"/>
        </w:rPr>
        <w:t xml:space="preserve">and estimations </w:t>
      </w:r>
      <w:r w:rsidR="00F60584">
        <w:rPr>
          <w:rFonts w:asciiTheme="minorHAnsi" w:hAnsiTheme="minorHAnsi"/>
          <w:iCs/>
          <w:sz w:val="24"/>
          <w:szCs w:val="24"/>
        </w:rPr>
        <w:t xml:space="preserve">can be </w:t>
      </w:r>
      <w:r w:rsidR="00CC6811" w:rsidRPr="00BE15B8">
        <w:rPr>
          <w:rFonts w:asciiTheme="minorHAnsi" w:hAnsiTheme="minorHAnsi"/>
          <w:iCs/>
          <w:sz w:val="24"/>
          <w:szCs w:val="24"/>
        </w:rPr>
        <w:t>complicated since several inter-ministerial and cross-governmental sectors are involved in the drug control programs including justice, policing and border control</w:t>
      </w:r>
      <w:r w:rsidR="00435097" w:rsidRPr="00BE15B8">
        <w:rPr>
          <w:rFonts w:asciiTheme="minorHAnsi" w:hAnsiTheme="minorHAnsi"/>
          <w:iCs/>
          <w:sz w:val="24"/>
          <w:szCs w:val="24"/>
        </w:rPr>
        <w:t xml:space="preserve">, </w:t>
      </w:r>
      <w:r w:rsidR="00A96B9C">
        <w:rPr>
          <w:rFonts w:asciiTheme="minorHAnsi" w:hAnsiTheme="minorHAnsi"/>
          <w:iCs/>
          <w:sz w:val="24"/>
          <w:szCs w:val="24"/>
        </w:rPr>
        <w:t>prisons</w:t>
      </w:r>
      <w:r w:rsidR="00A96B9C">
        <w:rPr>
          <w:rFonts w:asciiTheme="minorHAnsi" w:hAnsiTheme="minorHAnsi"/>
          <w:iCs/>
          <w:sz w:val="24"/>
          <w:szCs w:val="24"/>
        </w:rPr>
        <w:t xml:space="preserve">, </w:t>
      </w:r>
      <w:r w:rsidR="00435097" w:rsidRPr="00BE15B8">
        <w:rPr>
          <w:rFonts w:asciiTheme="minorHAnsi" w:hAnsiTheme="minorHAnsi"/>
          <w:iCs/>
          <w:sz w:val="24"/>
          <w:szCs w:val="24"/>
        </w:rPr>
        <w:t xml:space="preserve">social protection, </w:t>
      </w:r>
      <w:r w:rsidR="00874BD5">
        <w:rPr>
          <w:rFonts w:asciiTheme="minorHAnsi" w:hAnsiTheme="minorHAnsi"/>
          <w:iCs/>
          <w:sz w:val="24"/>
          <w:szCs w:val="24"/>
        </w:rPr>
        <w:t xml:space="preserve">education and health </w:t>
      </w:r>
      <w:r w:rsidR="00435097" w:rsidRPr="00BE15B8">
        <w:rPr>
          <w:rFonts w:asciiTheme="minorHAnsi" w:hAnsiTheme="minorHAnsi"/>
          <w:iCs/>
          <w:sz w:val="24"/>
          <w:szCs w:val="24"/>
        </w:rPr>
        <w:t>among others</w:t>
      </w:r>
      <w:r w:rsidR="00CC6811" w:rsidRPr="00BE15B8">
        <w:rPr>
          <w:rFonts w:asciiTheme="minorHAnsi" w:hAnsiTheme="minorHAnsi"/>
          <w:iCs/>
          <w:sz w:val="24"/>
          <w:szCs w:val="24"/>
        </w:rPr>
        <w:t>. Disentangling drug policy expenditures across governmental departments and inter-sector</w:t>
      </w:r>
      <w:r w:rsidR="00F60584">
        <w:rPr>
          <w:rFonts w:asciiTheme="minorHAnsi" w:hAnsiTheme="minorHAnsi"/>
          <w:iCs/>
          <w:sz w:val="24"/>
          <w:szCs w:val="24"/>
        </w:rPr>
        <w:t>i</w:t>
      </w:r>
      <w:r w:rsidR="00CC6811" w:rsidRPr="00BE15B8">
        <w:rPr>
          <w:rFonts w:asciiTheme="minorHAnsi" w:hAnsiTheme="minorHAnsi"/>
          <w:iCs/>
          <w:sz w:val="24"/>
          <w:szCs w:val="24"/>
        </w:rPr>
        <w:t>al policies remain a scientific challenge.</w:t>
      </w:r>
      <w:r w:rsidR="00190E07" w:rsidRPr="00BE15B8">
        <w:rPr>
          <w:rFonts w:asciiTheme="minorHAnsi" w:hAnsiTheme="minorHAnsi"/>
          <w:sz w:val="24"/>
          <w:szCs w:val="24"/>
        </w:rPr>
        <w:t xml:space="preserve"> </w:t>
      </w:r>
      <w:r w:rsidR="00387728" w:rsidRPr="00BE15B8">
        <w:rPr>
          <w:rFonts w:asciiTheme="minorHAnsi" w:hAnsiTheme="minorHAnsi"/>
          <w:iCs/>
          <w:sz w:val="24"/>
          <w:szCs w:val="24"/>
        </w:rPr>
        <w:t xml:space="preserve">Changes in </w:t>
      </w:r>
      <w:r w:rsidR="00874BD5">
        <w:rPr>
          <w:rFonts w:asciiTheme="minorHAnsi" w:hAnsiTheme="minorHAnsi"/>
          <w:iCs/>
          <w:sz w:val="24"/>
          <w:szCs w:val="24"/>
        </w:rPr>
        <w:t xml:space="preserve">legislation and </w:t>
      </w:r>
      <w:r w:rsidR="00387728" w:rsidRPr="00BE15B8">
        <w:rPr>
          <w:rFonts w:asciiTheme="minorHAnsi" w:hAnsiTheme="minorHAnsi"/>
          <w:iCs/>
          <w:sz w:val="24"/>
          <w:szCs w:val="24"/>
        </w:rPr>
        <w:t>the structure of public administration can further hamper the comparability across time.</w:t>
      </w:r>
    </w:p>
    <w:p w:rsidR="005D3518" w:rsidRPr="00BE15B8" w:rsidRDefault="005270F5" w:rsidP="007A2B04">
      <w:pPr>
        <w:jc w:val="both"/>
        <w:rPr>
          <w:rFonts w:asciiTheme="minorHAnsi" w:hAnsiTheme="minorHAnsi"/>
          <w:sz w:val="24"/>
          <w:szCs w:val="24"/>
        </w:rPr>
      </w:pPr>
      <w:r w:rsidRPr="009A7B47">
        <w:rPr>
          <w:rFonts w:asciiTheme="minorHAnsi" w:eastAsia="Times New Roman" w:hAnsiTheme="minorHAnsi"/>
          <w:iCs/>
          <w:sz w:val="24"/>
          <w:szCs w:val="24"/>
        </w:rPr>
        <w:t xml:space="preserve">An additional challenge concerns that </w:t>
      </w:r>
      <w:r w:rsidR="00013858" w:rsidRPr="00BE15B8">
        <w:rPr>
          <w:rFonts w:asciiTheme="minorHAnsi" w:hAnsiTheme="minorHAnsi"/>
          <w:iCs/>
          <w:sz w:val="24"/>
          <w:szCs w:val="24"/>
        </w:rPr>
        <w:t xml:space="preserve">drug-related programmes and activities </w:t>
      </w:r>
      <w:r>
        <w:rPr>
          <w:rFonts w:asciiTheme="minorHAnsi" w:hAnsiTheme="minorHAnsi"/>
          <w:iCs/>
          <w:sz w:val="24"/>
          <w:szCs w:val="24"/>
        </w:rPr>
        <w:t>can be</w:t>
      </w:r>
      <w:r w:rsidR="00013858" w:rsidRPr="00BE15B8">
        <w:rPr>
          <w:rFonts w:asciiTheme="minorHAnsi" w:hAnsiTheme="minorHAnsi"/>
          <w:iCs/>
          <w:sz w:val="24"/>
          <w:szCs w:val="24"/>
        </w:rPr>
        <w:t xml:space="preserve"> found at many different levels of the public administration.</w:t>
      </w:r>
      <w:r w:rsidR="00013858" w:rsidRPr="00BE15B8">
        <w:rPr>
          <w:rFonts w:asciiTheme="minorHAnsi" w:eastAsia="Times New Roman" w:hAnsiTheme="minorHAnsi"/>
          <w:iCs/>
          <w:sz w:val="24"/>
          <w:szCs w:val="24"/>
        </w:rPr>
        <w:t xml:space="preserve"> F</w:t>
      </w:r>
      <w:r w:rsidR="00013858" w:rsidRPr="00BE15B8">
        <w:rPr>
          <w:rFonts w:asciiTheme="minorHAnsi" w:hAnsiTheme="minorHAnsi"/>
          <w:iCs/>
          <w:sz w:val="24"/>
          <w:szCs w:val="24"/>
        </w:rPr>
        <w:t xml:space="preserve">or instance, the funding of </w:t>
      </w:r>
      <w:r w:rsidR="00874BD5">
        <w:rPr>
          <w:rFonts w:asciiTheme="minorHAnsi" w:hAnsiTheme="minorHAnsi"/>
          <w:iCs/>
          <w:sz w:val="24"/>
          <w:szCs w:val="24"/>
        </w:rPr>
        <w:t xml:space="preserve">imprisoning </w:t>
      </w:r>
      <w:r w:rsidR="0068755F">
        <w:rPr>
          <w:rFonts w:asciiTheme="minorHAnsi" w:hAnsiTheme="minorHAnsi"/>
          <w:iCs/>
          <w:sz w:val="24"/>
          <w:szCs w:val="24"/>
        </w:rPr>
        <w:t xml:space="preserve">drug </w:t>
      </w:r>
      <w:r w:rsidR="000A13D5" w:rsidRPr="00BE15B8">
        <w:rPr>
          <w:rFonts w:asciiTheme="minorHAnsi" w:hAnsiTheme="minorHAnsi"/>
          <w:iCs/>
          <w:sz w:val="24"/>
          <w:szCs w:val="24"/>
        </w:rPr>
        <w:t xml:space="preserve">law offenders </w:t>
      </w:r>
      <w:r w:rsidR="00013858" w:rsidRPr="00BE15B8">
        <w:rPr>
          <w:rFonts w:asciiTheme="minorHAnsi" w:hAnsiTheme="minorHAnsi"/>
          <w:iCs/>
          <w:sz w:val="24"/>
          <w:szCs w:val="24"/>
        </w:rPr>
        <w:t xml:space="preserve">is </w:t>
      </w:r>
      <w:r w:rsidR="007A2B04" w:rsidRPr="00BE15B8">
        <w:rPr>
          <w:rFonts w:asciiTheme="minorHAnsi" w:hAnsiTheme="minorHAnsi"/>
          <w:iCs/>
          <w:sz w:val="24"/>
          <w:szCs w:val="24"/>
        </w:rPr>
        <w:t>usually</w:t>
      </w:r>
      <w:r w:rsidR="00013858" w:rsidRPr="00BE15B8">
        <w:rPr>
          <w:rFonts w:asciiTheme="minorHAnsi" w:hAnsiTheme="minorHAnsi"/>
          <w:iCs/>
          <w:sz w:val="24"/>
          <w:szCs w:val="24"/>
        </w:rPr>
        <w:t xml:space="preserve"> provided by the central government, while </w:t>
      </w:r>
      <w:r w:rsidR="00A96B9C">
        <w:rPr>
          <w:rFonts w:asciiTheme="minorHAnsi" w:hAnsiTheme="minorHAnsi"/>
          <w:iCs/>
          <w:sz w:val="24"/>
          <w:szCs w:val="24"/>
        </w:rPr>
        <w:t xml:space="preserve">the </w:t>
      </w:r>
      <w:r w:rsidR="00013858" w:rsidRPr="00BE15B8">
        <w:rPr>
          <w:rFonts w:asciiTheme="minorHAnsi" w:hAnsiTheme="minorHAnsi"/>
          <w:iCs/>
          <w:sz w:val="24"/>
          <w:szCs w:val="24"/>
        </w:rPr>
        <w:t xml:space="preserve">prevention </w:t>
      </w:r>
      <w:r w:rsidR="00A96B9C">
        <w:rPr>
          <w:rFonts w:asciiTheme="minorHAnsi" w:hAnsiTheme="minorHAnsi"/>
          <w:iCs/>
          <w:sz w:val="24"/>
          <w:szCs w:val="24"/>
        </w:rPr>
        <w:t xml:space="preserve">of </w:t>
      </w:r>
      <w:r w:rsidR="0015330A">
        <w:rPr>
          <w:rFonts w:asciiTheme="minorHAnsi" w:hAnsiTheme="minorHAnsi"/>
          <w:iCs/>
          <w:sz w:val="24"/>
          <w:szCs w:val="24"/>
        </w:rPr>
        <w:t>street</w:t>
      </w:r>
      <w:r w:rsidR="00A96B9C">
        <w:rPr>
          <w:rFonts w:asciiTheme="minorHAnsi" w:hAnsiTheme="minorHAnsi"/>
          <w:iCs/>
          <w:sz w:val="24"/>
          <w:szCs w:val="24"/>
        </w:rPr>
        <w:t xml:space="preserve"> dealing </w:t>
      </w:r>
      <w:r w:rsidR="007A2B04" w:rsidRPr="00BE15B8">
        <w:rPr>
          <w:rFonts w:asciiTheme="minorHAnsi" w:hAnsiTheme="minorHAnsi"/>
          <w:iCs/>
          <w:sz w:val="24"/>
          <w:szCs w:val="24"/>
        </w:rPr>
        <w:t xml:space="preserve">or social reintegration programmes for </w:t>
      </w:r>
      <w:r w:rsidR="0068755F">
        <w:rPr>
          <w:rFonts w:asciiTheme="minorHAnsi" w:hAnsiTheme="minorHAnsi"/>
          <w:iCs/>
          <w:sz w:val="24"/>
          <w:szCs w:val="24"/>
        </w:rPr>
        <w:t xml:space="preserve">former </w:t>
      </w:r>
      <w:r w:rsidR="007A2B04" w:rsidRPr="00BE15B8">
        <w:rPr>
          <w:rFonts w:asciiTheme="minorHAnsi" w:hAnsiTheme="minorHAnsi"/>
          <w:iCs/>
          <w:sz w:val="24"/>
          <w:szCs w:val="24"/>
        </w:rPr>
        <w:t xml:space="preserve">drug </w:t>
      </w:r>
      <w:r>
        <w:rPr>
          <w:rFonts w:asciiTheme="minorHAnsi" w:hAnsiTheme="minorHAnsi"/>
          <w:iCs/>
          <w:sz w:val="24"/>
          <w:szCs w:val="24"/>
        </w:rPr>
        <w:t>dealers</w:t>
      </w:r>
      <w:r w:rsidR="0068755F">
        <w:rPr>
          <w:rFonts w:asciiTheme="minorHAnsi" w:hAnsiTheme="minorHAnsi"/>
          <w:iCs/>
          <w:sz w:val="24"/>
          <w:szCs w:val="24"/>
        </w:rPr>
        <w:t xml:space="preserve"> </w:t>
      </w:r>
      <w:r w:rsidR="00013858" w:rsidRPr="00BE15B8">
        <w:rPr>
          <w:rFonts w:asciiTheme="minorHAnsi" w:hAnsiTheme="minorHAnsi"/>
          <w:iCs/>
          <w:sz w:val="24"/>
          <w:szCs w:val="24"/>
        </w:rPr>
        <w:t xml:space="preserve">are frequently </w:t>
      </w:r>
      <w:r w:rsidR="00A811A5" w:rsidRPr="00BE15B8">
        <w:rPr>
          <w:rFonts w:asciiTheme="minorHAnsi" w:hAnsiTheme="minorHAnsi"/>
          <w:iCs/>
          <w:sz w:val="24"/>
          <w:szCs w:val="24"/>
        </w:rPr>
        <w:t>financed</w:t>
      </w:r>
      <w:r w:rsidR="00013858" w:rsidRPr="00BE15B8">
        <w:rPr>
          <w:rFonts w:asciiTheme="minorHAnsi" w:hAnsiTheme="minorHAnsi"/>
          <w:iCs/>
          <w:sz w:val="24"/>
          <w:szCs w:val="24"/>
        </w:rPr>
        <w:t xml:space="preserve"> by local authorities. </w:t>
      </w:r>
      <w:r w:rsidR="005D3518" w:rsidRPr="00BE15B8">
        <w:rPr>
          <w:rFonts w:asciiTheme="minorHAnsi" w:hAnsiTheme="minorHAnsi"/>
          <w:iCs/>
          <w:sz w:val="24"/>
          <w:szCs w:val="24"/>
        </w:rPr>
        <w:t>This makes it</w:t>
      </w:r>
      <w:r w:rsidR="00013858" w:rsidRPr="00BE15B8">
        <w:rPr>
          <w:rFonts w:asciiTheme="minorHAnsi" w:hAnsiTheme="minorHAnsi"/>
          <w:iCs/>
          <w:sz w:val="24"/>
          <w:szCs w:val="24"/>
        </w:rPr>
        <w:t xml:space="preserve"> necessary to compile data at different administrative levels, </w:t>
      </w:r>
      <w:r w:rsidR="00A811A5" w:rsidRPr="00BE15B8">
        <w:rPr>
          <w:rFonts w:asciiTheme="minorHAnsi" w:hAnsiTheme="minorHAnsi"/>
          <w:iCs/>
          <w:sz w:val="24"/>
          <w:szCs w:val="24"/>
        </w:rPr>
        <w:t xml:space="preserve">which </w:t>
      </w:r>
      <w:r w:rsidR="00435097" w:rsidRPr="00BE15B8">
        <w:rPr>
          <w:rFonts w:asciiTheme="minorHAnsi" w:hAnsiTheme="minorHAnsi"/>
          <w:iCs/>
          <w:sz w:val="24"/>
          <w:szCs w:val="24"/>
        </w:rPr>
        <w:t>can be</w:t>
      </w:r>
      <w:r w:rsidR="00387728" w:rsidRPr="00BE15B8">
        <w:rPr>
          <w:rFonts w:asciiTheme="minorHAnsi" w:hAnsiTheme="minorHAnsi"/>
          <w:iCs/>
          <w:sz w:val="24"/>
          <w:szCs w:val="24"/>
        </w:rPr>
        <w:t xml:space="preserve"> </w:t>
      </w:r>
      <w:r w:rsidR="00013858" w:rsidRPr="00BE15B8">
        <w:rPr>
          <w:rFonts w:asciiTheme="minorHAnsi" w:hAnsiTheme="minorHAnsi"/>
          <w:iCs/>
          <w:sz w:val="24"/>
          <w:szCs w:val="24"/>
        </w:rPr>
        <w:t>demanding</w:t>
      </w:r>
      <w:r w:rsidR="00435097" w:rsidRPr="00BE15B8">
        <w:rPr>
          <w:rFonts w:asciiTheme="minorHAnsi" w:hAnsiTheme="minorHAnsi"/>
          <w:iCs/>
          <w:sz w:val="24"/>
          <w:szCs w:val="24"/>
        </w:rPr>
        <w:t>.</w:t>
      </w:r>
      <w:r w:rsidR="005D3518" w:rsidRPr="00BE15B8">
        <w:rPr>
          <w:rFonts w:asciiTheme="minorHAnsi" w:hAnsiTheme="minorHAnsi"/>
          <w:iCs/>
          <w:sz w:val="24"/>
          <w:szCs w:val="24"/>
        </w:rPr>
        <w:t xml:space="preserve"> </w:t>
      </w:r>
    </w:p>
    <w:p w:rsidR="007563F1" w:rsidRPr="00BE15B8" w:rsidRDefault="00A96B9C" w:rsidP="007563F1">
      <w:pPr>
        <w:autoSpaceDE w:val="0"/>
        <w:autoSpaceDN w:val="0"/>
        <w:adjustRightInd w:val="0"/>
        <w:jc w:val="both"/>
        <w:rPr>
          <w:rFonts w:asciiTheme="minorHAnsi" w:hAnsiTheme="minorHAnsi"/>
          <w:iCs/>
          <w:sz w:val="24"/>
          <w:szCs w:val="24"/>
        </w:rPr>
      </w:pPr>
      <w:r>
        <w:rPr>
          <w:rFonts w:asciiTheme="minorHAnsi" w:eastAsia="Times New Roman" w:hAnsiTheme="minorHAnsi"/>
          <w:iCs/>
          <w:sz w:val="24"/>
          <w:szCs w:val="24"/>
        </w:rPr>
        <w:t xml:space="preserve">Further, </w:t>
      </w:r>
      <w:r w:rsidR="0015330A">
        <w:rPr>
          <w:rFonts w:asciiTheme="minorHAnsi" w:eastAsia="Times New Roman" w:hAnsiTheme="minorHAnsi"/>
          <w:iCs/>
          <w:sz w:val="24"/>
          <w:szCs w:val="24"/>
        </w:rPr>
        <w:t>frequently</w:t>
      </w:r>
      <w:r w:rsidR="00EE3681" w:rsidRPr="00BE15B8">
        <w:rPr>
          <w:rFonts w:asciiTheme="minorHAnsi" w:eastAsia="Times New Roman" w:hAnsiTheme="minorHAnsi"/>
          <w:iCs/>
          <w:sz w:val="24"/>
          <w:szCs w:val="24"/>
        </w:rPr>
        <w:t xml:space="preserve"> </w:t>
      </w:r>
      <w:r w:rsidR="00EE3681" w:rsidRPr="00BE15B8">
        <w:rPr>
          <w:rFonts w:asciiTheme="minorHAnsi" w:hAnsiTheme="minorHAnsi"/>
          <w:iCs/>
          <w:sz w:val="24"/>
          <w:szCs w:val="24"/>
        </w:rPr>
        <w:t xml:space="preserve">only a small </w:t>
      </w:r>
      <w:r w:rsidR="00190E07" w:rsidRPr="00BE15B8">
        <w:rPr>
          <w:rFonts w:asciiTheme="minorHAnsi" w:hAnsiTheme="minorHAnsi"/>
          <w:iCs/>
          <w:sz w:val="24"/>
          <w:szCs w:val="24"/>
        </w:rPr>
        <w:t>fraction</w:t>
      </w:r>
      <w:r w:rsidR="00EE3681" w:rsidRPr="00BE15B8">
        <w:rPr>
          <w:rFonts w:asciiTheme="minorHAnsi" w:hAnsiTheme="minorHAnsi"/>
          <w:iCs/>
          <w:sz w:val="24"/>
          <w:szCs w:val="24"/>
        </w:rPr>
        <w:t xml:space="preserve"> of drug-related public expenditure can be traced back directly to governments’ documents or single budget lines</w:t>
      </w:r>
      <w:r w:rsidR="003C3D7C">
        <w:rPr>
          <w:rFonts w:asciiTheme="minorHAnsi" w:hAnsiTheme="minorHAnsi"/>
          <w:iCs/>
          <w:sz w:val="24"/>
          <w:szCs w:val="24"/>
        </w:rPr>
        <w:t xml:space="preserve">, i.e., are </w:t>
      </w:r>
      <w:r w:rsidR="0015330A">
        <w:rPr>
          <w:rFonts w:asciiTheme="minorHAnsi" w:hAnsiTheme="minorHAnsi"/>
          <w:iCs/>
          <w:sz w:val="24"/>
          <w:szCs w:val="24"/>
        </w:rPr>
        <w:t>“</w:t>
      </w:r>
      <w:r w:rsidR="003C3D7C">
        <w:rPr>
          <w:rFonts w:asciiTheme="minorHAnsi" w:hAnsiTheme="minorHAnsi"/>
          <w:iCs/>
          <w:sz w:val="24"/>
          <w:szCs w:val="24"/>
        </w:rPr>
        <w:t>labelled expenditure</w:t>
      </w:r>
      <w:r w:rsidR="0015330A">
        <w:rPr>
          <w:rFonts w:asciiTheme="minorHAnsi" w:hAnsiTheme="minorHAnsi"/>
          <w:iCs/>
          <w:sz w:val="24"/>
          <w:szCs w:val="24"/>
        </w:rPr>
        <w:t>”</w:t>
      </w:r>
      <w:r w:rsidR="00EE3681" w:rsidRPr="00BE15B8">
        <w:rPr>
          <w:rFonts w:asciiTheme="minorHAnsi" w:hAnsiTheme="minorHAnsi"/>
          <w:iCs/>
          <w:sz w:val="24"/>
          <w:szCs w:val="24"/>
        </w:rPr>
        <w:t xml:space="preserve">. </w:t>
      </w:r>
      <w:r w:rsidR="00D947D6" w:rsidRPr="00BE15B8">
        <w:rPr>
          <w:rFonts w:asciiTheme="minorHAnsi" w:eastAsia="Times New Roman" w:hAnsiTheme="minorHAnsi"/>
          <w:iCs/>
          <w:sz w:val="24"/>
          <w:szCs w:val="24"/>
        </w:rPr>
        <w:t xml:space="preserve">The required data </w:t>
      </w:r>
      <w:r w:rsidR="00EE3681" w:rsidRPr="00BE15B8">
        <w:rPr>
          <w:rFonts w:asciiTheme="minorHAnsi" w:eastAsia="Times New Roman" w:hAnsiTheme="minorHAnsi"/>
          <w:iCs/>
          <w:sz w:val="24"/>
          <w:szCs w:val="24"/>
        </w:rPr>
        <w:t>are</w:t>
      </w:r>
      <w:r w:rsidR="00D947D6" w:rsidRPr="00BE15B8">
        <w:rPr>
          <w:rFonts w:asciiTheme="minorHAnsi" w:eastAsia="Times New Roman" w:hAnsiTheme="minorHAnsi"/>
          <w:iCs/>
          <w:sz w:val="24"/>
          <w:szCs w:val="24"/>
        </w:rPr>
        <w:t xml:space="preserve"> </w:t>
      </w:r>
      <w:r w:rsidR="00EE3681" w:rsidRPr="00BE15B8">
        <w:rPr>
          <w:rFonts w:asciiTheme="minorHAnsi" w:eastAsia="Times New Roman" w:hAnsiTheme="minorHAnsi"/>
          <w:iCs/>
          <w:sz w:val="24"/>
          <w:szCs w:val="24"/>
        </w:rPr>
        <w:t xml:space="preserve">instead </w:t>
      </w:r>
      <w:r w:rsidR="00D947D6" w:rsidRPr="00BE15B8">
        <w:rPr>
          <w:rFonts w:asciiTheme="minorHAnsi" w:eastAsia="Times New Roman" w:hAnsiTheme="minorHAnsi"/>
          <w:iCs/>
          <w:sz w:val="24"/>
          <w:szCs w:val="24"/>
        </w:rPr>
        <w:t xml:space="preserve">embedded in </w:t>
      </w:r>
      <w:r w:rsidR="003979C2" w:rsidRPr="00BE15B8">
        <w:rPr>
          <w:rFonts w:asciiTheme="minorHAnsi" w:eastAsia="Times New Roman" w:hAnsiTheme="minorHAnsi"/>
          <w:iCs/>
          <w:sz w:val="24"/>
          <w:szCs w:val="24"/>
        </w:rPr>
        <w:t>budget</w:t>
      </w:r>
      <w:r w:rsidR="009170F0" w:rsidRPr="00BE15B8">
        <w:rPr>
          <w:rFonts w:asciiTheme="minorHAnsi" w:eastAsia="Times New Roman" w:hAnsiTheme="minorHAnsi"/>
          <w:iCs/>
          <w:sz w:val="24"/>
          <w:szCs w:val="24"/>
        </w:rPr>
        <w:t>s</w:t>
      </w:r>
      <w:r w:rsidR="003979C2" w:rsidRPr="00BE15B8">
        <w:rPr>
          <w:rFonts w:asciiTheme="minorHAnsi" w:eastAsia="Times New Roman" w:hAnsiTheme="minorHAnsi"/>
          <w:iCs/>
          <w:sz w:val="24"/>
          <w:szCs w:val="24"/>
        </w:rPr>
        <w:t xml:space="preserve"> for larger sectors or programmes</w:t>
      </w:r>
      <w:r w:rsidR="003C3D7C">
        <w:rPr>
          <w:rFonts w:asciiTheme="minorHAnsi" w:eastAsia="Times New Roman" w:hAnsiTheme="minorHAnsi"/>
          <w:iCs/>
          <w:sz w:val="24"/>
          <w:szCs w:val="24"/>
        </w:rPr>
        <w:t xml:space="preserve"> (</w:t>
      </w:r>
      <w:r w:rsidR="0015330A">
        <w:rPr>
          <w:rFonts w:asciiTheme="minorHAnsi" w:eastAsia="Times New Roman" w:hAnsiTheme="minorHAnsi"/>
          <w:iCs/>
          <w:sz w:val="24"/>
          <w:szCs w:val="24"/>
        </w:rPr>
        <w:t>“</w:t>
      </w:r>
      <w:r w:rsidR="003C3D7C">
        <w:rPr>
          <w:rFonts w:asciiTheme="minorHAnsi" w:eastAsia="Times New Roman" w:hAnsiTheme="minorHAnsi"/>
          <w:iCs/>
          <w:sz w:val="24"/>
          <w:szCs w:val="24"/>
        </w:rPr>
        <w:t>unlabelled expenditure</w:t>
      </w:r>
      <w:r w:rsidR="0015330A">
        <w:rPr>
          <w:rFonts w:asciiTheme="minorHAnsi" w:eastAsia="Times New Roman" w:hAnsiTheme="minorHAnsi"/>
          <w:iCs/>
          <w:sz w:val="24"/>
          <w:szCs w:val="24"/>
        </w:rPr>
        <w:t>”</w:t>
      </w:r>
      <w:r w:rsidR="003C3D7C">
        <w:rPr>
          <w:rFonts w:asciiTheme="minorHAnsi" w:eastAsia="Times New Roman" w:hAnsiTheme="minorHAnsi"/>
          <w:iCs/>
          <w:sz w:val="24"/>
          <w:szCs w:val="24"/>
        </w:rPr>
        <w:t>)</w:t>
      </w:r>
      <w:r w:rsidR="003979C2" w:rsidRPr="00BE15B8">
        <w:rPr>
          <w:rFonts w:asciiTheme="minorHAnsi" w:eastAsia="Times New Roman" w:hAnsiTheme="minorHAnsi"/>
          <w:iCs/>
          <w:sz w:val="24"/>
          <w:szCs w:val="24"/>
        </w:rPr>
        <w:t xml:space="preserve">, which implies that </w:t>
      </w:r>
      <w:r w:rsidR="00561AC6" w:rsidRPr="00BE15B8">
        <w:rPr>
          <w:rFonts w:asciiTheme="minorHAnsi" w:eastAsia="Times New Roman" w:hAnsiTheme="minorHAnsi"/>
          <w:iCs/>
          <w:sz w:val="24"/>
          <w:szCs w:val="24"/>
        </w:rPr>
        <w:t xml:space="preserve">modelling </w:t>
      </w:r>
      <w:r w:rsidR="003979C2" w:rsidRPr="00BE15B8">
        <w:rPr>
          <w:rFonts w:asciiTheme="minorHAnsi" w:eastAsia="Times New Roman" w:hAnsiTheme="minorHAnsi"/>
          <w:iCs/>
          <w:sz w:val="24"/>
          <w:szCs w:val="24"/>
        </w:rPr>
        <w:t xml:space="preserve">and </w:t>
      </w:r>
      <w:r w:rsidR="0015330A">
        <w:rPr>
          <w:rFonts w:asciiTheme="minorHAnsi" w:eastAsia="Times New Roman" w:hAnsiTheme="minorHAnsi"/>
          <w:iCs/>
          <w:sz w:val="24"/>
          <w:szCs w:val="24"/>
        </w:rPr>
        <w:t>calculations</w:t>
      </w:r>
      <w:r w:rsidR="003979C2" w:rsidRPr="00BE15B8">
        <w:rPr>
          <w:rFonts w:asciiTheme="minorHAnsi" w:eastAsia="Times New Roman" w:hAnsiTheme="minorHAnsi"/>
          <w:iCs/>
          <w:sz w:val="24"/>
          <w:szCs w:val="24"/>
        </w:rPr>
        <w:t xml:space="preserve"> are needed</w:t>
      </w:r>
      <w:r w:rsidR="007563F1" w:rsidRPr="00BE15B8">
        <w:rPr>
          <w:rFonts w:asciiTheme="minorHAnsi" w:eastAsia="Times New Roman" w:hAnsiTheme="minorHAnsi"/>
          <w:iCs/>
          <w:sz w:val="24"/>
          <w:szCs w:val="24"/>
        </w:rPr>
        <w:t xml:space="preserve">. </w:t>
      </w:r>
      <w:r w:rsidR="007563F1" w:rsidRPr="00BE15B8">
        <w:rPr>
          <w:rFonts w:asciiTheme="minorHAnsi" w:hAnsiTheme="minorHAnsi"/>
          <w:iCs/>
          <w:sz w:val="24"/>
          <w:szCs w:val="24"/>
        </w:rPr>
        <w:t xml:space="preserve">For instance, it is common that </w:t>
      </w:r>
      <w:r w:rsidR="00561AC6" w:rsidRPr="00BE15B8">
        <w:rPr>
          <w:rFonts w:asciiTheme="minorHAnsi" w:hAnsiTheme="minorHAnsi"/>
          <w:iCs/>
          <w:sz w:val="24"/>
          <w:szCs w:val="24"/>
        </w:rPr>
        <w:t>p</w:t>
      </w:r>
      <w:r w:rsidR="00121652" w:rsidRPr="00BE15B8">
        <w:rPr>
          <w:rFonts w:asciiTheme="minorHAnsi" w:hAnsiTheme="minorHAnsi"/>
          <w:iCs/>
          <w:sz w:val="24"/>
          <w:szCs w:val="24"/>
        </w:rPr>
        <w:t>ris</w:t>
      </w:r>
      <w:r w:rsidR="00561AC6" w:rsidRPr="00BE15B8">
        <w:rPr>
          <w:rFonts w:asciiTheme="minorHAnsi" w:hAnsiTheme="minorHAnsi"/>
          <w:iCs/>
          <w:sz w:val="24"/>
          <w:szCs w:val="24"/>
        </w:rPr>
        <w:t>ons</w:t>
      </w:r>
      <w:r w:rsidR="007563F1" w:rsidRPr="00BE15B8">
        <w:rPr>
          <w:rFonts w:asciiTheme="minorHAnsi" w:hAnsiTheme="minorHAnsi"/>
          <w:iCs/>
          <w:sz w:val="24"/>
          <w:szCs w:val="24"/>
        </w:rPr>
        <w:t xml:space="preserve"> do not have a </w:t>
      </w:r>
      <w:r w:rsidR="00A811A5" w:rsidRPr="00BE15B8">
        <w:rPr>
          <w:rFonts w:asciiTheme="minorHAnsi" w:hAnsiTheme="minorHAnsi"/>
          <w:iCs/>
          <w:sz w:val="24"/>
          <w:szCs w:val="24"/>
        </w:rPr>
        <w:t>separate</w:t>
      </w:r>
      <w:r w:rsidR="007563F1" w:rsidRPr="00BE15B8">
        <w:rPr>
          <w:rFonts w:asciiTheme="minorHAnsi" w:hAnsiTheme="minorHAnsi"/>
          <w:iCs/>
          <w:sz w:val="24"/>
          <w:szCs w:val="24"/>
        </w:rPr>
        <w:t xml:space="preserve"> budget </w:t>
      </w:r>
      <w:r w:rsidR="00A811A5" w:rsidRPr="00BE15B8">
        <w:rPr>
          <w:rFonts w:asciiTheme="minorHAnsi" w:hAnsiTheme="minorHAnsi"/>
          <w:iCs/>
          <w:sz w:val="24"/>
          <w:szCs w:val="24"/>
        </w:rPr>
        <w:t>for</w:t>
      </w:r>
      <w:r w:rsidR="007563F1" w:rsidRPr="00BE15B8">
        <w:rPr>
          <w:rFonts w:asciiTheme="minorHAnsi" w:hAnsiTheme="minorHAnsi"/>
          <w:iCs/>
          <w:sz w:val="24"/>
          <w:szCs w:val="24"/>
        </w:rPr>
        <w:t xml:space="preserve"> drug</w:t>
      </w:r>
      <w:r w:rsidR="00121652" w:rsidRPr="00BE15B8">
        <w:rPr>
          <w:rFonts w:asciiTheme="minorHAnsi" w:hAnsiTheme="minorHAnsi"/>
          <w:iCs/>
          <w:sz w:val="24"/>
          <w:szCs w:val="24"/>
        </w:rPr>
        <w:t>-law offenders</w:t>
      </w:r>
      <w:r w:rsidR="007563F1" w:rsidRPr="00BE15B8">
        <w:rPr>
          <w:rFonts w:asciiTheme="minorHAnsi" w:hAnsiTheme="minorHAnsi"/>
          <w:iCs/>
          <w:sz w:val="24"/>
          <w:szCs w:val="24"/>
        </w:rPr>
        <w:t xml:space="preserve">, because </w:t>
      </w:r>
      <w:r w:rsidR="00561AC6" w:rsidRPr="00BE15B8">
        <w:rPr>
          <w:rFonts w:asciiTheme="minorHAnsi" w:hAnsiTheme="minorHAnsi"/>
          <w:iCs/>
          <w:sz w:val="24"/>
          <w:szCs w:val="24"/>
        </w:rPr>
        <w:t xml:space="preserve">they </w:t>
      </w:r>
      <w:r w:rsidR="007563F1" w:rsidRPr="00BE15B8">
        <w:rPr>
          <w:rFonts w:asciiTheme="minorHAnsi" w:hAnsiTheme="minorHAnsi"/>
          <w:iCs/>
          <w:sz w:val="24"/>
          <w:szCs w:val="24"/>
        </w:rPr>
        <w:t xml:space="preserve">have usually one unique budget </w:t>
      </w:r>
      <w:r w:rsidR="009170F0" w:rsidRPr="00BE15B8">
        <w:rPr>
          <w:rFonts w:asciiTheme="minorHAnsi" w:hAnsiTheme="minorHAnsi"/>
          <w:iCs/>
          <w:sz w:val="24"/>
          <w:szCs w:val="24"/>
        </w:rPr>
        <w:t>for</w:t>
      </w:r>
      <w:r w:rsidR="007563F1" w:rsidRPr="00BE15B8">
        <w:rPr>
          <w:rFonts w:asciiTheme="minorHAnsi" w:hAnsiTheme="minorHAnsi"/>
          <w:iCs/>
          <w:sz w:val="24"/>
          <w:szCs w:val="24"/>
        </w:rPr>
        <w:t xml:space="preserve"> their entire activity. Therefore, the values of this embedded expenditure can only be estimated through modelling approaches (EMCDDA, </w:t>
      </w:r>
      <w:r w:rsidR="00561AC6" w:rsidRPr="00BE15B8">
        <w:rPr>
          <w:rFonts w:asciiTheme="minorHAnsi" w:hAnsiTheme="minorHAnsi"/>
          <w:iCs/>
          <w:sz w:val="24"/>
          <w:szCs w:val="24"/>
        </w:rPr>
        <w:t>2014</w:t>
      </w:r>
      <w:r w:rsidR="007563F1" w:rsidRPr="00BE15B8">
        <w:rPr>
          <w:rFonts w:asciiTheme="minorHAnsi" w:hAnsiTheme="minorHAnsi"/>
          <w:iCs/>
          <w:sz w:val="24"/>
          <w:szCs w:val="24"/>
        </w:rPr>
        <w:t>). This requires skills, modelling tools and techniques.</w:t>
      </w:r>
      <w:r w:rsidR="00030150" w:rsidRPr="00BE15B8">
        <w:rPr>
          <w:rFonts w:asciiTheme="minorHAnsi" w:hAnsiTheme="minorHAnsi"/>
          <w:iCs/>
          <w:sz w:val="24"/>
          <w:szCs w:val="24"/>
        </w:rPr>
        <w:t xml:space="preserve"> </w:t>
      </w:r>
    </w:p>
    <w:p w:rsidR="00480E8B" w:rsidRPr="00BE15B8" w:rsidRDefault="00422FEF" w:rsidP="00C93138">
      <w:pPr>
        <w:autoSpaceDE w:val="0"/>
        <w:autoSpaceDN w:val="0"/>
        <w:adjustRightInd w:val="0"/>
        <w:jc w:val="both"/>
        <w:rPr>
          <w:rFonts w:asciiTheme="minorHAnsi" w:hAnsiTheme="minorHAnsi"/>
          <w:iCs/>
          <w:sz w:val="24"/>
          <w:szCs w:val="24"/>
        </w:rPr>
      </w:pPr>
      <w:r w:rsidRPr="00BE15B8">
        <w:rPr>
          <w:rFonts w:asciiTheme="minorHAnsi" w:eastAsia="Times New Roman" w:hAnsiTheme="minorHAnsi"/>
          <w:iCs/>
          <w:sz w:val="24"/>
          <w:szCs w:val="24"/>
          <w:lang w:eastAsia="hr-HR"/>
        </w:rPr>
        <w:t xml:space="preserve">Irrespective of the factors which may challenge the robustness of </w:t>
      </w:r>
      <w:r w:rsidR="000054A5" w:rsidRPr="00BE15B8">
        <w:rPr>
          <w:rFonts w:asciiTheme="minorHAnsi" w:eastAsia="Times New Roman" w:hAnsiTheme="minorHAnsi"/>
          <w:iCs/>
          <w:sz w:val="24"/>
          <w:szCs w:val="24"/>
          <w:lang w:eastAsia="hr-HR"/>
        </w:rPr>
        <w:t>estimation</w:t>
      </w:r>
      <w:r w:rsidRPr="00BE15B8">
        <w:rPr>
          <w:rFonts w:asciiTheme="minorHAnsi" w:eastAsia="Times New Roman" w:hAnsiTheme="minorHAnsi"/>
          <w:iCs/>
          <w:sz w:val="24"/>
          <w:szCs w:val="24"/>
          <w:lang w:eastAsia="hr-HR"/>
        </w:rPr>
        <w:t xml:space="preserve"> </w:t>
      </w:r>
      <w:r w:rsidR="000054A5" w:rsidRPr="00BE15B8">
        <w:rPr>
          <w:rFonts w:asciiTheme="minorHAnsi" w:eastAsia="Times New Roman" w:hAnsiTheme="minorHAnsi"/>
          <w:iCs/>
          <w:sz w:val="24"/>
          <w:szCs w:val="24"/>
          <w:lang w:eastAsia="hr-HR"/>
        </w:rPr>
        <w:t>results</w:t>
      </w:r>
      <w:r w:rsidRPr="00BE15B8">
        <w:rPr>
          <w:rFonts w:asciiTheme="minorHAnsi" w:eastAsia="Times New Roman" w:hAnsiTheme="minorHAnsi"/>
          <w:iCs/>
          <w:sz w:val="24"/>
          <w:szCs w:val="24"/>
          <w:lang w:eastAsia="hr-HR"/>
        </w:rPr>
        <w:t xml:space="preserve"> (limited data availability, layering of assumptions, changes in </w:t>
      </w:r>
      <w:r w:rsidR="00F34A53">
        <w:rPr>
          <w:rFonts w:asciiTheme="minorHAnsi" w:eastAsia="Times New Roman" w:hAnsiTheme="minorHAnsi"/>
          <w:iCs/>
          <w:sz w:val="24"/>
          <w:szCs w:val="24"/>
          <w:lang w:eastAsia="hr-HR"/>
        </w:rPr>
        <w:t>definitions, regulations over time</w:t>
      </w:r>
      <w:r w:rsidRPr="00BE15B8">
        <w:rPr>
          <w:rFonts w:asciiTheme="minorHAnsi" w:eastAsia="Times New Roman" w:hAnsiTheme="minorHAnsi"/>
          <w:iCs/>
          <w:sz w:val="24"/>
          <w:szCs w:val="24"/>
          <w:lang w:eastAsia="hr-HR"/>
        </w:rPr>
        <w:t xml:space="preserve"> etc.), </w:t>
      </w:r>
      <w:r w:rsidR="000054A5" w:rsidRPr="00BE15B8">
        <w:rPr>
          <w:rFonts w:asciiTheme="minorHAnsi" w:eastAsia="Times New Roman" w:hAnsiTheme="minorHAnsi"/>
          <w:iCs/>
          <w:sz w:val="24"/>
          <w:szCs w:val="24"/>
          <w:lang w:eastAsia="hr-HR"/>
        </w:rPr>
        <w:t>the application of existing models can provide useful insights, as the experiences from various countries show (see examples below).</w:t>
      </w:r>
      <w:r w:rsidRPr="00BE15B8">
        <w:rPr>
          <w:rFonts w:asciiTheme="minorHAnsi" w:eastAsia="Times New Roman" w:hAnsiTheme="minorHAnsi"/>
          <w:iCs/>
          <w:sz w:val="24"/>
          <w:szCs w:val="24"/>
          <w:lang w:eastAsia="hr-HR"/>
        </w:rPr>
        <w:t xml:space="preserve"> </w:t>
      </w:r>
    </w:p>
    <w:p w:rsidR="00C93138" w:rsidRPr="00BE15B8" w:rsidRDefault="00C93138" w:rsidP="00F34A53">
      <w:pPr>
        <w:autoSpaceDE w:val="0"/>
        <w:autoSpaceDN w:val="0"/>
        <w:adjustRightInd w:val="0"/>
        <w:spacing w:after="0"/>
        <w:jc w:val="both"/>
        <w:rPr>
          <w:rFonts w:asciiTheme="minorHAnsi" w:hAnsiTheme="minorHAnsi"/>
          <w:iCs/>
          <w:sz w:val="24"/>
          <w:szCs w:val="24"/>
        </w:rPr>
      </w:pPr>
      <w:r w:rsidRPr="00BE15B8">
        <w:rPr>
          <w:rFonts w:asciiTheme="minorHAnsi" w:hAnsiTheme="minorHAnsi"/>
          <w:b/>
          <w:i/>
          <w:iCs/>
          <w:sz w:val="24"/>
          <w:szCs w:val="24"/>
        </w:rPr>
        <w:t>Drug-related expenditure on supply reduction initiatives</w:t>
      </w:r>
    </w:p>
    <w:p w:rsidR="00E45F08" w:rsidRDefault="00E45F08" w:rsidP="00F34A53">
      <w:pPr>
        <w:autoSpaceDE w:val="0"/>
        <w:autoSpaceDN w:val="0"/>
        <w:adjustRightInd w:val="0"/>
        <w:spacing w:after="0"/>
        <w:jc w:val="both"/>
        <w:rPr>
          <w:rFonts w:asciiTheme="minorHAnsi" w:hAnsiTheme="minorHAnsi"/>
          <w:color w:val="000000" w:themeColor="text1"/>
          <w:sz w:val="24"/>
          <w:szCs w:val="24"/>
        </w:rPr>
      </w:pPr>
      <w:r>
        <w:rPr>
          <w:rFonts w:asciiTheme="minorHAnsi" w:hAnsiTheme="minorHAnsi"/>
          <w:color w:val="000000" w:themeColor="text1"/>
          <w:sz w:val="24"/>
          <w:szCs w:val="24"/>
        </w:rPr>
        <w:t>In this report</w:t>
      </w:r>
      <w:r w:rsidR="0005556B" w:rsidRPr="00BE15B8">
        <w:rPr>
          <w:rFonts w:asciiTheme="minorHAnsi" w:hAnsiTheme="minorHAnsi"/>
          <w:color w:val="000000" w:themeColor="text1"/>
          <w:sz w:val="24"/>
          <w:szCs w:val="24"/>
        </w:rPr>
        <w:t xml:space="preserve"> </w:t>
      </w:r>
      <w:r w:rsidR="00857CFC" w:rsidRPr="00BE15B8">
        <w:rPr>
          <w:rFonts w:asciiTheme="minorHAnsi" w:hAnsiTheme="minorHAnsi"/>
          <w:color w:val="000000" w:themeColor="text1"/>
          <w:sz w:val="24"/>
          <w:szCs w:val="24"/>
        </w:rPr>
        <w:t xml:space="preserve">public </w:t>
      </w:r>
      <w:r w:rsidR="0005556B" w:rsidRPr="00BE15B8">
        <w:rPr>
          <w:rFonts w:asciiTheme="minorHAnsi" w:hAnsiTheme="minorHAnsi"/>
          <w:color w:val="000000" w:themeColor="text1"/>
          <w:sz w:val="24"/>
          <w:szCs w:val="24"/>
        </w:rPr>
        <w:t xml:space="preserve">expenditure on drug supply reduction </w:t>
      </w:r>
      <w:r w:rsidR="0005556B" w:rsidRPr="00BE15B8">
        <w:rPr>
          <w:rFonts w:asciiTheme="minorHAnsi" w:hAnsiTheme="minorHAnsi"/>
          <w:iCs/>
          <w:sz w:val="24"/>
          <w:szCs w:val="24"/>
        </w:rPr>
        <w:t xml:space="preserve">comprises the funds spend by the general government </w:t>
      </w:r>
      <w:r w:rsidR="003C3D7C">
        <w:rPr>
          <w:rFonts w:asciiTheme="minorHAnsi" w:hAnsiTheme="minorHAnsi"/>
          <w:iCs/>
          <w:sz w:val="24"/>
          <w:szCs w:val="24"/>
        </w:rPr>
        <w:t xml:space="preserve">with the broad purpose of </w:t>
      </w:r>
      <w:r w:rsidR="0005556B" w:rsidRPr="00BE15B8">
        <w:rPr>
          <w:rFonts w:asciiTheme="minorHAnsi" w:hAnsiTheme="minorHAnsi"/>
          <w:iCs/>
          <w:sz w:val="24"/>
          <w:szCs w:val="24"/>
        </w:rPr>
        <w:t xml:space="preserve"> provid</w:t>
      </w:r>
      <w:r w:rsidR="003C3D7C">
        <w:rPr>
          <w:rFonts w:asciiTheme="minorHAnsi" w:hAnsiTheme="minorHAnsi"/>
          <w:iCs/>
          <w:sz w:val="24"/>
          <w:szCs w:val="24"/>
        </w:rPr>
        <w:t xml:space="preserve">ing ‘public order and safety’ and with the support of </w:t>
      </w:r>
      <w:r w:rsidR="0005556B" w:rsidRPr="00BE15B8">
        <w:rPr>
          <w:rFonts w:asciiTheme="minorHAnsi" w:hAnsiTheme="minorHAnsi"/>
          <w:iCs/>
          <w:sz w:val="24"/>
          <w:szCs w:val="24"/>
        </w:rPr>
        <w:t>police, law courts and prisons services geared towards the combat of the illegal drug phenomena</w:t>
      </w:r>
      <w:r w:rsidR="003C3D7C">
        <w:rPr>
          <w:rFonts w:asciiTheme="minorHAnsi" w:hAnsiTheme="minorHAnsi"/>
          <w:iCs/>
          <w:sz w:val="24"/>
          <w:szCs w:val="24"/>
        </w:rPr>
        <w:t>, as defined by Eurostat (</w:t>
      </w:r>
      <w:r w:rsidR="003504C2">
        <w:rPr>
          <w:rFonts w:asciiTheme="minorHAnsi" w:hAnsiTheme="minorHAnsi"/>
          <w:iCs/>
          <w:sz w:val="24"/>
          <w:szCs w:val="24"/>
        </w:rPr>
        <w:t>Eurostat, 2011)</w:t>
      </w:r>
      <w:r w:rsidR="0005556B" w:rsidRPr="00BE15B8">
        <w:rPr>
          <w:rFonts w:asciiTheme="minorHAnsi" w:hAnsiTheme="minorHAnsi"/>
          <w:iCs/>
          <w:sz w:val="24"/>
          <w:szCs w:val="24"/>
        </w:rPr>
        <w:t>.</w:t>
      </w:r>
      <w:r w:rsidR="00A811A5" w:rsidRPr="00BE15B8">
        <w:rPr>
          <w:rFonts w:asciiTheme="minorHAnsi" w:hAnsiTheme="minorHAnsi"/>
          <w:color w:val="000000" w:themeColor="text1"/>
          <w:sz w:val="24"/>
          <w:szCs w:val="24"/>
        </w:rPr>
        <w:t xml:space="preserve"> </w:t>
      </w:r>
      <w:r w:rsidR="00857CFC" w:rsidRPr="00BE15B8">
        <w:rPr>
          <w:rFonts w:asciiTheme="minorHAnsi" w:hAnsiTheme="minorHAnsi"/>
          <w:color w:val="000000" w:themeColor="text1"/>
          <w:sz w:val="24"/>
          <w:szCs w:val="24"/>
        </w:rPr>
        <w:t xml:space="preserve">In general, </w:t>
      </w:r>
      <w:r w:rsidR="00857CFC" w:rsidRPr="00BE15B8">
        <w:rPr>
          <w:rFonts w:asciiTheme="minorHAnsi" w:eastAsiaTheme="majorEastAsia" w:hAnsiTheme="minorHAnsi"/>
          <w:sz w:val="24"/>
          <w:szCs w:val="24"/>
        </w:rPr>
        <w:t>p</w:t>
      </w:r>
      <w:r w:rsidR="00C93138" w:rsidRPr="00BE15B8">
        <w:rPr>
          <w:rFonts w:asciiTheme="minorHAnsi" w:eastAsiaTheme="majorEastAsia" w:hAnsiTheme="minorHAnsi"/>
          <w:sz w:val="24"/>
          <w:szCs w:val="24"/>
        </w:rPr>
        <w:t>olice services comprise, among other, the operation of regu</w:t>
      </w:r>
      <w:r w:rsidR="008A3FC8" w:rsidRPr="00BE15B8">
        <w:rPr>
          <w:rFonts w:asciiTheme="minorHAnsi" w:eastAsiaTheme="majorEastAsia" w:hAnsiTheme="minorHAnsi"/>
          <w:sz w:val="24"/>
          <w:szCs w:val="24"/>
        </w:rPr>
        <w:t>lar and auxiliary police forces</w:t>
      </w:r>
      <w:r w:rsidR="00C93138" w:rsidRPr="00BE15B8">
        <w:rPr>
          <w:rFonts w:asciiTheme="minorHAnsi" w:eastAsiaTheme="majorEastAsia" w:hAnsiTheme="minorHAnsi"/>
          <w:sz w:val="24"/>
          <w:szCs w:val="24"/>
        </w:rPr>
        <w:t xml:space="preserve"> of port</w:t>
      </w:r>
      <w:r w:rsidR="0064289D" w:rsidRPr="00BE15B8">
        <w:rPr>
          <w:rFonts w:asciiTheme="minorHAnsi" w:eastAsiaTheme="majorEastAsia" w:hAnsiTheme="minorHAnsi"/>
          <w:sz w:val="24"/>
          <w:szCs w:val="24"/>
        </w:rPr>
        <w:t xml:space="preserve">s and </w:t>
      </w:r>
      <w:r w:rsidR="00C93138" w:rsidRPr="00BE15B8">
        <w:rPr>
          <w:rFonts w:asciiTheme="minorHAnsi" w:eastAsiaTheme="majorEastAsia" w:hAnsiTheme="minorHAnsi"/>
          <w:sz w:val="24"/>
          <w:szCs w:val="24"/>
        </w:rPr>
        <w:t>border</w:t>
      </w:r>
      <w:r w:rsidR="0064289D" w:rsidRPr="00BE15B8">
        <w:rPr>
          <w:rFonts w:asciiTheme="minorHAnsi" w:eastAsiaTheme="majorEastAsia" w:hAnsiTheme="minorHAnsi"/>
          <w:sz w:val="24"/>
          <w:szCs w:val="24"/>
        </w:rPr>
        <w:t>s</w:t>
      </w:r>
      <w:r w:rsidR="00C93138" w:rsidRPr="00BE15B8">
        <w:rPr>
          <w:rFonts w:asciiTheme="minorHAnsi" w:eastAsiaTheme="majorEastAsia" w:hAnsiTheme="minorHAnsi"/>
          <w:sz w:val="24"/>
          <w:szCs w:val="24"/>
        </w:rPr>
        <w:t>, coast guards and customs, as well as road traffic regulations and supervision</w:t>
      </w:r>
      <w:r w:rsidR="008A3FC8" w:rsidRPr="00BE15B8">
        <w:rPr>
          <w:rFonts w:asciiTheme="minorHAnsi" w:eastAsiaTheme="majorEastAsia" w:hAnsiTheme="minorHAnsi"/>
          <w:sz w:val="24"/>
          <w:szCs w:val="24"/>
        </w:rPr>
        <w:t xml:space="preserve">. The </w:t>
      </w:r>
      <w:r w:rsidR="00857CFC" w:rsidRPr="00BE15B8">
        <w:rPr>
          <w:rFonts w:asciiTheme="minorHAnsi" w:eastAsiaTheme="majorEastAsia" w:hAnsiTheme="minorHAnsi"/>
          <w:sz w:val="24"/>
          <w:szCs w:val="24"/>
        </w:rPr>
        <w:t xml:space="preserve">services </w:t>
      </w:r>
      <w:r w:rsidR="00C93138" w:rsidRPr="00BE15B8">
        <w:rPr>
          <w:rFonts w:asciiTheme="minorHAnsi" w:eastAsiaTheme="majorEastAsia" w:hAnsiTheme="minorHAnsi"/>
          <w:sz w:val="24"/>
          <w:szCs w:val="24"/>
        </w:rPr>
        <w:t xml:space="preserve">provided by law courts are the operation or support of civil and criminal </w:t>
      </w:r>
      <w:r w:rsidR="008A3FC8" w:rsidRPr="00BE15B8">
        <w:rPr>
          <w:rFonts w:asciiTheme="minorHAnsi" w:eastAsiaTheme="majorEastAsia" w:hAnsiTheme="minorHAnsi"/>
          <w:sz w:val="24"/>
          <w:szCs w:val="24"/>
        </w:rPr>
        <w:t>law courts and judicial systems,</w:t>
      </w:r>
      <w:r w:rsidR="00C93138" w:rsidRPr="00BE15B8">
        <w:rPr>
          <w:rFonts w:asciiTheme="minorHAnsi" w:eastAsiaTheme="majorEastAsia" w:hAnsiTheme="minorHAnsi"/>
          <w:sz w:val="24"/>
          <w:szCs w:val="24"/>
        </w:rPr>
        <w:t xml:space="preserve"> the service of prosecution </w:t>
      </w:r>
      <w:r w:rsidR="008A3FC8" w:rsidRPr="00BE15B8">
        <w:rPr>
          <w:rFonts w:asciiTheme="minorHAnsi" w:eastAsiaTheme="majorEastAsia" w:hAnsiTheme="minorHAnsi"/>
          <w:sz w:val="24"/>
          <w:szCs w:val="24"/>
        </w:rPr>
        <w:t>and</w:t>
      </w:r>
      <w:r w:rsidR="00C93138" w:rsidRPr="00BE15B8">
        <w:rPr>
          <w:rFonts w:asciiTheme="minorHAnsi" w:eastAsiaTheme="majorEastAsia" w:hAnsiTheme="minorHAnsi"/>
          <w:sz w:val="24"/>
          <w:szCs w:val="24"/>
        </w:rPr>
        <w:t xml:space="preserve"> the enforcement of fines and probation systems</w:t>
      </w:r>
      <w:r w:rsidR="008A3FC8" w:rsidRPr="00BE15B8">
        <w:rPr>
          <w:rFonts w:asciiTheme="minorHAnsi" w:eastAsiaTheme="majorEastAsia" w:hAnsiTheme="minorHAnsi"/>
          <w:sz w:val="24"/>
          <w:szCs w:val="24"/>
        </w:rPr>
        <w:t>.</w:t>
      </w:r>
      <w:r w:rsidR="00C93138" w:rsidRPr="00BE15B8">
        <w:rPr>
          <w:rFonts w:asciiTheme="minorHAnsi" w:eastAsiaTheme="majorEastAsia" w:hAnsiTheme="minorHAnsi"/>
          <w:sz w:val="24"/>
          <w:szCs w:val="24"/>
        </w:rPr>
        <w:t xml:space="preserve"> </w:t>
      </w:r>
      <w:r w:rsidR="008A3FC8" w:rsidRPr="00BE15B8">
        <w:rPr>
          <w:rFonts w:asciiTheme="minorHAnsi" w:eastAsiaTheme="majorEastAsia" w:hAnsiTheme="minorHAnsi"/>
          <w:sz w:val="24"/>
          <w:szCs w:val="24"/>
        </w:rPr>
        <w:t>P</w:t>
      </w:r>
      <w:r w:rsidR="00C93138" w:rsidRPr="00BE15B8">
        <w:rPr>
          <w:rFonts w:asciiTheme="minorHAnsi" w:eastAsiaTheme="majorEastAsia" w:hAnsiTheme="minorHAnsi"/>
          <w:sz w:val="24"/>
          <w:szCs w:val="24"/>
        </w:rPr>
        <w:t xml:space="preserve">rison </w:t>
      </w:r>
      <w:r w:rsidR="008A3FC8" w:rsidRPr="00BE15B8">
        <w:rPr>
          <w:rFonts w:asciiTheme="minorHAnsi" w:eastAsiaTheme="majorEastAsia" w:hAnsiTheme="minorHAnsi"/>
          <w:sz w:val="24"/>
          <w:szCs w:val="24"/>
        </w:rPr>
        <w:t xml:space="preserve">services </w:t>
      </w:r>
      <w:r w:rsidR="00C93138" w:rsidRPr="00BE15B8">
        <w:rPr>
          <w:rFonts w:asciiTheme="minorHAnsi" w:eastAsiaTheme="majorEastAsia" w:hAnsiTheme="minorHAnsi"/>
          <w:sz w:val="24"/>
          <w:szCs w:val="24"/>
        </w:rPr>
        <w:t>comprise the a</w:t>
      </w:r>
      <w:r w:rsidR="0064289D" w:rsidRPr="00BE15B8">
        <w:rPr>
          <w:rFonts w:asciiTheme="minorHAnsi" w:eastAsiaTheme="majorEastAsia" w:hAnsiTheme="minorHAnsi"/>
          <w:sz w:val="24"/>
          <w:szCs w:val="24"/>
        </w:rPr>
        <w:t>ctivities of administer prisons and the</w:t>
      </w:r>
      <w:r w:rsidR="00C93138" w:rsidRPr="00BE15B8">
        <w:rPr>
          <w:rFonts w:asciiTheme="minorHAnsi" w:eastAsiaTheme="majorEastAsia" w:hAnsiTheme="minorHAnsi"/>
          <w:sz w:val="24"/>
          <w:szCs w:val="24"/>
        </w:rPr>
        <w:t xml:space="preserve"> operation or support of prisons and other places for the detention or rehabilitation of criminal</w:t>
      </w:r>
      <w:r w:rsidR="0064289D" w:rsidRPr="00BE15B8">
        <w:rPr>
          <w:rFonts w:asciiTheme="minorHAnsi" w:eastAsiaTheme="majorEastAsia" w:hAnsiTheme="minorHAnsi"/>
          <w:sz w:val="24"/>
          <w:szCs w:val="24"/>
        </w:rPr>
        <w:t>s,</w:t>
      </w:r>
      <w:r w:rsidR="00C93138" w:rsidRPr="00BE15B8">
        <w:rPr>
          <w:rFonts w:asciiTheme="minorHAnsi" w:eastAsiaTheme="majorEastAsia" w:hAnsiTheme="minorHAnsi"/>
          <w:sz w:val="24"/>
          <w:szCs w:val="24"/>
        </w:rPr>
        <w:t xml:space="preserve"> such as prisons farms, workhouses, reformatories, borstals, asylums for the criminal insane, etc. (Eurostat, 2011)</w:t>
      </w:r>
      <w:r w:rsidR="00A811A5" w:rsidRPr="00BE15B8">
        <w:rPr>
          <w:rFonts w:asciiTheme="minorHAnsi" w:eastAsiaTheme="majorEastAsia" w:hAnsiTheme="minorHAnsi"/>
          <w:sz w:val="24"/>
          <w:szCs w:val="24"/>
        </w:rPr>
        <w:t>.</w:t>
      </w:r>
      <w:r w:rsidR="00A811A5" w:rsidRPr="00BE15B8">
        <w:rPr>
          <w:rFonts w:asciiTheme="minorHAnsi" w:hAnsiTheme="minorHAnsi"/>
          <w:color w:val="000000" w:themeColor="text1"/>
          <w:sz w:val="24"/>
          <w:szCs w:val="24"/>
        </w:rPr>
        <w:t xml:space="preserve"> </w:t>
      </w:r>
    </w:p>
    <w:p w:rsidR="00C93138" w:rsidRPr="00BE15B8" w:rsidRDefault="00E45F08" w:rsidP="00F34A53">
      <w:pPr>
        <w:autoSpaceDE w:val="0"/>
        <w:autoSpaceDN w:val="0"/>
        <w:adjustRightInd w:val="0"/>
        <w:spacing w:after="0"/>
        <w:jc w:val="both"/>
        <w:rPr>
          <w:rFonts w:asciiTheme="minorHAnsi" w:eastAsiaTheme="majorEastAsia" w:hAnsiTheme="minorHAnsi"/>
          <w:sz w:val="24"/>
          <w:szCs w:val="24"/>
        </w:rPr>
      </w:pPr>
      <w:r>
        <w:rPr>
          <w:rFonts w:asciiTheme="minorHAnsi" w:hAnsiTheme="minorHAnsi"/>
          <w:color w:val="000000" w:themeColor="text1"/>
          <w:sz w:val="24"/>
          <w:szCs w:val="24"/>
        </w:rPr>
        <w:t>In the public expenditure on drug supply reduction initiatives, t</w:t>
      </w:r>
      <w:r w:rsidRPr="00BE15B8">
        <w:rPr>
          <w:rFonts w:asciiTheme="minorHAnsi" w:hAnsiTheme="minorHAnsi"/>
          <w:color w:val="000000" w:themeColor="text1"/>
          <w:sz w:val="24"/>
          <w:szCs w:val="24"/>
        </w:rPr>
        <w:t xml:space="preserve">he </w:t>
      </w:r>
      <w:r w:rsidR="00A811A5" w:rsidRPr="00BE15B8">
        <w:rPr>
          <w:rFonts w:asciiTheme="minorHAnsi" w:hAnsiTheme="minorHAnsi"/>
          <w:color w:val="000000" w:themeColor="text1"/>
          <w:sz w:val="24"/>
          <w:szCs w:val="24"/>
        </w:rPr>
        <w:t xml:space="preserve">vast majority of resources will be spent on enforcement towards producers and dealers, but </w:t>
      </w:r>
      <w:r w:rsidR="00E46EE2">
        <w:rPr>
          <w:rFonts w:asciiTheme="minorHAnsi" w:hAnsiTheme="minorHAnsi"/>
          <w:color w:val="000000" w:themeColor="text1"/>
          <w:sz w:val="24"/>
          <w:szCs w:val="24"/>
        </w:rPr>
        <w:t>may</w:t>
      </w:r>
      <w:r w:rsidR="00A811A5" w:rsidRPr="00BE15B8">
        <w:rPr>
          <w:rFonts w:asciiTheme="minorHAnsi" w:hAnsiTheme="minorHAnsi"/>
          <w:color w:val="000000" w:themeColor="text1"/>
          <w:sz w:val="24"/>
          <w:szCs w:val="24"/>
        </w:rPr>
        <w:t xml:space="preserve"> also include legal actions toward users</w:t>
      </w:r>
      <w:r w:rsidR="00E46EE2">
        <w:rPr>
          <w:rFonts w:asciiTheme="minorHAnsi" w:hAnsiTheme="minorHAnsi"/>
          <w:color w:val="000000" w:themeColor="text1"/>
          <w:sz w:val="24"/>
          <w:szCs w:val="24"/>
        </w:rPr>
        <w:t xml:space="preserve"> for drug possession</w:t>
      </w:r>
      <w:r>
        <w:rPr>
          <w:rFonts w:asciiTheme="minorHAnsi" w:hAnsiTheme="minorHAnsi"/>
          <w:color w:val="000000" w:themeColor="text1"/>
          <w:sz w:val="24"/>
          <w:szCs w:val="24"/>
        </w:rPr>
        <w:t xml:space="preserve">, </w:t>
      </w:r>
      <w:r w:rsidR="00BB3091">
        <w:rPr>
          <w:rFonts w:asciiTheme="minorHAnsi" w:hAnsiTheme="minorHAnsi"/>
          <w:color w:val="000000" w:themeColor="text1"/>
          <w:sz w:val="24"/>
          <w:szCs w:val="24"/>
        </w:rPr>
        <w:t>when</w:t>
      </w:r>
      <w:r>
        <w:rPr>
          <w:rFonts w:asciiTheme="minorHAnsi" w:hAnsiTheme="minorHAnsi"/>
          <w:color w:val="000000" w:themeColor="text1"/>
          <w:sz w:val="24"/>
          <w:szCs w:val="24"/>
        </w:rPr>
        <w:t xml:space="preserve"> required by</w:t>
      </w:r>
      <w:r w:rsidR="00421AFF">
        <w:rPr>
          <w:rFonts w:asciiTheme="minorHAnsi" w:hAnsiTheme="minorHAnsi"/>
          <w:color w:val="000000" w:themeColor="text1"/>
          <w:sz w:val="24"/>
          <w:szCs w:val="24"/>
        </w:rPr>
        <w:t xml:space="preserve"> national</w:t>
      </w:r>
      <w:r>
        <w:rPr>
          <w:rFonts w:asciiTheme="minorHAnsi" w:hAnsiTheme="minorHAnsi"/>
          <w:color w:val="000000" w:themeColor="text1"/>
          <w:sz w:val="24"/>
          <w:szCs w:val="24"/>
        </w:rPr>
        <w:t xml:space="preserve"> judicial systems</w:t>
      </w:r>
      <w:r w:rsidR="00A811A5" w:rsidRPr="00BE15B8">
        <w:rPr>
          <w:rFonts w:asciiTheme="minorHAnsi" w:hAnsiTheme="minorHAnsi"/>
          <w:color w:val="000000" w:themeColor="text1"/>
          <w:sz w:val="24"/>
          <w:szCs w:val="24"/>
        </w:rPr>
        <w:t>.</w:t>
      </w:r>
    </w:p>
    <w:p w:rsidR="00DE7529" w:rsidRPr="00BE15B8" w:rsidRDefault="00DE7529" w:rsidP="00EA1934">
      <w:pPr>
        <w:pStyle w:val="HTML-forhndsformatert"/>
        <w:shd w:val="clear" w:color="auto" w:fill="FFFFFF"/>
        <w:spacing w:line="276" w:lineRule="auto"/>
        <w:jc w:val="both"/>
        <w:rPr>
          <w:rFonts w:asciiTheme="minorHAnsi" w:hAnsiTheme="minorHAnsi" w:cs="Times New Roman"/>
          <w:b/>
          <w:iCs/>
          <w:sz w:val="28"/>
          <w:szCs w:val="28"/>
          <w:lang w:val="en-GB"/>
        </w:rPr>
      </w:pPr>
    </w:p>
    <w:p w:rsidR="00711219" w:rsidRPr="00BE15B8" w:rsidRDefault="00DB1E7A" w:rsidP="002428D9">
      <w:pPr>
        <w:pStyle w:val="Overskrift1"/>
      </w:pPr>
      <w:r w:rsidRPr="00BE15B8">
        <w:t>E</w:t>
      </w:r>
      <w:r w:rsidR="00422FEF" w:rsidRPr="00BE15B8">
        <w:t>mpirical e</w:t>
      </w:r>
      <w:r w:rsidRPr="00BE15B8">
        <w:t>stimat</w:t>
      </w:r>
      <w:r w:rsidR="00422FEF" w:rsidRPr="00BE15B8">
        <w:t>es of</w:t>
      </w:r>
      <w:r w:rsidRPr="00BE15B8">
        <w:t xml:space="preserve"> </w:t>
      </w:r>
      <w:r w:rsidR="00861714" w:rsidRPr="00BE15B8">
        <w:t>demand and supply</w:t>
      </w:r>
      <w:r w:rsidRPr="00BE15B8">
        <w:t xml:space="preserve"> policy expenditure</w:t>
      </w:r>
    </w:p>
    <w:p w:rsidR="007941AF" w:rsidRPr="00BE15B8" w:rsidRDefault="005D11C8" w:rsidP="00422FEF">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Over</w:t>
      </w:r>
      <w:r w:rsidR="00BC1A0C" w:rsidRPr="00BE15B8">
        <w:rPr>
          <w:rFonts w:asciiTheme="minorHAnsi" w:hAnsiTheme="minorHAnsi" w:cs="Times New Roman"/>
          <w:iCs/>
          <w:sz w:val="24"/>
          <w:szCs w:val="24"/>
          <w:lang w:val="en-GB"/>
        </w:rPr>
        <w:t xml:space="preserve"> the last decade</w:t>
      </w:r>
      <w:r w:rsidR="00BB752B" w:rsidRPr="00BE15B8">
        <w:rPr>
          <w:rFonts w:asciiTheme="minorHAnsi" w:hAnsiTheme="minorHAnsi" w:cs="Times New Roman"/>
          <w:iCs/>
          <w:sz w:val="24"/>
          <w:szCs w:val="24"/>
          <w:lang w:val="en-GB"/>
        </w:rPr>
        <w:t>,</w:t>
      </w:r>
      <w:r w:rsidR="00BC1A0C" w:rsidRPr="00BE15B8">
        <w:rPr>
          <w:rFonts w:asciiTheme="minorHAnsi" w:hAnsiTheme="minorHAnsi" w:cs="Times New Roman"/>
          <w:iCs/>
          <w:sz w:val="24"/>
          <w:szCs w:val="24"/>
          <w:lang w:val="en-GB"/>
        </w:rPr>
        <w:t xml:space="preserve"> </w:t>
      </w:r>
      <w:r w:rsidR="006C0EDE">
        <w:rPr>
          <w:rFonts w:asciiTheme="minorHAnsi" w:hAnsiTheme="minorHAnsi" w:cs="Times New Roman"/>
          <w:iCs/>
          <w:sz w:val="24"/>
          <w:szCs w:val="24"/>
          <w:lang w:val="en-GB"/>
        </w:rPr>
        <w:t xml:space="preserve">at least </w:t>
      </w:r>
      <w:r w:rsidR="00422FEF" w:rsidRPr="00BE15B8">
        <w:rPr>
          <w:rFonts w:asciiTheme="minorHAnsi" w:hAnsiTheme="minorHAnsi" w:cs="Times New Roman"/>
          <w:iCs/>
          <w:sz w:val="24"/>
          <w:szCs w:val="24"/>
          <w:lang w:val="en-GB"/>
        </w:rPr>
        <w:t xml:space="preserve">16 European countries have provided comprehensive estimates of drug-related public expenditure (EMCDDA, 2014b). </w:t>
      </w:r>
      <w:r w:rsidR="003939DA" w:rsidRPr="00BE15B8">
        <w:rPr>
          <w:rFonts w:asciiTheme="minorHAnsi" w:hAnsiTheme="minorHAnsi" w:cs="Times New Roman"/>
          <w:iCs/>
          <w:sz w:val="24"/>
          <w:szCs w:val="24"/>
          <w:lang w:val="en-GB"/>
        </w:rPr>
        <w:t>C</w:t>
      </w:r>
      <w:r w:rsidR="00422FEF" w:rsidRPr="00BE15B8">
        <w:rPr>
          <w:rFonts w:asciiTheme="minorHAnsi" w:hAnsiTheme="minorHAnsi" w:cs="Times New Roman"/>
          <w:iCs/>
          <w:sz w:val="24"/>
          <w:szCs w:val="24"/>
          <w:lang w:val="en-GB"/>
        </w:rPr>
        <w:t xml:space="preserve">ountry estimates suggest that drug-related expenditure ranged from 0.01 % to 0.5 % of </w:t>
      </w:r>
      <w:r w:rsidR="00F80CA4" w:rsidRPr="00BE15B8">
        <w:rPr>
          <w:rFonts w:asciiTheme="minorHAnsi" w:hAnsiTheme="minorHAnsi" w:cs="Times New Roman"/>
          <w:iCs/>
          <w:sz w:val="24"/>
          <w:szCs w:val="24"/>
          <w:lang w:val="en-GB"/>
        </w:rPr>
        <w:t>the gross domestic product (</w:t>
      </w:r>
      <w:r w:rsidR="00422FEF" w:rsidRPr="00BE15B8">
        <w:rPr>
          <w:rFonts w:asciiTheme="minorHAnsi" w:hAnsiTheme="minorHAnsi" w:cs="Times New Roman"/>
          <w:iCs/>
          <w:sz w:val="24"/>
          <w:szCs w:val="24"/>
          <w:lang w:val="en-GB"/>
        </w:rPr>
        <w:t>GDP</w:t>
      </w:r>
      <w:r w:rsidR="00F80CA4" w:rsidRPr="00BE15B8">
        <w:rPr>
          <w:rFonts w:asciiTheme="minorHAnsi" w:hAnsiTheme="minorHAnsi" w:cs="Times New Roman"/>
          <w:iCs/>
          <w:sz w:val="24"/>
          <w:szCs w:val="24"/>
          <w:lang w:val="en-GB"/>
        </w:rPr>
        <w:t>)</w:t>
      </w:r>
      <w:r w:rsidR="00422FEF" w:rsidRPr="00BE15B8">
        <w:rPr>
          <w:rFonts w:asciiTheme="minorHAnsi" w:hAnsiTheme="minorHAnsi" w:cs="Times New Roman"/>
          <w:iCs/>
          <w:sz w:val="24"/>
          <w:szCs w:val="24"/>
          <w:lang w:val="en-GB"/>
        </w:rPr>
        <w:t xml:space="preserve">. As the studies may not have applied the same expenditure classifications or the same estimation methods, caution is required when making cross-country comparisons (EMCDDA, 2014b). </w:t>
      </w:r>
    </w:p>
    <w:p w:rsidR="007941AF" w:rsidRPr="00BE15B8" w:rsidRDefault="007941AF" w:rsidP="00422FEF">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E46EE2" w:rsidP="00DE7529">
      <w:pPr>
        <w:pStyle w:val="HTML-forhndsformatert"/>
        <w:shd w:val="clear" w:color="auto" w:fill="FFFFFF"/>
        <w:spacing w:line="276" w:lineRule="auto"/>
        <w:jc w:val="both"/>
        <w:rPr>
          <w:rFonts w:asciiTheme="minorHAnsi" w:hAnsiTheme="minorHAnsi" w:cs="Times New Roman"/>
          <w:iCs/>
          <w:sz w:val="24"/>
          <w:szCs w:val="24"/>
          <w:lang w:val="en-GB"/>
        </w:rPr>
      </w:pPr>
      <w:r>
        <w:rPr>
          <w:rFonts w:asciiTheme="minorHAnsi" w:hAnsiTheme="minorHAnsi" w:cs="Times New Roman"/>
          <w:iCs/>
          <w:sz w:val="24"/>
          <w:szCs w:val="24"/>
          <w:lang w:val="en-GB"/>
        </w:rPr>
        <w:t>I</w:t>
      </w:r>
      <w:r w:rsidR="001D6143" w:rsidRPr="00BE15B8">
        <w:rPr>
          <w:rFonts w:asciiTheme="minorHAnsi" w:hAnsiTheme="minorHAnsi" w:cs="Times New Roman"/>
          <w:iCs/>
          <w:sz w:val="24"/>
          <w:szCs w:val="24"/>
          <w:lang w:val="en-GB"/>
        </w:rPr>
        <w:t>nterestingly</w:t>
      </w:r>
      <w:r>
        <w:rPr>
          <w:rFonts w:asciiTheme="minorHAnsi" w:hAnsiTheme="minorHAnsi" w:cs="Times New Roman"/>
          <w:iCs/>
          <w:sz w:val="24"/>
          <w:szCs w:val="24"/>
          <w:lang w:val="en-GB"/>
        </w:rPr>
        <w:t>, however,</w:t>
      </w:r>
      <w:r w:rsidR="001D6143" w:rsidRPr="00BE15B8">
        <w:rPr>
          <w:rFonts w:asciiTheme="minorHAnsi" w:hAnsiTheme="minorHAnsi" w:cs="Times New Roman"/>
          <w:iCs/>
          <w:sz w:val="24"/>
          <w:szCs w:val="24"/>
          <w:lang w:val="en-GB"/>
        </w:rPr>
        <w:t xml:space="preserve"> </w:t>
      </w:r>
      <w:r w:rsidR="00F80CA4" w:rsidRPr="00BE15B8">
        <w:rPr>
          <w:rFonts w:asciiTheme="minorHAnsi" w:hAnsiTheme="minorHAnsi" w:cs="Times New Roman"/>
          <w:iCs/>
          <w:sz w:val="24"/>
          <w:szCs w:val="24"/>
          <w:lang w:val="en-GB"/>
        </w:rPr>
        <w:t xml:space="preserve">the information available </w:t>
      </w:r>
      <w:r>
        <w:rPr>
          <w:rFonts w:asciiTheme="minorHAnsi" w:hAnsiTheme="minorHAnsi" w:cs="Times New Roman"/>
          <w:iCs/>
          <w:sz w:val="24"/>
          <w:szCs w:val="24"/>
          <w:lang w:val="en-GB"/>
        </w:rPr>
        <w:t>suggests</w:t>
      </w:r>
      <w:r w:rsidR="00F80CA4" w:rsidRPr="00BE15B8">
        <w:rPr>
          <w:rFonts w:asciiTheme="minorHAnsi" w:hAnsiTheme="minorHAnsi" w:cs="Times New Roman"/>
          <w:iCs/>
          <w:sz w:val="24"/>
          <w:szCs w:val="24"/>
          <w:lang w:val="en-GB"/>
        </w:rPr>
        <w:t xml:space="preserve"> that </w:t>
      </w:r>
      <w:r w:rsidR="00DE7529" w:rsidRPr="00BE15B8">
        <w:rPr>
          <w:rFonts w:asciiTheme="minorHAnsi" w:hAnsiTheme="minorHAnsi" w:cs="Times New Roman"/>
          <w:iCs/>
          <w:sz w:val="24"/>
          <w:szCs w:val="24"/>
          <w:lang w:val="en-GB"/>
        </w:rPr>
        <w:t>supply reduction activities accounted for the largest share of the drug-related public expenditures in most countries</w:t>
      </w:r>
      <w:r w:rsidR="00DE7529" w:rsidRPr="00BE15B8">
        <w:rPr>
          <w:rFonts w:asciiTheme="minorHAnsi" w:eastAsiaTheme="majorEastAsia" w:hAnsiTheme="minorHAnsi" w:cs="Times New Roman"/>
          <w:sz w:val="24"/>
          <w:szCs w:val="24"/>
          <w:lang w:val="en-GB"/>
        </w:rPr>
        <w:t xml:space="preserve">. </w:t>
      </w:r>
      <w:r w:rsidR="00DE7529" w:rsidRPr="00BE15B8">
        <w:rPr>
          <w:rFonts w:asciiTheme="minorHAnsi" w:hAnsiTheme="minorHAnsi" w:cs="Times New Roman"/>
          <w:iCs/>
          <w:sz w:val="24"/>
          <w:szCs w:val="24"/>
          <w:lang w:val="en-GB"/>
        </w:rPr>
        <w:t xml:space="preserve">Out of the 16 countries presenting complete estimates </w:t>
      </w:r>
      <w:r w:rsidR="00DE7529" w:rsidRPr="00BE15B8">
        <w:rPr>
          <w:rFonts w:asciiTheme="minorHAnsi" w:eastAsiaTheme="majorEastAsia" w:hAnsiTheme="minorHAnsi" w:cs="Times New Roman"/>
          <w:sz w:val="24"/>
          <w:szCs w:val="24"/>
          <w:lang w:val="en-GB"/>
        </w:rPr>
        <w:t>in the last decade</w:t>
      </w:r>
      <w:r w:rsidR="00FA166A" w:rsidRPr="00BE15B8">
        <w:rPr>
          <w:rFonts w:asciiTheme="minorHAnsi" w:eastAsiaTheme="majorEastAsia" w:hAnsiTheme="minorHAnsi" w:cs="Times New Roman"/>
          <w:sz w:val="24"/>
          <w:szCs w:val="24"/>
          <w:lang w:val="en-GB"/>
        </w:rPr>
        <w:t>,</w:t>
      </w:r>
      <w:r w:rsidR="00DE7529" w:rsidRPr="00BE15B8">
        <w:rPr>
          <w:rFonts w:asciiTheme="minorHAnsi" w:hAnsiTheme="minorHAnsi" w:cs="Times New Roman"/>
          <w:iCs/>
          <w:sz w:val="24"/>
          <w:szCs w:val="24"/>
          <w:lang w:val="en-GB"/>
        </w:rPr>
        <w:t xml:space="preserve"> only four countries spent less than 50% of their total drug-budget on supply reduction, while five countries spent 70% or more. The other countries spent between 50% and 70% of their drug-related expenditures on supply reduction. </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noProof/>
          <w:lang w:val="nb-NO" w:eastAsia="nb-NO"/>
        </w:rPr>
        <w:drawing>
          <wp:inline distT="0" distB="0" distL="0" distR="0" wp14:anchorId="4E93F299" wp14:editId="1CCEA822">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rsidR="00DE7529" w:rsidRPr="00BE15B8"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BE15B8">
        <w:rPr>
          <w:rFonts w:asciiTheme="minorHAnsi" w:hAnsiTheme="minorHAnsi" w:cs="Times New Roman"/>
          <w:b/>
          <w:iCs/>
          <w:sz w:val="22"/>
          <w:szCs w:val="24"/>
          <w:lang w:val="en-GB"/>
        </w:rPr>
        <w:t xml:space="preserve">Figure 1 Breakdown of drug-related expenditure between demand and supply reduction. </w:t>
      </w:r>
    </w:p>
    <w:p w:rsidR="00DE7529" w:rsidRPr="00BE15B8" w:rsidRDefault="00DE7529" w:rsidP="00DE7529">
      <w:pPr>
        <w:pStyle w:val="HTML-forhndsformatert"/>
        <w:shd w:val="clear" w:color="auto" w:fill="FFFFFF"/>
        <w:spacing w:line="276" w:lineRule="auto"/>
        <w:jc w:val="both"/>
        <w:rPr>
          <w:rFonts w:asciiTheme="minorHAnsi" w:hAnsiTheme="minorHAnsi" w:cs="Times New Roman"/>
          <w:b/>
          <w:iCs/>
          <w:sz w:val="22"/>
          <w:szCs w:val="24"/>
          <w:lang w:val="en-GB"/>
        </w:rPr>
      </w:pPr>
      <w:r w:rsidRPr="00BE15B8">
        <w:rPr>
          <w:rFonts w:asciiTheme="minorHAnsi" w:hAnsiTheme="minorHAnsi" w:cs="Times New Roman"/>
          <w:iCs/>
          <w:sz w:val="18"/>
          <w:szCs w:val="18"/>
          <w:lang w:val="en-GB"/>
        </w:rPr>
        <w:t>Source: EMCDDA, 2014b</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DE7529" w:rsidRPr="00BE15B8" w:rsidRDefault="00861714" w:rsidP="00DE7529">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Analysis has </w:t>
      </w:r>
      <w:r w:rsidR="00545206">
        <w:rPr>
          <w:rFonts w:asciiTheme="minorHAnsi" w:hAnsiTheme="minorHAnsi" w:cs="Times New Roman"/>
          <w:iCs/>
          <w:sz w:val="24"/>
          <w:szCs w:val="24"/>
          <w:lang w:val="en-GB"/>
        </w:rPr>
        <w:t xml:space="preserve">further </w:t>
      </w:r>
      <w:r w:rsidRPr="00BE15B8">
        <w:rPr>
          <w:rFonts w:asciiTheme="minorHAnsi" w:hAnsiTheme="minorHAnsi" w:cs="Times New Roman"/>
          <w:iCs/>
          <w:sz w:val="24"/>
          <w:szCs w:val="24"/>
          <w:lang w:val="en-GB"/>
        </w:rPr>
        <w:t>shown that f</w:t>
      </w:r>
      <w:r w:rsidR="00DE7529" w:rsidRPr="00BE15B8">
        <w:rPr>
          <w:rFonts w:asciiTheme="minorHAnsi" w:hAnsiTheme="minorHAnsi" w:cs="Times New Roman"/>
          <w:iCs/>
          <w:sz w:val="24"/>
          <w:szCs w:val="24"/>
          <w:lang w:val="en-GB"/>
        </w:rPr>
        <w:t xml:space="preserve">unds allocated to drug-related initiatives only account for a </w:t>
      </w:r>
      <w:r w:rsidR="00DE7529" w:rsidRPr="0025428D">
        <w:rPr>
          <w:rFonts w:asciiTheme="minorHAnsi" w:hAnsiTheme="minorHAnsi" w:cs="Times New Roman"/>
          <w:iCs/>
          <w:sz w:val="24"/>
          <w:szCs w:val="24"/>
          <w:lang w:val="en-GB"/>
        </w:rPr>
        <w:t>small proportion of the overall public expenditure for the sector of “public order and safety”</w:t>
      </w:r>
      <w:r w:rsidR="003732F1" w:rsidRPr="0025428D">
        <w:rPr>
          <w:rFonts w:asciiTheme="minorHAnsi" w:hAnsiTheme="minorHAnsi" w:cs="Times New Roman"/>
          <w:iCs/>
          <w:sz w:val="24"/>
          <w:szCs w:val="24"/>
          <w:lang w:val="en-GB"/>
        </w:rPr>
        <w:t>. F</w:t>
      </w:r>
      <w:r w:rsidR="00DE7529" w:rsidRPr="0025428D">
        <w:rPr>
          <w:rFonts w:asciiTheme="minorHAnsi" w:hAnsiTheme="minorHAnsi" w:cs="Times New Roman"/>
          <w:iCs/>
          <w:sz w:val="24"/>
          <w:szCs w:val="24"/>
          <w:lang w:val="en-GB"/>
        </w:rPr>
        <w:t xml:space="preserve">or instance, in </w:t>
      </w:r>
      <w:r w:rsidR="00AD58DC" w:rsidRPr="0025428D">
        <w:rPr>
          <w:rFonts w:asciiTheme="minorHAnsi" w:hAnsiTheme="minorHAnsi" w:cs="Times New Roman"/>
          <w:iCs/>
          <w:sz w:val="24"/>
          <w:szCs w:val="24"/>
          <w:lang w:val="en-GB"/>
        </w:rPr>
        <w:t xml:space="preserve">2008 </w:t>
      </w:r>
      <w:r w:rsidR="00C41DFE" w:rsidRPr="0025428D">
        <w:rPr>
          <w:rFonts w:asciiTheme="minorHAnsi" w:hAnsiTheme="minorHAnsi" w:cs="Times New Roman"/>
          <w:iCs/>
          <w:sz w:val="24"/>
          <w:szCs w:val="24"/>
          <w:lang w:val="en-GB"/>
        </w:rPr>
        <w:t xml:space="preserve">(the only year this exercise was </w:t>
      </w:r>
      <w:r w:rsidR="00AD58DC" w:rsidRPr="0025428D">
        <w:rPr>
          <w:rFonts w:asciiTheme="minorHAnsi" w:hAnsiTheme="minorHAnsi" w:cs="Times New Roman"/>
          <w:iCs/>
          <w:sz w:val="24"/>
          <w:szCs w:val="24"/>
          <w:lang w:val="en-GB"/>
        </w:rPr>
        <w:t xml:space="preserve">systematically </w:t>
      </w:r>
      <w:r w:rsidR="00C41DFE" w:rsidRPr="0025428D">
        <w:rPr>
          <w:rFonts w:asciiTheme="minorHAnsi" w:hAnsiTheme="minorHAnsi" w:cs="Times New Roman"/>
          <w:iCs/>
          <w:sz w:val="24"/>
          <w:szCs w:val="24"/>
          <w:lang w:val="en-GB"/>
        </w:rPr>
        <w:t>conducted</w:t>
      </w:r>
      <w:r w:rsidR="00AD58DC" w:rsidRPr="0025428D">
        <w:rPr>
          <w:rFonts w:asciiTheme="minorHAnsi" w:hAnsiTheme="minorHAnsi" w:cs="Times New Roman"/>
          <w:iCs/>
          <w:sz w:val="24"/>
          <w:szCs w:val="24"/>
          <w:lang w:val="en-GB"/>
        </w:rPr>
        <w:t xml:space="preserve"> in European Union countries)</w:t>
      </w:r>
      <w:r w:rsidR="00DE7529" w:rsidRPr="0025428D">
        <w:rPr>
          <w:rFonts w:asciiTheme="minorHAnsi" w:hAnsiTheme="minorHAnsi" w:cs="Times New Roman"/>
          <w:iCs/>
          <w:sz w:val="24"/>
          <w:szCs w:val="24"/>
          <w:lang w:val="en-GB"/>
        </w:rPr>
        <w:t xml:space="preserve">, supply reduction expenditure represented between 2 % and 12 % of the total public expenditures in this sector. This </w:t>
      </w:r>
      <w:r w:rsidR="0068755F" w:rsidRPr="0025428D">
        <w:rPr>
          <w:rFonts w:asciiTheme="minorHAnsi" w:hAnsiTheme="minorHAnsi" w:cs="Times New Roman"/>
          <w:iCs/>
          <w:sz w:val="24"/>
          <w:szCs w:val="24"/>
          <w:lang w:val="en-GB"/>
        </w:rPr>
        <w:t xml:space="preserve">proportion </w:t>
      </w:r>
      <w:r w:rsidR="00DE7529" w:rsidRPr="0025428D">
        <w:rPr>
          <w:rFonts w:asciiTheme="minorHAnsi" w:hAnsiTheme="minorHAnsi" w:cs="Times New Roman"/>
          <w:iCs/>
          <w:sz w:val="24"/>
          <w:szCs w:val="24"/>
          <w:lang w:val="en-GB"/>
        </w:rPr>
        <w:t xml:space="preserve">compares to the proportion of drug-related spending on </w:t>
      </w:r>
      <w:r w:rsidR="00A75669" w:rsidRPr="0025428D">
        <w:rPr>
          <w:rFonts w:asciiTheme="minorHAnsi" w:hAnsiTheme="minorHAnsi" w:cs="Times New Roman"/>
          <w:iCs/>
          <w:sz w:val="24"/>
          <w:szCs w:val="24"/>
          <w:lang w:val="en-GB"/>
        </w:rPr>
        <w:t>“</w:t>
      </w:r>
      <w:r w:rsidR="00DE7529" w:rsidRPr="0025428D">
        <w:rPr>
          <w:rFonts w:asciiTheme="minorHAnsi" w:hAnsiTheme="minorHAnsi" w:cs="Times New Roman"/>
          <w:iCs/>
          <w:sz w:val="24"/>
          <w:szCs w:val="24"/>
          <w:lang w:val="en-GB"/>
        </w:rPr>
        <w:t>health</w:t>
      </w:r>
      <w:r w:rsidR="00A75669" w:rsidRPr="0025428D">
        <w:rPr>
          <w:rFonts w:asciiTheme="minorHAnsi" w:hAnsiTheme="minorHAnsi" w:cs="Times New Roman"/>
          <w:iCs/>
          <w:sz w:val="24"/>
          <w:szCs w:val="24"/>
          <w:lang w:val="en-GB"/>
        </w:rPr>
        <w:t>”</w:t>
      </w:r>
      <w:r w:rsidR="00DE7529" w:rsidRPr="0025428D">
        <w:rPr>
          <w:rFonts w:asciiTheme="minorHAnsi" w:hAnsiTheme="minorHAnsi" w:cs="Times New Roman"/>
          <w:iCs/>
          <w:sz w:val="24"/>
          <w:szCs w:val="24"/>
          <w:lang w:val="en-GB"/>
        </w:rPr>
        <w:t xml:space="preserve"> and </w:t>
      </w:r>
      <w:r w:rsidR="00A75669" w:rsidRPr="0025428D">
        <w:rPr>
          <w:rFonts w:asciiTheme="minorHAnsi" w:hAnsiTheme="minorHAnsi" w:cs="Times New Roman"/>
          <w:iCs/>
          <w:sz w:val="24"/>
          <w:szCs w:val="24"/>
          <w:lang w:val="en-GB"/>
        </w:rPr>
        <w:t>“</w:t>
      </w:r>
      <w:r w:rsidR="00DE7529" w:rsidRPr="0025428D">
        <w:rPr>
          <w:rFonts w:asciiTheme="minorHAnsi" w:hAnsiTheme="minorHAnsi" w:cs="Times New Roman"/>
          <w:iCs/>
          <w:sz w:val="24"/>
          <w:szCs w:val="24"/>
          <w:lang w:val="en-GB"/>
        </w:rPr>
        <w:t>social protection</w:t>
      </w:r>
      <w:r w:rsidR="00A75669" w:rsidRPr="0025428D">
        <w:rPr>
          <w:rFonts w:asciiTheme="minorHAnsi" w:hAnsiTheme="minorHAnsi" w:cs="Times New Roman"/>
          <w:iCs/>
          <w:sz w:val="24"/>
          <w:szCs w:val="24"/>
          <w:lang w:val="en-GB"/>
        </w:rPr>
        <w:t>”</w:t>
      </w:r>
      <w:r w:rsidR="00DE7529" w:rsidRPr="0025428D">
        <w:rPr>
          <w:rFonts w:asciiTheme="minorHAnsi" w:hAnsiTheme="minorHAnsi" w:cs="Times New Roman"/>
          <w:iCs/>
          <w:sz w:val="24"/>
          <w:szCs w:val="24"/>
          <w:lang w:val="en-GB"/>
        </w:rPr>
        <w:t xml:space="preserve"> </w:t>
      </w:r>
      <w:r w:rsidR="00A75669" w:rsidRPr="0025428D">
        <w:rPr>
          <w:rFonts w:asciiTheme="minorHAnsi" w:hAnsiTheme="minorHAnsi" w:cs="Times New Roman"/>
          <w:iCs/>
          <w:sz w:val="24"/>
          <w:szCs w:val="24"/>
          <w:lang w:val="en-GB"/>
        </w:rPr>
        <w:t>sectors</w:t>
      </w:r>
      <w:r w:rsidR="0068755F" w:rsidRPr="0025428D">
        <w:rPr>
          <w:rFonts w:asciiTheme="minorHAnsi" w:hAnsiTheme="minorHAnsi" w:cs="Times New Roman"/>
          <w:iCs/>
          <w:sz w:val="24"/>
          <w:szCs w:val="24"/>
          <w:lang w:val="en-GB"/>
        </w:rPr>
        <w:t xml:space="preserve">. The proportion of drug-related expenditure on these items, </w:t>
      </w:r>
      <w:r w:rsidR="00DE7529" w:rsidRPr="0025428D">
        <w:rPr>
          <w:rFonts w:asciiTheme="minorHAnsi" w:hAnsiTheme="minorHAnsi" w:cs="Times New Roman"/>
          <w:iCs/>
          <w:sz w:val="24"/>
          <w:szCs w:val="24"/>
          <w:lang w:val="en-GB"/>
        </w:rPr>
        <w:t>accounted for less than 1 %</w:t>
      </w:r>
      <w:r w:rsidR="00394338" w:rsidRPr="0025428D">
        <w:rPr>
          <w:rFonts w:asciiTheme="minorHAnsi" w:hAnsiTheme="minorHAnsi" w:cs="Times New Roman"/>
          <w:iCs/>
          <w:sz w:val="24"/>
          <w:szCs w:val="24"/>
          <w:lang w:val="en-GB"/>
        </w:rPr>
        <w:t xml:space="preserve"> of the total public spending on ‘health’ and on ‘social protection’, in that period</w:t>
      </w:r>
      <w:r w:rsidR="00DE7529" w:rsidRPr="0025428D">
        <w:rPr>
          <w:rFonts w:asciiTheme="minorHAnsi" w:hAnsiTheme="minorHAnsi" w:cs="Times New Roman"/>
          <w:iCs/>
          <w:sz w:val="24"/>
          <w:szCs w:val="24"/>
          <w:lang w:val="en-GB"/>
        </w:rPr>
        <w:t xml:space="preserve">. Since most public spending on demand reduction initiatives is </w:t>
      </w:r>
      <w:r w:rsidR="003732F1" w:rsidRPr="0025428D">
        <w:rPr>
          <w:rFonts w:asciiTheme="minorHAnsi" w:hAnsiTheme="minorHAnsi" w:cs="Times New Roman"/>
          <w:iCs/>
          <w:sz w:val="24"/>
          <w:szCs w:val="24"/>
          <w:lang w:val="en-GB"/>
        </w:rPr>
        <w:t>classified under</w:t>
      </w:r>
      <w:r w:rsidR="00DE7529" w:rsidRPr="0025428D">
        <w:rPr>
          <w:rFonts w:asciiTheme="minorHAnsi" w:hAnsiTheme="minorHAnsi" w:cs="Times New Roman"/>
          <w:iCs/>
          <w:sz w:val="24"/>
          <w:szCs w:val="24"/>
          <w:lang w:val="en-GB"/>
        </w:rPr>
        <w:t xml:space="preserve"> ‘health’ and ‘social protection’, this </w:t>
      </w:r>
      <w:r w:rsidR="00F80CA4" w:rsidRPr="0025428D">
        <w:rPr>
          <w:rFonts w:asciiTheme="minorHAnsi" w:hAnsiTheme="minorHAnsi" w:cs="Times New Roman"/>
          <w:iCs/>
          <w:sz w:val="24"/>
          <w:szCs w:val="24"/>
          <w:lang w:val="en-GB"/>
        </w:rPr>
        <w:t>may further suggest</w:t>
      </w:r>
      <w:r w:rsidR="00DE7529" w:rsidRPr="0025428D">
        <w:rPr>
          <w:rFonts w:asciiTheme="minorHAnsi" w:hAnsiTheme="minorHAnsi" w:cs="Times New Roman"/>
          <w:iCs/>
          <w:sz w:val="24"/>
          <w:szCs w:val="24"/>
          <w:lang w:val="en-GB"/>
        </w:rPr>
        <w:t xml:space="preserve"> that European countries </w:t>
      </w:r>
      <w:r w:rsidR="00394338" w:rsidRPr="0025428D">
        <w:rPr>
          <w:rFonts w:asciiTheme="minorHAnsi" w:hAnsiTheme="minorHAnsi" w:cs="Times New Roman"/>
          <w:iCs/>
          <w:sz w:val="24"/>
          <w:szCs w:val="24"/>
          <w:lang w:val="en-GB"/>
        </w:rPr>
        <w:t>give higher political priority</w:t>
      </w:r>
      <w:r w:rsidR="00DE7529" w:rsidRPr="0025428D">
        <w:rPr>
          <w:rFonts w:asciiTheme="minorHAnsi" w:hAnsiTheme="minorHAnsi" w:cs="Times New Roman"/>
          <w:iCs/>
          <w:sz w:val="24"/>
          <w:szCs w:val="24"/>
          <w:lang w:val="en-GB"/>
        </w:rPr>
        <w:t xml:space="preserve"> </w:t>
      </w:r>
      <w:r w:rsidR="00C41DFE" w:rsidRPr="0025428D">
        <w:rPr>
          <w:rFonts w:asciiTheme="minorHAnsi" w:hAnsiTheme="minorHAnsi" w:cs="Times New Roman"/>
          <w:iCs/>
          <w:sz w:val="24"/>
          <w:szCs w:val="24"/>
          <w:lang w:val="en-GB"/>
        </w:rPr>
        <w:t>to</w:t>
      </w:r>
      <w:r w:rsidR="00DE7529" w:rsidRPr="0025428D">
        <w:rPr>
          <w:rFonts w:asciiTheme="minorHAnsi" w:hAnsiTheme="minorHAnsi" w:cs="Times New Roman"/>
          <w:iCs/>
          <w:sz w:val="24"/>
          <w:szCs w:val="24"/>
          <w:lang w:val="en-GB"/>
        </w:rPr>
        <w:t xml:space="preserve"> supply reduction </w:t>
      </w:r>
      <w:r w:rsidR="00394338" w:rsidRPr="0025428D">
        <w:rPr>
          <w:rFonts w:asciiTheme="minorHAnsi" w:hAnsiTheme="minorHAnsi" w:cs="Times New Roman"/>
          <w:iCs/>
          <w:sz w:val="24"/>
          <w:szCs w:val="24"/>
          <w:lang w:val="en-GB"/>
        </w:rPr>
        <w:t xml:space="preserve">initiatives, in the framework of public order and safety, </w:t>
      </w:r>
      <w:r w:rsidR="00DE7529" w:rsidRPr="0025428D">
        <w:rPr>
          <w:rFonts w:asciiTheme="minorHAnsi" w:hAnsiTheme="minorHAnsi" w:cs="Times New Roman"/>
          <w:iCs/>
          <w:sz w:val="24"/>
          <w:szCs w:val="24"/>
          <w:lang w:val="en-GB"/>
        </w:rPr>
        <w:t xml:space="preserve">than </w:t>
      </w:r>
      <w:r w:rsidR="00C41DFE" w:rsidRPr="0025428D">
        <w:rPr>
          <w:rFonts w:asciiTheme="minorHAnsi" w:hAnsiTheme="minorHAnsi" w:cs="Times New Roman"/>
          <w:iCs/>
          <w:sz w:val="24"/>
          <w:szCs w:val="24"/>
          <w:lang w:val="en-GB"/>
        </w:rPr>
        <w:t>to</w:t>
      </w:r>
      <w:r w:rsidR="00DE7529" w:rsidRPr="0025428D">
        <w:rPr>
          <w:rFonts w:asciiTheme="minorHAnsi" w:hAnsiTheme="minorHAnsi" w:cs="Times New Roman"/>
          <w:iCs/>
          <w:sz w:val="24"/>
          <w:szCs w:val="24"/>
          <w:lang w:val="en-GB"/>
        </w:rPr>
        <w:t xml:space="preserve"> demand reduction init</w:t>
      </w:r>
      <w:r w:rsidR="00A75669" w:rsidRPr="0025428D">
        <w:rPr>
          <w:rFonts w:asciiTheme="minorHAnsi" w:hAnsiTheme="minorHAnsi" w:cs="Times New Roman"/>
          <w:iCs/>
          <w:sz w:val="24"/>
          <w:szCs w:val="24"/>
          <w:lang w:val="en-GB"/>
        </w:rPr>
        <w:t>iatives</w:t>
      </w:r>
      <w:r w:rsidR="00DE7529" w:rsidRPr="0025428D">
        <w:rPr>
          <w:rFonts w:asciiTheme="minorHAnsi" w:hAnsiTheme="minorHAnsi" w:cs="Times New Roman"/>
          <w:iCs/>
          <w:sz w:val="24"/>
          <w:szCs w:val="24"/>
          <w:lang w:val="en-GB"/>
        </w:rPr>
        <w:t xml:space="preserve"> </w:t>
      </w:r>
      <w:r w:rsidR="00394338" w:rsidRPr="0025428D">
        <w:rPr>
          <w:rFonts w:asciiTheme="minorHAnsi" w:hAnsiTheme="minorHAnsi" w:cs="Times New Roman"/>
          <w:iCs/>
          <w:sz w:val="24"/>
          <w:szCs w:val="24"/>
          <w:lang w:val="en-GB"/>
        </w:rPr>
        <w:t xml:space="preserve">in the framework of overall public health </w:t>
      </w:r>
      <w:r w:rsidR="00DE7529" w:rsidRPr="0025428D">
        <w:rPr>
          <w:rFonts w:asciiTheme="minorHAnsi" w:hAnsiTheme="minorHAnsi" w:cs="Times New Roman"/>
          <w:iCs/>
          <w:sz w:val="24"/>
          <w:szCs w:val="24"/>
          <w:lang w:val="en-GB"/>
        </w:rPr>
        <w:t>(EMCDDA, 2008)</w:t>
      </w:r>
      <w:r w:rsidR="00C41DFE" w:rsidRPr="0025428D">
        <w:rPr>
          <w:rFonts w:asciiTheme="minorHAnsi" w:hAnsiTheme="minorHAnsi" w:cs="Times New Roman"/>
          <w:iCs/>
          <w:sz w:val="24"/>
          <w:szCs w:val="24"/>
          <w:lang w:val="en-GB"/>
        </w:rPr>
        <w:t>.</w:t>
      </w:r>
    </w:p>
    <w:p w:rsidR="00DE7529" w:rsidRPr="00BE15B8" w:rsidRDefault="00DE7529" w:rsidP="00DE7529">
      <w:pPr>
        <w:pStyle w:val="HTML-forhndsformatert"/>
        <w:shd w:val="clear" w:color="auto" w:fill="FFFFFF"/>
        <w:spacing w:line="276" w:lineRule="auto"/>
        <w:jc w:val="both"/>
        <w:rPr>
          <w:rFonts w:asciiTheme="minorHAnsi" w:hAnsiTheme="minorHAnsi" w:cs="Times New Roman"/>
          <w:iCs/>
          <w:sz w:val="24"/>
          <w:szCs w:val="24"/>
          <w:lang w:val="en-GB"/>
        </w:rPr>
      </w:pPr>
    </w:p>
    <w:p w:rsidR="009F4DAC" w:rsidRPr="00BE15B8" w:rsidRDefault="00766E54" w:rsidP="002428D9">
      <w:pPr>
        <w:pStyle w:val="Overskrift1"/>
      </w:pPr>
      <w:r>
        <w:t>Steps in cost estimation and analyses</w:t>
      </w:r>
    </w:p>
    <w:p w:rsidR="00513390" w:rsidRPr="00BE15B8" w:rsidRDefault="00832B3A" w:rsidP="009A7B47">
      <w:pPr>
        <w:pStyle w:val="HTML-forhndsformatert"/>
        <w:keepNext/>
        <w:shd w:val="clear" w:color="auto" w:fill="FFFFFF"/>
        <w:spacing w:line="276" w:lineRule="auto"/>
        <w:jc w:val="both"/>
        <w:rPr>
          <w:rFonts w:asciiTheme="minorHAnsi" w:hAnsiTheme="minorHAnsi" w:cs="Times New Roman"/>
          <w:iCs/>
          <w:sz w:val="24"/>
          <w:szCs w:val="24"/>
          <w:lang w:val="en-GB"/>
        </w:rPr>
      </w:pPr>
      <w:r>
        <w:rPr>
          <w:rFonts w:asciiTheme="minorHAnsi" w:hAnsiTheme="minorHAnsi" w:cs="Times New Roman"/>
          <w:sz w:val="24"/>
          <w:szCs w:val="24"/>
          <w:lang w:val="en-GB"/>
        </w:rPr>
        <w:t>Clarifying definitions, i</w:t>
      </w:r>
      <w:r w:rsidRPr="00BE15B8">
        <w:rPr>
          <w:rFonts w:asciiTheme="minorHAnsi" w:hAnsiTheme="minorHAnsi" w:cs="Times New Roman"/>
          <w:sz w:val="24"/>
          <w:szCs w:val="24"/>
          <w:lang w:val="en-GB"/>
        </w:rPr>
        <w:t xml:space="preserve">mproving </w:t>
      </w:r>
      <w:r w:rsidR="008033AF" w:rsidRPr="00BE15B8">
        <w:rPr>
          <w:rFonts w:asciiTheme="minorHAnsi" w:hAnsiTheme="minorHAnsi" w:cs="Times New Roman"/>
          <w:sz w:val="24"/>
          <w:szCs w:val="24"/>
          <w:lang w:val="en-GB"/>
        </w:rPr>
        <w:t xml:space="preserve">estimation </w:t>
      </w:r>
      <w:r w:rsidR="007941AF" w:rsidRPr="00BE15B8">
        <w:rPr>
          <w:rFonts w:asciiTheme="minorHAnsi" w:hAnsiTheme="minorHAnsi" w:cs="Times New Roman"/>
          <w:sz w:val="24"/>
          <w:szCs w:val="24"/>
          <w:lang w:val="en-GB"/>
        </w:rPr>
        <w:t>methods</w:t>
      </w:r>
      <w:r w:rsidR="003939DA" w:rsidRPr="00BE15B8">
        <w:rPr>
          <w:rFonts w:asciiTheme="minorHAnsi" w:hAnsiTheme="minorHAnsi" w:cs="Times New Roman"/>
          <w:sz w:val="24"/>
          <w:szCs w:val="24"/>
          <w:lang w:val="en-GB"/>
        </w:rPr>
        <w:t>,</w:t>
      </w:r>
      <w:r w:rsidR="007941AF" w:rsidRPr="00BE15B8">
        <w:rPr>
          <w:rFonts w:asciiTheme="minorHAnsi" w:hAnsiTheme="minorHAnsi" w:cs="Times New Roman"/>
          <w:sz w:val="24"/>
          <w:szCs w:val="24"/>
          <w:lang w:val="en-GB"/>
        </w:rPr>
        <w:t xml:space="preserve"> </w:t>
      </w:r>
      <w:r w:rsidR="003939DA" w:rsidRPr="00BE15B8">
        <w:rPr>
          <w:rFonts w:asciiTheme="minorHAnsi" w:hAnsiTheme="minorHAnsi" w:cs="Times New Roman"/>
          <w:sz w:val="24"/>
          <w:szCs w:val="24"/>
          <w:lang w:val="en-GB"/>
        </w:rPr>
        <w:t xml:space="preserve">agreeing </w:t>
      </w:r>
      <w:r w:rsidR="00F80CA4" w:rsidRPr="00BE15B8">
        <w:rPr>
          <w:rFonts w:asciiTheme="minorHAnsi" w:hAnsiTheme="minorHAnsi" w:cs="Times New Roman"/>
          <w:sz w:val="24"/>
          <w:szCs w:val="24"/>
          <w:lang w:val="en-GB"/>
        </w:rPr>
        <w:t>on</w:t>
      </w:r>
      <w:r w:rsidR="003939DA" w:rsidRPr="00BE15B8">
        <w:rPr>
          <w:rFonts w:asciiTheme="minorHAnsi" w:hAnsiTheme="minorHAnsi" w:cs="Times New Roman"/>
          <w:sz w:val="24"/>
          <w:szCs w:val="24"/>
          <w:lang w:val="en-GB"/>
        </w:rPr>
        <w:t xml:space="preserve"> </w:t>
      </w:r>
      <w:r w:rsidR="00D90BAB" w:rsidRPr="00BE15B8">
        <w:rPr>
          <w:rFonts w:asciiTheme="minorHAnsi" w:hAnsiTheme="minorHAnsi" w:cs="Times New Roman"/>
          <w:sz w:val="24"/>
          <w:szCs w:val="24"/>
          <w:lang w:val="en-GB"/>
        </w:rPr>
        <w:t xml:space="preserve">best </w:t>
      </w:r>
      <w:r w:rsidR="003939DA" w:rsidRPr="00BE15B8">
        <w:rPr>
          <w:rFonts w:asciiTheme="minorHAnsi" w:hAnsiTheme="minorHAnsi" w:cs="Times New Roman"/>
          <w:sz w:val="24"/>
          <w:szCs w:val="24"/>
          <w:lang w:val="en-GB"/>
        </w:rPr>
        <w:t>practices and finding reliable</w:t>
      </w:r>
      <w:r w:rsidR="00C91571">
        <w:rPr>
          <w:rFonts w:asciiTheme="minorHAnsi" w:hAnsiTheme="minorHAnsi" w:cs="Times New Roman"/>
          <w:sz w:val="24"/>
          <w:szCs w:val="24"/>
          <w:lang w:val="en-GB"/>
        </w:rPr>
        <w:t>,</w:t>
      </w:r>
      <w:r w:rsidR="003939DA" w:rsidRPr="00BE15B8">
        <w:rPr>
          <w:rFonts w:asciiTheme="minorHAnsi" w:hAnsiTheme="minorHAnsi" w:cs="Times New Roman"/>
          <w:sz w:val="24"/>
          <w:szCs w:val="24"/>
          <w:lang w:val="en-GB"/>
        </w:rPr>
        <w:t xml:space="preserve"> standardized data </w:t>
      </w:r>
      <w:r w:rsidR="008033AF" w:rsidRPr="00BE15B8">
        <w:rPr>
          <w:rFonts w:asciiTheme="minorHAnsi" w:hAnsiTheme="minorHAnsi" w:cs="Times New Roman"/>
          <w:sz w:val="24"/>
          <w:szCs w:val="24"/>
          <w:lang w:val="en-GB"/>
        </w:rPr>
        <w:t xml:space="preserve">will increase and expand the </w:t>
      </w:r>
      <w:r w:rsidR="00084DB6" w:rsidRPr="00BE15B8">
        <w:rPr>
          <w:rFonts w:asciiTheme="minorHAnsi" w:hAnsiTheme="minorHAnsi" w:cs="Times New Roman"/>
          <w:sz w:val="24"/>
          <w:szCs w:val="24"/>
          <w:lang w:val="en-GB"/>
        </w:rPr>
        <w:t>utility</w:t>
      </w:r>
      <w:r w:rsidR="008033AF" w:rsidRPr="00BE15B8">
        <w:rPr>
          <w:rFonts w:asciiTheme="minorHAnsi" w:hAnsiTheme="minorHAnsi" w:cs="Times New Roman"/>
          <w:sz w:val="24"/>
          <w:szCs w:val="24"/>
          <w:lang w:val="en-GB"/>
        </w:rPr>
        <w:t xml:space="preserve"> of </w:t>
      </w:r>
      <w:r w:rsidR="00D90BAB" w:rsidRPr="00BE15B8">
        <w:rPr>
          <w:rFonts w:asciiTheme="minorHAnsi" w:hAnsiTheme="minorHAnsi" w:cs="Times New Roman"/>
          <w:sz w:val="24"/>
          <w:szCs w:val="24"/>
          <w:lang w:val="en-GB"/>
        </w:rPr>
        <w:t xml:space="preserve">public </w:t>
      </w:r>
      <w:r w:rsidR="008033AF" w:rsidRPr="00BE15B8">
        <w:rPr>
          <w:rFonts w:asciiTheme="minorHAnsi" w:hAnsiTheme="minorHAnsi" w:cs="Times New Roman"/>
          <w:sz w:val="24"/>
          <w:szCs w:val="24"/>
          <w:lang w:val="en-GB"/>
        </w:rPr>
        <w:t>expenditure estimates</w:t>
      </w:r>
      <w:r w:rsidR="00A75669" w:rsidRPr="00BE15B8">
        <w:rPr>
          <w:rFonts w:asciiTheme="minorHAnsi" w:hAnsiTheme="minorHAnsi" w:cs="Times New Roman"/>
          <w:sz w:val="24"/>
          <w:szCs w:val="24"/>
          <w:lang w:val="en-GB"/>
        </w:rPr>
        <w:t>,</w:t>
      </w:r>
      <w:r w:rsidR="008033AF" w:rsidRPr="00BE15B8">
        <w:rPr>
          <w:rFonts w:asciiTheme="minorHAnsi" w:hAnsiTheme="minorHAnsi" w:cs="Times New Roman"/>
          <w:sz w:val="24"/>
          <w:szCs w:val="24"/>
          <w:lang w:val="en-GB"/>
        </w:rPr>
        <w:t xml:space="preserve"> as analysis over time and across policy areas and countries </w:t>
      </w:r>
      <w:r w:rsidR="001E07E5" w:rsidRPr="00BE15B8">
        <w:rPr>
          <w:rFonts w:asciiTheme="minorHAnsi" w:hAnsiTheme="minorHAnsi" w:cs="Times New Roman"/>
          <w:sz w:val="24"/>
          <w:szCs w:val="24"/>
          <w:lang w:val="en-GB"/>
        </w:rPr>
        <w:t>c</w:t>
      </w:r>
      <w:r w:rsidR="001E07E5">
        <w:rPr>
          <w:rFonts w:asciiTheme="minorHAnsi" w:hAnsiTheme="minorHAnsi" w:cs="Times New Roman"/>
          <w:sz w:val="24"/>
          <w:szCs w:val="24"/>
          <w:lang w:val="en-GB"/>
        </w:rPr>
        <w:t>ould</w:t>
      </w:r>
      <w:r w:rsidR="001E07E5"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be </w:t>
      </w:r>
      <w:r w:rsidR="001E07E5" w:rsidRPr="00C91571">
        <w:rPr>
          <w:rFonts w:asciiTheme="minorHAnsi" w:hAnsiTheme="minorHAnsi" w:cs="Times New Roman"/>
          <w:sz w:val="24"/>
          <w:szCs w:val="24"/>
          <w:lang w:val="en-GB"/>
        </w:rPr>
        <w:t>improved</w:t>
      </w:r>
      <w:r w:rsidR="008033AF" w:rsidRPr="00BE15B8">
        <w:rPr>
          <w:rFonts w:asciiTheme="minorHAnsi" w:hAnsiTheme="minorHAnsi" w:cs="Times New Roman"/>
          <w:sz w:val="24"/>
          <w:szCs w:val="24"/>
          <w:lang w:val="en-GB"/>
        </w:rPr>
        <w:t>.</w:t>
      </w:r>
      <w:r w:rsidR="003939DA"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Improved data </w:t>
      </w:r>
      <w:r w:rsidR="00084DB6" w:rsidRPr="00BE15B8">
        <w:rPr>
          <w:rFonts w:asciiTheme="minorHAnsi" w:hAnsiTheme="minorHAnsi" w:cs="Times New Roman"/>
          <w:sz w:val="24"/>
          <w:szCs w:val="24"/>
          <w:lang w:val="en-GB"/>
        </w:rPr>
        <w:t>quality</w:t>
      </w:r>
      <w:r w:rsidR="008033AF" w:rsidRPr="00BE15B8">
        <w:rPr>
          <w:rFonts w:asciiTheme="minorHAnsi" w:hAnsiTheme="minorHAnsi" w:cs="Times New Roman"/>
          <w:sz w:val="24"/>
          <w:szCs w:val="24"/>
          <w:lang w:val="en-GB"/>
        </w:rPr>
        <w:t xml:space="preserve"> and further methodological developments are needed. </w:t>
      </w:r>
      <w:r w:rsidR="00B55F5C" w:rsidRPr="00BE15B8">
        <w:rPr>
          <w:rFonts w:asciiTheme="minorHAnsi" w:hAnsiTheme="minorHAnsi" w:cs="Times New Roman"/>
          <w:sz w:val="24"/>
          <w:szCs w:val="24"/>
          <w:lang w:val="en-GB"/>
        </w:rPr>
        <w:t>To this end</w:t>
      </w:r>
      <w:r w:rsidR="00246EA5" w:rsidRPr="00BE15B8">
        <w:rPr>
          <w:rFonts w:asciiTheme="minorHAnsi" w:hAnsiTheme="minorHAnsi" w:cs="Times New Roman"/>
          <w:sz w:val="24"/>
          <w:szCs w:val="24"/>
          <w:lang w:val="en-GB"/>
        </w:rPr>
        <w:t xml:space="preserve">, </w:t>
      </w:r>
      <w:r w:rsidR="008033AF" w:rsidRPr="00BE15B8">
        <w:rPr>
          <w:rFonts w:asciiTheme="minorHAnsi" w:hAnsiTheme="minorHAnsi" w:cs="Times New Roman"/>
          <w:sz w:val="24"/>
          <w:szCs w:val="24"/>
          <w:lang w:val="en-GB"/>
        </w:rPr>
        <w:t xml:space="preserve">we list below </w:t>
      </w:r>
      <w:r w:rsidR="006837EF" w:rsidRPr="00BE15B8">
        <w:rPr>
          <w:rFonts w:asciiTheme="minorHAnsi" w:hAnsiTheme="minorHAnsi" w:cs="Times New Roman"/>
          <w:sz w:val="24"/>
          <w:szCs w:val="24"/>
          <w:lang w:val="en-GB"/>
        </w:rPr>
        <w:t xml:space="preserve">some recommended, general </w:t>
      </w:r>
      <w:r w:rsidR="00B93430" w:rsidRPr="00BE15B8">
        <w:rPr>
          <w:rFonts w:asciiTheme="minorHAnsi" w:hAnsiTheme="minorHAnsi" w:cs="Times New Roman"/>
          <w:sz w:val="24"/>
          <w:szCs w:val="24"/>
          <w:lang w:val="en-GB"/>
        </w:rPr>
        <w:t xml:space="preserve">methodological steps </w:t>
      </w:r>
      <w:r w:rsidR="006837EF" w:rsidRPr="00BE15B8">
        <w:rPr>
          <w:rFonts w:asciiTheme="minorHAnsi" w:hAnsiTheme="minorHAnsi" w:cs="Times New Roman"/>
          <w:sz w:val="24"/>
          <w:szCs w:val="24"/>
          <w:lang w:val="en-GB"/>
        </w:rPr>
        <w:t xml:space="preserve">in cost estimation and analyses </w:t>
      </w:r>
      <w:r w:rsidR="002323BB" w:rsidRPr="00BE15B8">
        <w:rPr>
          <w:rFonts w:asciiTheme="minorHAnsi" w:hAnsiTheme="minorHAnsi" w:cs="Times New Roman"/>
          <w:sz w:val="24"/>
          <w:szCs w:val="24"/>
          <w:lang w:val="en-GB"/>
        </w:rPr>
        <w:t>(</w:t>
      </w:r>
      <w:r w:rsidR="00270DF2" w:rsidRPr="00BE15B8">
        <w:rPr>
          <w:rFonts w:asciiTheme="minorHAnsi" w:hAnsiTheme="minorHAnsi" w:cs="Times New Roman"/>
          <w:sz w:val="24"/>
          <w:szCs w:val="24"/>
          <w:lang w:val="en-GB"/>
        </w:rPr>
        <w:t>Single, 2003)</w:t>
      </w:r>
      <w:r w:rsidR="00513390" w:rsidRPr="00BE15B8">
        <w:rPr>
          <w:rFonts w:asciiTheme="minorHAnsi" w:hAnsiTheme="minorHAnsi" w:cs="Times New Roman"/>
          <w:sz w:val="24"/>
          <w:szCs w:val="24"/>
          <w:lang w:val="en-GB"/>
        </w:rPr>
        <w:t xml:space="preserve">. </w:t>
      </w:r>
    </w:p>
    <w:p w:rsidR="00513390" w:rsidRPr="00BE15B8" w:rsidRDefault="00513390" w:rsidP="00EA1934">
      <w:pPr>
        <w:spacing w:after="0"/>
        <w:jc w:val="both"/>
        <w:rPr>
          <w:rFonts w:asciiTheme="minorHAnsi" w:hAnsiTheme="minorHAnsi"/>
          <w:b/>
          <w: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Defining the scope and objects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Globally speaking, </w:t>
      </w:r>
      <w:r w:rsidR="00A75669" w:rsidRPr="00BE15B8">
        <w:rPr>
          <w:rFonts w:asciiTheme="minorHAnsi" w:hAnsiTheme="minorHAnsi"/>
          <w:sz w:val="24"/>
          <w:szCs w:val="24"/>
        </w:rPr>
        <w:t xml:space="preserve">a first step </w:t>
      </w:r>
      <w:r w:rsidRPr="00BE15B8">
        <w:rPr>
          <w:rFonts w:asciiTheme="minorHAnsi" w:hAnsiTheme="minorHAnsi"/>
          <w:sz w:val="24"/>
          <w:szCs w:val="24"/>
        </w:rPr>
        <w:t xml:space="preserve">for a viable estimate is defining the scope </w:t>
      </w:r>
      <w:r w:rsidR="00C701D3">
        <w:rPr>
          <w:rFonts w:asciiTheme="minorHAnsi" w:hAnsiTheme="minorHAnsi"/>
          <w:sz w:val="24"/>
          <w:szCs w:val="24"/>
        </w:rPr>
        <w:t xml:space="preserve">and type </w:t>
      </w:r>
      <w:r w:rsidRPr="00BE15B8">
        <w:rPr>
          <w:rFonts w:asciiTheme="minorHAnsi" w:hAnsiTheme="minorHAnsi"/>
          <w:sz w:val="24"/>
          <w:szCs w:val="24"/>
        </w:rPr>
        <w:t xml:space="preserve">of the public expenditure considered. </w:t>
      </w:r>
      <w:r w:rsidR="00F80CA4" w:rsidRPr="00BE15B8">
        <w:rPr>
          <w:rFonts w:asciiTheme="minorHAnsi" w:hAnsiTheme="minorHAnsi"/>
          <w:sz w:val="24"/>
          <w:szCs w:val="24"/>
        </w:rPr>
        <w:t>Further, a</w:t>
      </w:r>
      <w:r w:rsidRPr="00BE15B8">
        <w:rPr>
          <w:rFonts w:asciiTheme="minorHAnsi" w:hAnsiTheme="minorHAnsi"/>
          <w:sz w:val="24"/>
          <w:szCs w:val="24"/>
        </w:rPr>
        <w:t xml:space="preserve"> clear specification of the geographical area and which function of public provision the estimates cover </w:t>
      </w:r>
      <w:r w:rsidR="00C701D3">
        <w:rPr>
          <w:rFonts w:asciiTheme="minorHAnsi" w:hAnsiTheme="minorHAnsi"/>
          <w:sz w:val="24"/>
          <w:szCs w:val="24"/>
        </w:rPr>
        <w:t>are</w:t>
      </w:r>
      <w:r w:rsidRPr="00BE15B8">
        <w:rPr>
          <w:rFonts w:asciiTheme="minorHAnsi" w:hAnsiTheme="minorHAnsi"/>
          <w:sz w:val="24"/>
          <w:szCs w:val="24"/>
        </w:rPr>
        <w:t xml:space="preserve"> needed.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Inventorying service providers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Second, it is necessary to identify the public entity or institutions responsible for </w:t>
      </w:r>
      <w:r w:rsidR="00C17543">
        <w:rPr>
          <w:rFonts w:asciiTheme="minorHAnsi" w:hAnsiTheme="minorHAnsi"/>
          <w:sz w:val="24"/>
          <w:szCs w:val="24"/>
        </w:rPr>
        <w:t xml:space="preserve">the </w:t>
      </w:r>
      <w:r w:rsidRPr="00BE15B8">
        <w:rPr>
          <w:rFonts w:asciiTheme="minorHAnsi" w:hAnsiTheme="minorHAnsi"/>
          <w:sz w:val="24"/>
          <w:szCs w:val="24"/>
        </w:rPr>
        <w:t xml:space="preserve">provision of </w:t>
      </w:r>
      <w:r w:rsidR="00BD7639" w:rsidRPr="00BE15B8">
        <w:rPr>
          <w:rFonts w:asciiTheme="minorHAnsi" w:hAnsiTheme="minorHAnsi"/>
          <w:sz w:val="24"/>
          <w:szCs w:val="24"/>
        </w:rPr>
        <w:t xml:space="preserve">the </w:t>
      </w:r>
      <w:r w:rsidRPr="00BE15B8">
        <w:rPr>
          <w:rFonts w:asciiTheme="minorHAnsi" w:hAnsiTheme="minorHAnsi"/>
          <w:sz w:val="24"/>
          <w:szCs w:val="24"/>
        </w:rPr>
        <w:t>drug</w:t>
      </w:r>
      <w:r w:rsidR="00D90BAB" w:rsidRPr="00BE15B8">
        <w:rPr>
          <w:rFonts w:asciiTheme="minorHAnsi" w:hAnsiTheme="minorHAnsi"/>
          <w:sz w:val="24"/>
          <w:szCs w:val="24"/>
        </w:rPr>
        <w:t>-related</w:t>
      </w:r>
      <w:r w:rsidRPr="00BE15B8">
        <w:rPr>
          <w:rFonts w:asciiTheme="minorHAnsi" w:hAnsiTheme="minorHAnsi"/>
          <w:sz w:val="24"/>
          <w:szCs w:val="24"/>
        </w:rPr>
        <w:t xml:space="preserve"> </w:t>
      </w:r>
      <w:r w:rsidR="00BD7639" w:rsidRPr="00BE15B8">
        <w:rPr>
          <w:rFonts w:asciiTheme="minorHAnsi" w:hAnsiTheme="minorHAnsi"/>
          <w:sz w:val="24"/>
          <w:szCs w:val="24"/>
        </w:rPr>
        <w:t>services</w:t>
      </w:r>
      <w:r w:rsidR="00D90BAB" w:rsidRPr="00BE15B8">
        <w:rPr>
          <w:rFonts w:asciiTheme="minorHAnsi" w:hAnsiTheme="minorHAnsi"/>
          <w:sz w:val="24"/>
          <w:szCs w:val="24"/>
        </w:rPr>
        <w:t xml:space="preserve"> </w:t>
      </w:r>
      <w:r w:rsidRPr="00BE15B8">
        <w:rPr>
          <w:rFonts w:asciiTheme="minorHAnsi" w:hAnsiTheme="minorHAnsi"/>
          <w:sz w:val="24"/>
          <w:szCs w:val="24"/>
        </w:rPr>
        <w:t>– in the scope of this report; supply reduction measures and interventions. The government authorities</w:t>
      </w:r>
      <w:r w:rsidR="00C701D3">
        <w:rPr>
          <w:rFonts w:asciiTheme="minorHAnsi" w:hAnsiTheme="minorHAnsi"/>
          <w:sz w:val="24"/>
          <w:szCs w:val="24"/>
        </w:rPr>
        <w:t xml:space="preserve"> and</w:t>
      </w:r>
      <w:r w:rsidRPr="00BE15B8">
        <w:rPr>
          <w:rFonts w:asciiTheme="minorHAnsi" w:hAnsiTheme="minorHAnsi"/>
          <w:sz w:val="24"/>
          <w:szCs w:val="24"/>
        </w:rPr>
        <w:t xml:space="preserve"> public institutions and services responsible for the implementation of the drug policy initiatives on the different competency levels have to be inventoried.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Mapping financing entities</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Then, the third step is to identify who finances the</w:t>
      </w:r>
      <w:r w:rsidR="00C17543">
        <w:rPr>
          <w:rFonts w:asciiTheme="minorHAnsi" w:hAnsiTheme="minorHAnsi"/>
          <w:sz w:val="24"/>
          <w:szCs w:val="24"/>
        </w:rPr>
        <w:t>se service</w:t>
      </w:r>
      <w:r w:rsidRPr="00BE15B8">
        <w:rPr>
          <w:rFonts w:asciiTheme="minorHAnsi" w:hAnsiTheme="minorHAnsi"/>
          <w:sz w:val="24"/>
          <w:szCs w:val="24"/>
        </w:rPr>
        <w:t xml:space="preserve"> </w:t>
      </w:r>
      <w:r w:rsidRPr="00BE15B8">
        <w:rPr>
          <w:rFonts w:asciiTheme="minorHAnsi" w:hAnsiTheme="minorHAnsi"/>
          <w:sz w:val="24"/>
          <w:szCs w:val="24"/>
        </w:rPr>
        <w:t xml:space="preserve">providers. This implies that a public expenditure analysis proceeds from </w:t>
      </w:r>
      <w:r w:rsidRPr="00BE15B8">
        <w:rPr>
          <w:rFonts w:asciiTheme="minorHAnsi" w:hAnsiTheme="minorHAnsi"/>
          <w:sz w:val="24"/>
          <w:szCs w:val="24"/>
        </w:rPr>
        <w:t>the perspective of the different public authorities wh</w:t>
      </w:r>
      <w:r w:rsidR="00CB28DC">
        <w:rPr>
          <w:rFonts w:asciiTheme="minorHAnsi" w:hAnsiTheme="minorHAnsi"/>
          <w:sz w:val="24"/>
          <w:szCs w:val="24"/>
        </w:rPr>
        <w:t>ich</w:t>
      </w:r>
      <w:r w:rsidRPr="00BE15B8">
        <w:rPr>
          <w:rFonts w:asciiTheme="minorHAnsi" w:hAnsiTheme="minorHAnsi"/>
          <w:sz w:val="24"/>
          <w:szCs w:val="24"/>
        </w:rPr>
        <w:t xml:space="preserve"> </w:t>
      </w:r>
      <w:r w:rsidR="00CB28DC">
        <w:rPr>
          <w:rFonts w:asciiTheme="minorHAnsi" w:hAnsiTheme="minorHAnsi"/>
          <w:sz w:val="24"/>
          <w:szCs w:val="24"/>
        </w:rPr>
        <w:t>fund</w:t>
      </w:r>
      <w:r w:rsidRPr="00BE15B8">
        <w:rPr>
          <w:rFonts w:asciiTheme="minorHAnsi" w:hAnsiTheme="minorHAnsi"/>
          <w:sz w:val="24"/>
          <w:szCs w:val="24"/>
        </w:rPr>
        <w:t xml:space="preserve"> the respective aspects of the drug policy. </w:t>
      </w:r>
      <w:r w:rsidR="00F80CA4" w:rsidRPr="00BE15B8">
        <w:rPr>
          <w:rFonts w:asciiTheme="minorHAnsi" w:hAnsiTheme="minorHAnsi"/>
          <w:sz w:val="24"/>
          <w:szCs w:val="24"/>
        </w:rPr>
        <w:t>Irrespective of the governmental</w:t>
      </w:r>
      <w:r w:rsidRPr="00BE15B8">
        <w:rPr>
          <w:rFonts w:asciiTheme="minorHAnsi" w:hAnsiTheme="minorHAnsi"/>
          <w:sz w:val="24"/>
          <w:szCs w:val="24"/>
        </w:rPr>
        <w:t xml:space="preserve"> structure, expenditure from all relevant national, regional or local government institutions directly or indirectly associated with drug policy should always be included.</w:t>
      </w:r>
    </w:p>
    <w:p w:rsidR="006944FA" w:rsidRPr="00BE15B8" w:rsidRDefault="006944FA" w:rsidP="006944FA">
      <w:pPr>
        <w:spacing w:after="0"/>
        <w:jc w:val="both"/>
        <w:rPr>
          <w:rFonts w:asciiTheme="minorHAnsi" w:hAnsiTheme="minorHAnsi"/>
          <w:sz w:val="24"/>
          <w:szCs w:val="24"/>
        </w:rPr>
      </w:pPr>
    </w:p>
    <w:p w:rsidR="00CB28DC" w:rsidRDefault="006944FA" w:rsidP="006944FA">
      <w:pPr>
        <w:spacing w:after="0"/>
        <w:jc w:val="both"/>
        <w:rPr>
          <w:rFonts w:asciiTheme="minorHAnsi" w:hAnsiTheme="minorHAnsi"/>
          <w:sz w:val="24"/>
          <w:szCs w:val="24"/>
        </w:rPr>
      </w:pPr>
      <w:r w:rsidRPr="00BE15B8">
        <w:rPr>
          <w:rFonts w:asciiTheme="minorHAnsi" w:hAnsiTheme="minorHAnsi"/>
          <w:sz w:val="24"/>
          <w:szCs w:val="24"/>
        </w:rPr>
        <w:t>Matching stakeholders responsible for providing drug policy services with their financing entities might be challenging</w:t>
      </w:r>
      <w:r w:rsidR="00F80CA4" w:rsidRPr="00BE15B8">
        <w:rPr>
          <w:rFonts w:asciiTheme="minorHAnsi" w:hAnsiTheme="minorHAnsi"/>
          <w:sz w:val="24"/>
          <w:szCs w:val="24"/>
        </w:rPr>
        <w:t>, as</w:t>
      </w:r>
      <w:r w:rsidRPr="00BE15B8">
        <w:rPr>
          <w:rFonts w:asciiTheme="minorHAnsi" w:hAnsiTheme="minorHAnsi"/>
          <w:sz w:val="24"/>
          <w:szCs w:val="24"/>
        </w:rPr>
        <w:t xml:space="preserve"> the entities in charge of providing public services are not always obvious and easy to identify. For instance, when there are drug treatment services provided within prisons, the entity in charge has </w:t>
      </w:r>
      <w:r w:rsidR="00DE27DA" w:rsidRPr="00BE15B8">
        <w:rPr>
          <w:rFonts w:asciiTheme="minorHAnsi" w:hAnsiTheme="minorHAnsi"/>
          <w:iCs/>
          <w:sz w:val="24"/>
          <w:szCs w:val="24"/>
        </w:rPr>
        <w:t>“public order and safety”</w:t>
      </w:r>
      <w:r w:rsidRPr="00BE15B8">
        <w:rPr>
          <w:rFonts w:asciiTheme="minorHAnsi" w:hAnsiTheme="minorHAnsi"/>
          <w:sz w:val="24"/>
          <w:szCs w:val="24"/>
        </w:rPr>
        <w:t xml:space="preserve"> as its first function</w:t>
      </w:r>
      <w:r w:rsidR="00D90BAB" w:rsidRPr="00BE15B8">
        <w:rPr>
          <w:rFonts w:asciiTheme="minorHAnsi" w:hAnsiTheme="minorHAnsi"/>
          <w:sz w:val="24"/>
          <w:szCs w:val="24"/>
        </w:rPr>
        <w:t xml:space="preserve"> but </w:t>
      </w:r>
      <w:r w:rsidR="00DE27DA" w:rsidRPr="00BE15B8">
        <w:rPr>
          <w:rFonts w:asciiTheme="minorHAnsi" w:hAnsiTheme="minorHAnsi"/>
          <w:sz w:val="24"/>
          <w:szCs w:val="24"/>
        </w:rPr>
        <w:t>“</w:t>
      </w:r>
      <w:r w:rsidR="00D90BAB" w:rsidRPr="00BE15B8">
        <w:rPr>
          <w:rFonts w:asciiTheme="minorHAnsi" w:hAnsiTheme="minorHAnsi"/>
          <w:sz w:val="24"/>
          <w:szCs w:val="24"/>
        </w:rPr>
        <w:t>health</w:t>
      </w:r>
      <w:r w:rsidR="00DE27DA" w:rsidRPr="00BE15B8">
        <w:rPr>
          <w:rFonts w:asciiTheme="minorHAnsi" w:hAnsiTheme="minorHAnsi"/>
          <w:sz w:val="24"/>
          <w:szCs w:val="24"/>
        </w:rPr>
        <w:t>”</w:t>
      </w:r>
      <w:r w:rsidR="00D90BAB" w:rsidRPr="00BE15B8">
        <w:rPr>
          <w:rFonts w:asciiTheme="minorHAnsi" w:hAnsiTheme="minorHAnsi"/>
          <w:sz w:val="24"/>
          <w:szCs w:val="24"/>
        </w:rPr>
        <w:t xml:space="preserve"> as </w:t>
      </w:r>
      <w:r w:rsidR="00BD7639" w:rsidRPr="00BE15B8">
        <w:rPr>
          <w:rFonts w:asciiTheme="minorHAnsi" w:hAnsiTheme="minorHAnsi"/>
          <w:sz w:val="24"/>
          <w:szCs w:val="24"/>
        </w:rPr>
        <w:t xml:space="preserve">its </w:t>
      </w:r>
      <w:r w:rsidR="00D90BAB" w:rsidRPr="00BE15B8">
        <w:rPr>
          <w:rFonts w:asciiTheme="minorHAnsi" w:hAnsiTheme="minorHAnsi"/>
          <w:sz w:val="24"/>
          <w:szCs w:val="24"/>
        </w:rPr>
        <w:t>‘real’ goal</w:t>
      </w:r>
      <w:r w:rsidRPr="00BE15B8">
        <w:rPr>
          <w:rFonts w:asciiTheme="minorHAnsi" w:hAnsiTheme="minorHAnsi"/>
          <w:sz w:val="24"/>
          <w:szCs w:val="24"/>
        </w:rPr>
        <w:t xml:space="preserve">. Therefore, analysts must consider whether to include the costs of these activities as supply reduction or </w:t>
      </w:r>
      <w:r w:rsidR="00DE27DA" w:rsidRPr="00BE15B8">
        <w:rPr>
          <w:rFonts w:asciiTheme="minorHAnsi" w:hAnsiTheme="minorHAnsi"/>
          <w:sz w:val="24"/>
          <w:szCs w:val="24"/>
        </w:rPr>
        <w:t xml:space="preserve">demand reduction </w:t>
      </w:r>
      <w:r w:rsidRPr="00BE15B8">
        <w:rPr>
          <w:rFonts w:asciiTheme="minorHAnsi" w:hAnsiTheme="minorHAnsi"/>
          <w:sz w:val="24"/>
          <w:szCs w:val="24"/>
        </w:rPr>
        <w:t xml:space="preserve">initiatives. </w:t>
      </w:r>
      <w:r w:rsidR="00DE27DA" w:rsidRPr="00BE15B8">
        <w:rPr>
          <w:rFonts w:asciiTheme="minorHAnsi" w:hAnsiTheme="minorHAnsi"/>
          <w:sz w:val="24"/>
          <w:szCs w:val="24"/>
        </w:rPr>
        <w:t>Eurostat</w:t>
      </w:r>
      <w:r w:rsidR="00BD7639" w:rsidRPr="00BE15B8">
        <w:rPr>
          <w:rFonts w:asciiTheme="minorHAnsi" w:hAnsiTheme="minorHAnsi"/>
          <w:sz w:val="24"/>
          <w:szCs w:val="24"/>
        </w:rPr>
        <w:t>,</w:t>
      </w:r>
      <w:r w:rsidR="00DE27DA" w:rsidRPr="00BE15B8">
        <w:rPr>
          <w:rFonts w:asciiTheme="minorHAnsi" w:hAnsiTheme="minorHAnsi"/>
          <w:sz w:val="24"/>
          <w:szCs w:val="24"/>
        </w:rPr>
        <w:t xml:space="preserve"> and m</w:t>
      </w:r>
      <w:r w:rsidRPr="00BE15B8">
        <w:rPr>
          <w:rFonts w:asciiTheme="minorHAnsi" w:hAnsiTheme="minorHAnsi"/>
          <w:sz w:val="24"/>
          <w:szCs w:val="24"/>
        </w:rPr>
        <w:t xml:space="preserve">ost </w:t>
      </w:r>
      <w:r w:rsidR="00DE27DA" w:rsidRPr="00BE15B8">
        <w:rPr>
          <w:rFonts w:asciiTheme="minorHAnsi" w:hAnsiTheme="minorHAnsi"/>
          <w:sz w:val="24"/>
          <w:szCs w:val="24"/>
        </w:rPr>
        <w:t xml:space="preserve">international </w:t>
      </w:r>
      <w:r w:rsidR="00945F44" w:rsidRPr="00BE15B8">
        <w:rPr>
          <w:rFonts w:asciiTheme="minorHAnsi" w:hAnsiTheme="minorHAnsi"/>
          <w:sz w:val="24"/>
          <w:szCs w:val="24"/>
        </w:rPr>
        <w:t>organizations</w:t>
      </w:r>
      <w:r w:rsidR="00DE27DA" w:rsidRPr="00BE15B8">
        <w:rPr>
          <w:rFonts w:asciiTheme="minorHAnsi" w:hAnsiTheme="minorHAnsi"/>
          <w:sz w:val="24"/>
          <w:szCs w:val="24"/>
        </w:rPr>
        <w:t xml:space="preserve"> concerned with policy evaluation</w:t>
      </w:r>
      <w:r w:rsidR="00BD7639" w:rsidRPr="00BE15B8">
        <w:rPr>
          <w:rFonts w:asciiTheme="minorHAnsi" w:hAnsiTheme="minorHAnsi"/>
          <w:sz w:val="24"/>
          <w:szCs w:val="24"/>
        </w:rPr>
        <w:t>,</w:t>
      </w:r>
      <w:r w:rsidR="00DE27DA" w:rsidRPr="00BE15B8">
        <w:rPr>
          <w:rFonts w:asciiTheme="minorHAnsi" w:hAnsiTheme="minorHAnsi"/>
          <w:sz w:val="24"/>
          <w:szCs w:val="24"/>
        </w:rPr>
        <w:t xml:space="preserve"> </w:t>
      </w:r>
      <w:r w:rsidRPr="00BE15B8">
        <w:rPr>
          <w:rFonts w:asciiTheme="minorHAnsi" w:hAnsiTheme="minorHAnsi"/>
          <w:sz w:val="24"/>
          <w:szCs w:val="24"/>
        </w:rPr>
        <w:t>include</w:t>
      </w:r>
      <w:r w:rsidR="00832B3A">
        <w:rPr>
          <w:rFonts w:asciiTheme="minorHAnsi" w:hAnsiTheme="minorHAnsi"/>
          <w:sz w:val="24"/>
          <w:szCs w:val="24"/>
        </w:rPr>
        <w:t>s</w:t>
      </w:r>
      <w:r w:rsidRPr="00BE15B8">
        <w:rPr>
          <w:rFonts w:asciiTheme="minorHAnsi" w:hAnsiTheme="minorHAnsi"/>
          <w:sz w:val="24"/>
          <w:szCs w:val="24"/>
        </w:rPr>
        <w:t xml:space="preserve"> the provision of services in the main function </w:t>
      </w:r>
      <w:r w:rsidR="00BD7639" w:rsidRPr="00BE15B8">
        <w:rPr>
          <w:rFonts w:asciiTheme="minorHAnsi" w:hAnsiTheme="minorHAnsi"/>
          <w:sz w:val="24"/>
          <w:szCs w:val="24"/>
        </w:rPr>
        <w:t xml:space="preserve">which the </w:t>
      </w:r>
      <w:r w:rsidR="00DE27DA" w:rsidRPr="00BE15B8">
        <w:rPr>
          <w:rFonts w:asciiTheme="minorHAnsi" w:hAnsiTheme="minorHAnsi"/>
          <w:sz w:val="24"/>
          <w:szCs w:val="24"/>
        </w:rPr>
        <w:t>funds</w:t>
      </w:r>
      <w:r w:rsidRPr="00BE15B8">
        <w:rPr>
          <w:rFonts w:asciiTheme="minorHAnsi" w:hAnsiTheme="minorHAnsi"/>
          <w:sz w:val="24"/>
          <w:szCs w:val="24"/>
        </w:rPr>
        <w:t xml:space="preserve"> </w:t>
      </w:r>
      <w:r w:rsidR="00945F44" w:rsidRPr="00BE15B8">
        <w:rPr>
          <w:rFonts w:asciiTheme="minorHAnsi" w:hAnsiTheme="minorHAnsi"/>
          <w:sz w:val="24"/>
          <w:szCs w:val="24"/>
        </w:rPr>
        <w:t xml:space="preserve">are used </w:t>
      </w:r>
      <w:r w:rsidRPr="00BE15B8">
        <w:rPr>
          <w:rFonts w:asciiTheme="minorHAnsi" w:hAnsiTheme="minorHAnsi"/>
          <w:sz w:val="24"/>
          <w:szCs w:val="24"/>
        </w:rPr>
        <w:t xml:space="preserve">for, even if provided by less obvious entities. In this case, public expenditure on drug treatment </w:t>
      </w:r>
      <w:r w:rsidRPr="00BE15B8">
        <w:rPr>
          <w:rFonts w:asciiTheme="minorHAnsi" w:hAnsiTheme="minorHAnsi"/>
          <w:sz w:val="24"/>
          <w:szCs w:val="24"/>
        </w:rPr>
        <w:t xml:space="preserve">provided in prisons should be excluded from expenditure estimates of supply reduction </w:t>
      </w:r>
      <w:r w:rsidR="00BD7639" w:rsidRPr="00BE15B8">
        <w:rPr>
          <w:rFonts w:asciiTheme="minorHAnsi" w:hAnsiTheme="minorHAnsi"/>
          <w:sz w:val="24"/>
          <w:szCs w:val="24"/>
        </w:rPr>
        <w:t>services</w:t>
      </w:r>
      <w:r w:rsidR="001E07E5">
        <w:rPr>
          <w:rFonts w:asciiTheme="minorHAnsi" w:hAnsiTheme="minorHAnsi"/>
          <w:sz w:val="24"/>
          <w:szCs w:val="24"/>
        </w:rPr>
        <w:t xml:space="preserve"> and accounted as drug-related health expenditure</w:t>
      </w:r>
      <w:r w:rsidRPr="00BE15B8">
        <w:rPr>
          <w:rFonts w:asciiTheme="minorHAnsi" w:hAnsiTheme="minorHAnsi"/>
          <w:sz w:val="24"/>
          <w:szCs w:val="24"/>
        </w:rPr>
        <w:t xml:space="preserve">. </w:t>
      </w:r>
      <w:r w:rsidR="00F80CA4" w:rsidRPr="00BE15B8">
        <w:rPr>
          <w:rFonts w:asciiTheme="minorHAnsi" w:hAnsiTheme="minorHAnsi"/>
          <w:sz w:val="24"/>
          <w:szCs w:val="24"/>
        </w:rPr>
        <w:t xml:space="preserve">Sometimes, provision will be under the responsibility of private agents while the financing is under the responsibility of the government. </w:t>
      </w:r>
    </w:p>
    <w:p w:rsidR="001E07E5" w:rsidRDefault="001E07E5"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It should be noted, however, that the same service may serve multiple policy purposes and double counting should be avoided.</w:t>
      </w:r>
      <w:r w:rsidR="002C4275">
        <w:rPr>
          <w:rFonts w:asciiTheme="minorHAnsi" w:hAnsiTheme="minorHAnsi"/>
          <w:sz w:val="24"/>
          <w:szCs w:val="24"/>
        </w:rPr>
        <w:t xml:space="preserve"> </w:t>
      </w:r>
      <w:r w:rsidR="002C4275" w:rsidRPr="002C4275">
        <w:rPr>
          <w:rFonts w:asciiTheme="minorHAnsi" w:hAnsiTheme="minorHAnsi"/>
          <w:sz w:val="24"/>
          <w:szCs w:val="24"/>
        </w:rPr>
        <w:t xml:space="preserve">For instance, </w:t>
      </w:r>
      <w:r w:rsidR="00CB28DC">
        <w:rPr>
          <w:rFonts w:asciiTheme="minorHAnsi" w:hAnsiTheme="minorHAnsi"/>
          <w:sz w:val="24"/>
          <w:szCs w:val="24"/>
        </w:rPr>
        <w:t xml:space="preserve">in the case of </w:t>
      </w:r>
      <w:r w:rsidR="002C4275" w:rsidRPr="002C4275">
        <w:rPr>
          <w:rFonts w:asciiTheme="minorHAnsi" w:hAnsiTheme="minorHAnsi"/>
          <w:sz w:val="24"/>
          <w:szCs w:val="24"/>
        </w:rPr>
        <w:t xml:space="preserve">social reintegration programmes </w:t>
      </w:r>
      <w:r w:rsidR="002C4275">
        <w:rPr>
          <w:rFonts w:asciiTheme="minorHAnsi" w:hAnsiTheme="minorHAnsi"/>
          <w:sz w:val="24"/>
          <w:szCs w:val="24"/>
        </w:rPr>
        <w:t>in</w:t>
      </w:r>
      <w:r w:rsidR="002C4275" w:rsidRPr="002C4275">
        <w:rPr>
          <w:rFonts w:asciiTheme="minorHAnsi" w:hAnsiTheme="minorHAnsi"/>
          <w:sz w:val="24"/>
          <w:szCs w:val="24"/>
        </w:rPr>
        <w:t xml:space="preserve"> deprived neighbourhoods</w:t>
      </w:r>
      <w:r w:rsidR="001E07E5">
        <w:rPr>
          <w:rFonts w:asciiTheme="minorHAnsi" w:hAnsiTheme="minorHAnsi"/>
          <w:sz w:val="24"/>
          <w:szCs w:val="24"/>
        </w:rPr>
        <w:t>,</w:t>
      </w:r>
      <w:r w:rsidR="00CB28DC">
        <w:rPr>
          <w:rFonts w:asciiTheme="minorHAnsi" w:hAnsiTheme="minorHAnsi"/>
          <w:sz w:val="24"/>
          <w:szCs w:val="24"/>
        </w:rPr>
        <w:t xml:space="preserve"> </w:t>
      </w:r>
      <w:r w:rsidR="001E07E5">
        <w:rPr>
          <w:rFonts w:asciiTheme="minorHAnsi" w:hAnsiTheme="minorHAnsi"/>
          <w:sz w:val="24"/>
          <w:szCs w:val="24"/>
        </w:rPr>
        <w:t>t</w:t>
      </w:r>
      <w:r w:rsidR="00CB28DC">
        <w:rPr>
          <w:rFonts w:asciiTheme="minorHAnsi" w:hAnsiTheme="minorHAnsi"/>
          <w:sz w:val="24"/>
          <w:szCs w:val="24"/>
        </w:rPr>
        <w:t>heir financing</w:t>
      </w:r>
      <w:r w:rsidR="002C4275" w:rsidRPr="002C4275">
        <w:rPr>
          <w:rFonts w:asciiTheme="minorHAnsi" w:hAnsiTheme="minorHAnsi"/>
          <w:sz w:val="24"/>
          <w:szCs w:val="24"/>
        </w:rPr>
        <w:t xml:space="preserve"> may serve </w:t>
      </w:r>
      <w:r w:rsidR="00CB28DC">
        <w:rPr>
          <w:rFonts w:asciiTheme="minorHAnsi" w:hAnsiTheme="minorHAnsi"/>
          <w:sz w:val="24"/>
          <w:szCs w:val="24"/>
        </w:rPr>
        <w:t>both the purpos</w:t>
      </w:r>
      <w:r w:rsidR="001E07E5">
        <w:rPr>
          <w:rFonts w:asciiTheme="minorHAnsi" w:hAnsiTheme="minorHAnsi"/>
          <w:sz w:val="24"/>
          <w:szCs w:val="24"/>
        </w:rPr>
        <w:t>e of preventing drug crime</w:t>
      </w:r>
      <w:r w:rsidR="00CB28DC">
        <w:rPr>
          <w:rFonts w:asciiTheme="minorHAnsi" w:hAnsiTheme="minorHAnsi"/>
          <w:sz w:val="24"/>
          <w:szCs w:val="24"/>
        </w:rPr>
        <w:t xml:space="preserve"> </w:t>
      </w:r>
      <w:r w:rsidR="001E07E5">
        <w:rPr>
          <w:rFonts w:asciiTheme="minorHAnsi" w:hAnsiTheme="minorHAnsi"/>
          <w:sz w:val="24"/>
          <w:szCs w:val="24"/>
        </w:rPr>
        <w:t>(</w:t>
      </w:r>
      <w:r w:rsidR="00CB28DC">
        <w:rPr>
          <w:rFonts w:asciiTheme="minorHAnsi" w:hAnsiTheme="minorHAnsi"/>
          <w:sz w:val="24"/>
          <w:szCs w:val="24"/>
        </w:rPr>
        <w:t xml:space="preserve">and </w:t>
      </w:r>
      <w:r w:rsidR="001E07E5">
        <w:rPr>
          <w:rFonts w:asciiTheme="minorHAnsi" w:hAnsiTheme="minorHAnsi"/>
          <w:sz w:val="24"/>
          <w:szCs w:val="24"/>
        </w:rPr>
        <w:t xml:space="preserve">should </w:t>
      </w:r>
      <w:r w:rsidR="001E479F">
        <w:rPr>
          <w:rFonts w:asciiTheme="minorHAnsi" w:hAnsiTheme="minorHAnsi"/>
          <w:sz w:val="24"/>
          <w:szCs w:val="24"/>
        </w:rPr>
        <w:t xml:space="preserve">be </w:t>
      </w:r>
      <w:r w:rsidR="001E07E5">
        <w:rPr>
          <w:rFonts w:asciiTheme="minorHAnsi" w:hAnsiTheme="minorHAnsi"/>
          <w:sz w:val="24"/>
          <w:szCs w:val="24"/>
        </w:rPr>
        <w:t>added to</w:t>
      </w:r>
      <w:r w:rsidR="00CB28DC">
        <w:rPr>
          <w:rFonts w:asciiTheme="minorHAnsi" w:hAnsiTheme="minorHAnsi"/>
          <w:sz w:val="24"/>
          <w:szCs w:val="24"/>
        </w:rPr>
        <w:t xml:space="preserve"> supply reduction</w:t>
      </w:r>
      <w:r w:rsidR="001E07E5">
        <w:rPr>
          <w:rFonts w:asciiTheme="minorHAnsi" w:hAnsiTheme="minorHAnsi"/>
          <w:sz w:val="24"/>
          <w:szCs w:val="24"/>
        </w:rPr>
        <w:t xml:space="preserve"> expenditure)</w:t>
      </w:r>
      <w:r w:rsidR="00CB28DC">
        <w:rPr>
          <w:rFonts w:asciiTheme="minorHAnsi" w:hAnsiTheme="minorHAnsi"/>
          <w:sz w:val="24"/>
          <w:szCs w:val="24"/>
        </w:rPr>
        <w:t xml:space="preserve"> and</w:t>
      </w:r>
      <w:r w:rsidR="00832B3A">
        <w:rPr>
          <w:rFonts w:asciiTheme="minorHAnsi" w:hAnsiTheme="minorHAnsi"/>
          <w:sz w:val="24"/>
          <w:szCs w:val="24"/>
        </w:rPr>
        <w:t>;</w:t>
      </w:r>
      <w:r w:rsidR="00CB28DC">
        <w:rPr>
          <w:rFonts w:asciiTheme="minorHAnsi" w:hAnsiTheme="minorHAnsi"/>
          <w:sz w:val="24"/>
          <w:szCs w:val="24"/>
        </w:rPr>
        <w:t xml:space="preserve"> the purpose of </w:t>
      </w:r>
      <w:r w:rsidR="001E479F">
        <w:rPr>
          <w:rFonts w:asciiTheme="minorHAnsi" w:hAnsiTheme="minorHAnsi"/>
          <w:sz w:val="24"/>
          <w:szCs w:val="24"/>
        </w:rPr>
        <w:t xml:space="preserve">preventing drug use </w:t>
      </w:r>
      <w:r w:rsidR="001E07E5">
        <w:rPr>
          <w:rFonts w:asciiTheme="minorHAnsi" w:hAnsiTheme="minorHAnsi"/>
          <w:sz w:val="24"/>
          <w:szCs w:val="24"/>
        </w:rPr>
        <w:t>(</w:t>
      </w:r>
      <w:r w:rsidR="001E479F">
        <w:rPr>
          <w:rFonts w:asciiTheme="minorHAnsi" w:hAnsiTheme="minorHAnsi"/>
          <w:sz w:val="24"/>
          <w:szCs w:val="24"/>
        </w:rPr>
        <w:t>and be also accounted as health spending</w:t>
      </w:r>
      <w:r w:rsidR="001E07E5">
        <w:rPr>
          <w:rFonts w:asciiTheme="minorHAnsi" w:hAnsiTheme="minorHAnsi"/>
          <w:sz w:val="24"/>
          <w:szCs w:val="24"/>
        </w:rPr>
        <w:t>, in demand reduction spending)</w:t>
      </w:r>
      <w:r w:rsidR="001E479F">
        <w:rPr>
          <w:rFonts w:asciiTheme="minorHAnsi" w:hAnsiTheme="minorHAnsi"/>
          <w:sz w:val="24"/>
          <w:szCs w:val="24"/>
        </w:rPr>
        <w:t xml:space="preserve">. </w:t>
      </w:r>
      <w:r w:rsidR="002C4275">
        <w:rPr>
          <w:rFonts w:asciiTheme="minorHAnsi" w:hAnsiTheme="minorHAnsi"/>
          <w:sz w:val="24"/>
          <w:szCs w:val="24"/>
        </w:rPr>
        <w:t>In public accountancy</w:t>
      </w:r>
      <w:r w:rsidR="002C4275" w:rsidRPr="002C4275">
        <w:rPr>
          <w:rFonts w:asciiTheme="minorHAnsi" w:hAnsiTheme="minorHAnsi"/>
          <w:sz w:val="24"/>
          <w:szCs w:val="24"/>
        </w:rPr>
        <w:t xml:space="preserve">, the same funds </w:t>
      </w:r>
      <w:r w:rsidR="002C4275">
        <w:rPr>
          <w:rFonts w:asciiTheme="minorHAnsi" w:hAnsiTheme="minorHAnsi"/>
          <w:sz w:val="24"/>
          <w:szCs w:val="24"/>
        </w:rPr>
        <w:t>should</w:t>
      </w:r>
      <w:r w:rsidR="002C4275" w:rsidRPr="002C4275">
        <w:rPr>
          <w:rFonts w:asciiTheme="minorHAnsi" w:hAnsiTheme="minorHAnsi"/>
          <w:sz w:val="24"/>
          <w:szCs w:val="24"/>
        </w:rPr>
        <w:t xml:space="preserve"> </w:t>
      </w:r>
      <w:r w:rsidR="002C4275">
        <w:rPr>
          <w:rFonts w:asciiTheme="minorHAnsi" w:hAnsiTheme="minorHAnsi"/>
          <w:sz w:val="24"/>
          <w:szCs w:val="24"/>
        </w:rPr>
        <w:t xml:space="preserve">not be </w:t>
      </w:r>
      <w:r w:rsidR="002C4275" w:rsidRPr="002C4275">
        <w:rPr>
          <w:rFonts w:asciiTheme="minorHAnsi" w:hAnsiTheme="minorHAnsi"/>
          <w:sz w:val="24"/>
          <w:szCs w:val="24"/>
        </w:rPr>
        <w:t xml:space="preserve">accounted </w:t>
      </w:r>
      <w:r w:rsidR="00DB4475">
        <w:rPr>
          <w:rFonts w:asciiTheme="minorHAnsi" w:hAnsiTheme="minorHAnsi"/>
          <w:sz w:val="24"/>
          <w:szCs w:val="24"/>
        </w:rPr>
        <w:t>twice.</w:t>
      </w:r>
      <w:r w:rsidR="002C4275">
        <w:rPr>
          <w:rFonts w:asciiTheme="minorHAnsi" w:hAnsiTheme="minorHAnsi"/>
          <w:sz w:val="24"/>
          <w:szCs w:val="24"/>
        </w:rPr>
        <w:t xml:space="preserve"> </w:t>
      </w:r>
      <w:r w:rsidR="00DB4475">
        <w:rPr>
          <w:rFonts w:asciiTheme="minorHAnsi" w:hAnsiTheme="minorHAnsi"/>
          <w:sz w:val="24"/>
          <w:szCs w:val="24"/>
        </w:rPr>
        <w:t>T</w:t>
      </w:r>
      <w:r w:rsidR="002C4275">
        <w:rPr>
          <w:rFonts w:asciiTheme="minorHAnsi" w:hAnsiTheme="minorHAnsi"/>
          <w:sz w:val="24"/>
          <w:szCs w:val="24"/>
        </w:rPr>
        <w:t>herefore, researchers will have to opt for accounting this spending only on</w:t>
      </w:r>
      <w:r w:rsidR="001E07E5">
        <w:rPr>
          <w:rFonts w:asciiTheme="minorHAnsi" w:hAnsiTheme="minorHAnsi"/>
          <w:sz w:val="24"/>
          <w:szCs w:val="24"/>
        </w:rPr>
        <w:t>c</w:t>
      </w:r>
      <w:r w:rsidR="002C4275">
        <w:rPr>
          <w:rFonts w:asciiTheme="minorHAnsi" w:hAnsiTheme="minorHAnsi"/>
          <w:sz w:val="24"/>
          <w:szCs w:val="24"/>
        </w:rPr>
        <w:t>e</w:t>
      </w:r>
      <w:r w:rsidR="00DB4475">
        <w:rPr>
          <w:rFonts w:asciiTheme="minorHAnsi" w:hAnsiTheme="minorHAnsi"/>
          <w:sz w:val="24"/>
          <w:szCs w:val="24"/>
        </w:rPr>
        <w:t>, either in health prevention or crime prevention</w:t>
      </w:r>
      <w:r w:rsidR="002C4275">
        <w:rPr>
          <w:rFonts w:asciiTheme="minorHAnsi" w:hAnsiTheme="minorHAnsi"/>
          <w:sz w:val="24"/>
          <w:szCs w:val="24"/>
        </w:rPr>
        <w:t>.</w:t>
      </w:r>
      <w:r w:rsidR="00DB4475">
        <w:rPr>
          <w:rFonts w:asciiTheme="minorHAnsi" w:hAnsiTheme="minorHAnsi"/>
          <w:sz w:val="24"/>
          <w:szCs w:val="24"/>
        </w:rPr>
        <w:t xml:space="preserve"> Sometimes, options are </w:t>
      </w:r>
      <w:r w:rsidR="001E479F">
        <w:rPr>
          <w:rFonts w:asciiTheme="minorHAnsi" w:hAnsiTheme="minorHAnsi"/>
          <w:sz w:val="24"/>
          <w:szCs w:val="24"/>
        </w:rPr>
        <w:t xml:space="preserve">difficult </w:t>
      </w:r>
      <w:r w:rsidR="00DB4475">
        <w:rPr>
          <w:rFonts w:asciiTheme="minorHAnsi" w:hAnsiTheme="minorHAnsi"/>
          <w:sz w:val="24"/>
          <w:szCs w:val="24"/>
        </w:rPr>
        <w:t xml:space="preserve">and the best </w:t>
      </w:r>
      <w:r w:rsidR="001E479F">
        <w:rPr>
          <w:rFonts w:asciiTheme="minorHAnsi" w:hAnsiTheme="minorHAnsi"/>
          <w:sz w:val="24"/>
          <w:szCs w:val="24"/>
        </w:rPr>
        <w:t xml:space="preserve">way </w:t>
      </w:r>
      <w:r w:rsidR="00DB4475">
        <w:rPr>
          <w:rFonts w:asciiTheme="minorHAnsi" w:hAnsiTheme="minorHAnsi"/>
          <w:sz w:val="24"/>
          <w:szCs w:val="24"/>
        </w:rPr>
        <w:t>to deal with situations is to guarantee that researchers leave track of different options</w:t>
      </w:r>
      <w:r w:rsidR="001E479F">
        <w:rPr>
          <w:rFonts w:asciiTheme="minorHAnsi" w:hAnsiTheme="minorHAnsi"/>
          <w:sz w:val="24"/>
          <w:szCs w:val="24"/>
        </w:rPr>
        <w:t xml:space="preserve"> adopted</w:t>
      </w:r>
      <w:r w:rsidR="001E07E5">
        <w:rPr>
          <w:rFonts w:asciiTheme="minorHAnsi" w:hAnsiTheme="minorHAnsi"/>
          <w:sz w:val="24"/>
          <w:szCs w:val="24"/>
        </w:rPr>
        <w:t xml:space="preserve"> and assumptions made during exercises</w:t>
      </w:r>
      <w:r w:rsidR="00DB4475">
        <w:rPr>
          <w:rFonts w:asciiTheme="minorHAnsi" w:hAnsiTheme="minorHAnsi"/>
          <w:sz w:val="24"/>
          <w:szCs w:val="24"/>
        </w:rPr>
        <w:t>.</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Data collection</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fourth step is to define a strategy to collect the required data on public expenditure. In order to obtain relevant information, analysts will have to examine policy documents and accountancy data. It is also </w:t>
      </w:r>
      <w:r w:rsidR="00F80CA4" w:rsidRPr="00BE15B8">
        <w:rPr>
          <w:rFonts w:asciiTheme="minorHAnsi" w:hAnsiTheme="minorHAnsi"/>
          <w:sz w:val="24"/>
          <w:szCs w:val="24"/>
        </w:rPr>
        <w:t xml:space="preserve">recommended </w:t>
      </w:r>
      <w:r w:rsidRPr="00BE15B8">
        <w:rPr>
          <w:rFonts w:asciiTheme="minorHAnsi" w:hAnsiTheme="minorHAnsi"/>
          <w:sz w:val="24"/>
          <w:szCs w:val="24"/>
        </w:rPr>
        <w:t>to interview the major stakeholders in the field as a way to have better information about where financial data might be available</w:t>
      </w:r>
      <w:r w:rsidR="007C5937" w:rsidRPr="00BE15B8">
        <w:rPr>
          <w:rFonts w:asciiTheme="minorHAnsi" w:hAnsiTheme="minorHAnsi"/>
          <w:sz w:val="24"/>
          <w:szCs w:val="24"/>
        </w:rPr>
        <w:t>, as is a</w:t>
      </w:r>
      <w:r w:rsidRPr="00BE15B8">
        <w:rPr>
          <w:rFonts w:asciiTheme="minorHAnsi" w:hAnsiTheme="minorHAnsi"/>
          <w:sz w:val="24"/>
          <w:szCs w:val="24"/>
        </w:rPr>
        <w:t xml:space="preserve"> search for international datasets.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b/>
          <w:i/>
          <w:sz w:val="24"/>
          <w:szCs w:val="24"/>
        </w:rPr>
      </w:pPr>
      <w:r w:rsidRPr="00BE15B8">
        <w:rPr>
          <w:rFonts w:asciiTheme="minorHAnsi" w:hAnsiTheme="minorHAnsi"/>
          <w:b/>
          <w:i/>
          <w:sz w:val="24"/>
          <w:szCs w:val="24"/>
        </w:rPr>
        <w:t>Classifying and identifying data on drug-related spending</w:t>
      </w:r>
    </w:p>
    <w:p w:rsidR="006944FA" w:rsidRPr="00BE15B8" w:rsidRDefault="006944FA" w:rsidP="006944FA">
      <w:pPr>
        <w:autoSpaceDE w:val="0"/>
        <w:autoSpaceDN w:val="0"/>
        <w:adjustRightInd w:val="0"/>
        <w:jc w:val="both"/>
        <w:rPr>
          <w:rFonts w:asciiTheme="minorHAnsi" w:hAnsiTheme="minorHAnsi"/>
          <w:iCs/>
          <w:sz w:val="24"/>
          <w:szCs w:val="24"/>
        </w:rPr>
      </w:pPr>
      <w:r w:rsidRPr="00BE15B8">
        <w:rPr>
          <w:rFonts w:asciiTheme="minorHAnsi" w:hAnsiTheme="minorHAnsi"/>
          <w:sz w:val="24"/>
          <w:szCs w:val="24"/>
        </w:rPr>
        <w:t>It is essential to classify public expenditure according to the purpose which the expenditure is intended for (Reuter et al., 2004</w:t>
      </w:r>
      <w:r w:rsidR="0072251A">
        <w:rPr>
          <w:rFonts w:asciiTheme="minorHAnsi" w:hAnsiTheme="minorHAnsi"/>
          <w:sz w:val="24"/>
          <w:szCs w:val="24"/>
        </w:rPr>
        <w:t xml:space="preserve"> and</w:t>
      </w:r>
      <w:r w:rsidRPr="00BE15B8">
        <w:rPr>
          <w:rFonts w:asciiTheme="minorHAnsi" w:hAnsiTheme="minorHAnsi"/>
          <w:sz w:val="24"/>
          <w:szCs w:val="24"/>
        </w:rPr>
        <w:t xml:space="preserve"> Eurostat, 2011), so the next step to consider is how to group drug-related spending </w:t>
      </w:r>
      <w:r w:rsidR="0072251A">
        <w:rPr>
          <w:rFonts w:asciiTheme="minorHAnsi" w:hAnsiTheme="minorHAnsi"/>
          <w:sz w:val="24"/>
          <w:szCs w:val="24"/>
        </w:rPr>
        <w:t xml:space="preserve">according </w:t>
      </w:r>
      <w:r w:rsidRPr="00BE15B8">
        <w:rPr>
          <w:rFonts w:asciiTheme="minorHAnsi" w:hAnsiTheme="minorHAnsi"/>
          <w:sz w:val="24"/>
          <w:szCs w:val="24"/>
        </w:rPr>
        <w:t xml:space="preserve">to these sub-purposes. Taking into account that </w:t>
      </w:r>
      <w:r w:rsidRPr="00BE15B8">
        <w:rPr>
          <w:rFonts w:asciiTheme="minorHAnsi" w:hAnsiTheme="minorHAnsi"/>
          <w:iCs/>
          <w:sz w:val="24"/>
          <w:szCs w:val="24"/>
        </w:rPr>
        <w:t xml:space="preserve">drug-related expenditure on supply reduction initiatives comprises funds spent with the aim of combating the illegal drug phenomena with the use of police, law courts and prisons services, the </w:t>
      </w:r>
      <w:r w:rsidR="00551F26">
        <w:rPr>
          <w:rFonts w:asciiTheme="minorHAnsi" w:hAnsiTheme="minorHAnsi"/>
          <w:iCs/>
          <w:sz w:val="24"/>
          <w:szCs w:val="24"/>
        </w:rPr>
        <w:t>classification</w:t>
      </w:r>
      <w:r w:rsidR="00551F26" w:rsidRPr="00BE15B8">
        <w:rPr>
          <w:rFonts w:asciiTheme="minorHAnsi" w:hAnsiTheme="minorHAnsi"/>
          <w:iCs/>
          <w:sz w:val="24"/>
          <w:szCs w:val="24"/>
        </w:rPr>
        <w:t xml:space="preserve"> </w:t>
      </w:r>
      <w:r w:rsidRPr="00BE15B8">
        <w:rPr>
          <w:rFonts w:asciiTheme="minorHAnsi" w:hAnsiTheme="minorHAnsi"/>
          <w:iCs/>
          <w:sz w:val="24"/>
          <w:szCs w:val="24"/>
        </w:rPr>
        <w:t>common</w:t>
      </w:r>
      <w:r w:rsidR="00551F26">
        <w:rPr>
          <w:rFonts w:asciiTheme="minorHAnsi" w:hAnsiTheme="minorHAnsi"/>
          <w:iCs/>
          <w:sz w:val="24"/>
          <w:szCs w:val="24"/>
        </w:rPr>
        <w:t>ly</w:t>
      </w:r>
      <w:r w:rsidRPr="00BE15B8">
        <w:rPr>
          <w:rFonts w:asciiTheme="minorHAnsi" w:hAnsiTheme="minorHAnsi"/>
          <w:iCs/>
          <w:sz w:val="24"/>
          <w:szCs w:val="24"/>
        </w:rPr>
        <w:t xml:space="preserve"> used in international comparisons </w:t>
      </w:r>
      <w:r w:rsidR="0072251A">
        <w:rPr>
          <w:rFonts w:asciiTheme="minorHAnsi" w:hAnsiTheme="minorHAnsi"/>
          <w:iCs/>
          <w:sz w:val="24"/>
          <w:szCs w:val="24"/>
        </w:rPr>
        <w:t>is</w:t>
      </w:r>
      <w:r w:rsidRPr="00BE15B8">
        <w:rPr>
          <w:rStyle w:val="Fotnotereferanse"/>
          <w:rFonts w:asciiTheme="minorHAnsi" w:hAnsiTheme="minorHAnsi"/>
          <w:iCs/>
          <w:sz w:val="24"/>
          <w:szCs w:val="24"/>
        </w:rPr>
        <w:footnoteReference w:id="1"/>
      </w:r>
      <w:r w:rsidRPr="00BE15B8">
        <w:rPr>
          <w:rFonts w:asciiTheme="minorHAnsi" w:hAnsiTheme="minorHAnsi"/>
          <w:iCs/>
          <w:sz w:val="24"/>
          <w:szCs w:val="24"/>
        </w:rPr>
        <w:t>:</w:t>
      </w:r>
    </w:p>
    <w:p w:rsidR="006944FA" w:rsidRPr="00BE15B8" w:rsidRDefault="006944FA" w:rsidP="00B53394">
      <w:pPr>
        <w:pStyle w:val="Listeavsnitt"/>
        <w:numPr>
          <w:ilvl w:val="0"/>
          <w:numId w:val="15"/>
        </w:numPr>
        <w:spacing w:after="0"/>
        <w:jc w:val="both"/>
        <w:rPr>
          <w:rFonts w:asciiTheme="minorHAnsi" w:hAnsiTheme="minorHAnsi"/>
          <w:sz w:val="24"/>
          <w:szCs w:val="24"/>
        </w:rPr>
      </w:pPr>
      <w:r w:rsidRPr="00BE15B8">
        <w:rPr>
          <w:rFonts w:asciiTheme="minorHAnsi" w:hAnsiTheme="minorHAnsi"/>
          <w:sz w:val="24"/>
          <w:szCs w:val="24"/>
        </w:rPr>
        <w:t xml:space="preserve">The classification of public functions (COFOG) provides a useful framework to classify public spending according to its purpose. Under COFOG, most drug control policy expenditure is accounted under the “public order and safety” class of expenditure. The most  directly relevant </w:t>
      </w:r>
      <w:r w:rsidR="00495E41">
        <w:rPr>
          <w:rFonts w:asciiTheme="minorHAnsi" w:hAnsiTheme="minorHAnsi"/>
          <w:sz w:val="24"/>
          <w:szCs w:val="24"/>
        </w:rPr>
        <w:t>sub</w:t>
      </w:r>
      <w:r w:rsidRPr="00BE15B8">
        <w:rPr>
          <w:rFonts w:asciiTheme="minorHAnsi" w:hAnsiTheme="minorHAnsi"/>
          <w:sz w:val="24"/>
          <w:szCs w:val="24"/>
        </w:rPr>
        <w:t xml:space="preserve">classes are ‘police services’, ‘law courts’, ‘prisons’ and ‘R&amp;D public order and safety’ (EUROSTA, 2011). </w:t>
      </w:r>
    </w:p>
    <w:p w:rsidR="006944FA" w:rsidRPr="00BE15B8" w:rsidRDefault="006944FA" w:rsidP="006944FA">
      <w:pPr>
        <w:spacing w:after="0"/>
        <w:ind w:firstLine="708"/>
        <w:jc w:val="both"/>
        <w:rPr>
          <w:rFonts w:asciiTheme="minorHAnsi" w:hAnsiTheme="minorHAnsi"/>
          <w:sz w:val="24"/>
          <w:szCs w:val="24"/>
        </w:rPr>
      </w:pPr>
    </w:p>
    <w:p w:rsidR="006944FA" w:rsidRPr="00BE15B8" w:rsidRDefault="006944FA" w:rsidP="00B53394">
      <w:pPr>
        <w:pStyle w:val="Listeavsnitt"/>
        <w:numPr>
          <w:ilvl w:val="0"/>
          <w:numId w:val="15"/>
        </w:numPr>
        <w:spacing w:after="0"/>
        <w:jc w:val="both"/>
        <w:rPr>
          <w:rFonts w:asciiTheme="minorHAnsi" w:hAnsiTheme="minorHAnsi"/>
          <w:sz w:val="24"/>
          <w:szCs w:val="24"/>
        </w:rPr>
      </w:pPr>
      <w:r w:rsidRPr="00BE15B8">
        <w:rPr>
          <w:rFonts w:asciiTheme="minorHAnsi" w:hAnsiTheme="minorHAnsi"/>
          <w:sz w:val="24"/>
          <w:szCs w:val="24"/>
        </w:rPr>
        <w:t xml:space="preserve">Reuter (2006) </w:t>
      </w:r>
      <w:r w:rsidR="00BF0FDF">
        <w:rPr>
          <w:rFonts w:asciiTheme="minorHAnsi" w:hAnsiTheme="minorHAnsi"/>
          <w:sz w:val="24"/>
          <w:szCs w:val="24"/>
        </w:rPr>
        <w:t>relates</w:t>
      </w:r>
      <w:r w:rsidR="00946AFB">
        <w:rPr>
          <w:rFonts w:asciiTheme="minorHAnsi" w:hAnsiTheme="minorHAnsi"/>
          <w:sz w:val="24"/>
          <w:szCs w:val="24"/>
        </w:rPr>
        <w:t xml:space="preserve"> </w:t>
      </w:r>
      <w:r w:rsidR="00E15E85">
        <w:rPr>
          <w:rFonts w:asciiTheme="minorHAnsi" w:hAnsiTheme="minorHAnsi"/>
          <w:sz w:val="24"/>
          <w:szCs w:val="24"/>
        </w:rPr>
        <w:t>public</w:t>
      </w:r>
      <w:r w:rsidR="00E15E85" w:rsidRPr="00273197">
        <w:rPr>
          <w:rFonts w:asciiTheme="minorHAnsi" w:hAnsiTheme="minorHAnsi"/>
          <w:sz w:val="24"/>
          <w:szCs w:val="24"/>
        </w:rPr>
        <w:t xml:space="preserve"> expenditure</w:t>
      </w:r>
      <w:r w:rsidR="00BF0FDF">
        <w:rPr>
          <w:rFonts w:asciiTheme="minorHAnsi" w:hAnsiTheme="minorHAnsi"/>
          <w:sz w:val="24"/>
          <w:szCs w:val="24"/>
        </w:rPr>
        <w:t xml:space="preserve"> to the supply and demand side of the market</w:t>
      </w:r>
      <w:r w:rsidR="00E15E85" w:rsidRPr="00273197">
        <w:rPr>
          <w:rFonts w:asciiTheme="minorHAnsi" w:hAnsiTheme="minorHAnsi"/>
          <w:sz w:val="24"/>
          <w:szCs w:val="24"/>
        </w:rPr>
        <w:t>. He</w:t>
      </w:r>
      <w:r w:rsidR="00BF0FDF">
        <w:rPr>
          <w:rFonts w:asciiTheme="minorHAnsi" w:hAnsiTheme="minorHAnsi"/>
          <w:sz w:val="24"/>
          <w:szCs w:val="24"/>
        </w:rPr>
        <w:t xml:space="preserve"> defines</w:t>
      </w:r>
      <w:r w:rsidR="00E15E85" w:rsidRPr="00273197">
        <w:rPr>
          <w:rFonts w:asciiTheme="minorHAnsi" w:hAnsiTheme="minorHAnsi"/>
          <w:sz w:val="24"/>
          <w:szCs w:val="24"/>
        </w:rPr>
        <w:t xml:space="preserve"> </w:t>
      </w:r>
      <w:r w:rsidRPr="00BE15B8">
        <w:rPr>
          <w:rFonts w:asciiTheme="minorHAnsi" w:hAnsiTheme="minorHAnsi"/>
          <w:sz w:val="24"/>
          <w:szCs w:val="24"/>
        </w:rPr>
        <w:t xml:space="preserve">public spending on supply reduction under the definition of ‘enforcement programmes’ and considers that these are </w:t>
      </w:r>
      <w:r w:rsidRPr="00BE15B8">
        <w:rPr>
          <w:rFonts w:asciiTheme="minorHAnsi" w:hAnsiTheme="minorHAnsi"/>
          <w:i/>
          <w:sz w:val="24"/>
          <w:szCs w:val="24"/>
        </w:rPr>
        <w:t>‘programmes aimed at traffickers and producers to shift up the supply curve for drugs; other things being equal, they should raise the price of drugs and lower quantity. Programmes aimed at users and retailers raise the transaction costs of buying drugs’</w:t>
      </w:r>
      <w:r w:rsidRPr="00BE15B8">
        <w:rPr>
          <w:rFonts w:asciiTheme="minorHAnsi" w:hAnsiTheme="minorHAnsi"/>
          <w:sz w:val="24"/>
          <w:szCs w:val="24"/>
        </w:rPr>
        <w:t xml:space="preserve">. </w:t>
      </w:r>
      <w:r w:rsidR="00E86F42">
        <w:rPr>
          <w:rFonts w:asciiTheme="minorHAnsi" w:hAnsiTheme="minorHAnsi"/>
          <w:sz w:val="24"/>
          <w:szCs w:val="24"/>
        </w:rPr>
        <w:t xml:space="preserve">In another words, </w:t>
      </w:r>
      <w:r w:rsidR="00E15E85">
        <w:rPr>
          <w:rFonts w:asciiTheme="minorHAnsi" w:hAnsiTheme="minorHAnsi"/>
          <w:sz w:val="24"/>
          <w:szCs w:val="24"/>
        </w:rPr>
        <w:t>enforcement</w:t>
      </w:r>
      <w:r w:rsidR="00E86F42">
        <w:rPr>
          <w:rFonts w:asciiTheme="minorHAnsi" w:hAnsiTheme="minorHAnsi"/>
          <w:sz w:val="24"/>
          <w:szCs w:val="24"/>
        </w:rPr>
        <w:t xml:space="preserve"> programme </w:t>
      </w:r>
      <w:r w:rsidR="00E15E85">
        <w:rPr>
          <w:rFonts w:asciiTheme="minorHAnsi" w:hAnsiTheme="minorHAnsi"/>
          <w:sz w:val="24"/>
          <w:szCs w:val="24"/>
        </w:rPr>
        <w:t>will</w:t>
      </w:r>
      <w:r w:rsidR="00E86F42">
        <w:rPr>
          <w:rFonts w:asciiTheme="minorHAnsi" w:hAnsiTheme="minorHAnsi"/>
          <w:sz w:val="24"/>
          <w:szCs w:val="24"/>
        </w:rPr>
        <w:t xml:space="preserve"> make drug producing, trafficking </w:t>
      </w:r>
      <w:r w:rsidR="00CB28DC">
        <w:rPr>
          <w:rFonts w:asciiTheme="minorHAnsi" w:hAnsiTheme="minorHAnsi"/>
          <w:sz w:val="24"/>
          <w:szCs w:val="24"/>
        </w:rPr>
        <w:t>or</w:t>
      </w:r>
      <w:r w:rsidR="00E86F42">
        <w:rPr>
          <w:rFonts w:asciiTheme="minorHAnsi" w:hAnsiTheme="minorHAnsi"/>
          <w:sz w:val="24"/>
          <w:szCs w:val="24"/>
        </w:rPr>
        <w:t xml:space="preserve"> dealing more expensive</w:t>
      </w:r>
      <w:r w:rsidR="00A5151E">
        <w:rPr>
          <w:rFonts w:asciiTheme="minorHAnsi" w:hAnsiTheme="minorHAnsi"/>
          <w:sz w:val="24"/>
          <w:szCs w:val="24"/>
        </w:rPr>
        <w:t xml:space="preserve"> -</w:t>
      </w:r>
      <w:r w:rsidR="00E86F42">
        <w:rPr>
          <w:rFonts w:asciiTheme="minorHAnsi" w:hAnsiTheme="minorHAnsi"/>
          <w:sz w:val="24"/>
          <w:szCs w:val="24"/>
        </w:rPr>
        <w:t xml:space="preserve"> because </w:t>
      </w:r>
      <w:r w:rsidR="00A5151E">
        <w:rPr>
          <w:rFonts w:asciiTheme="minorHAnsi" w:hAnsiTheme="minorHAnsi"/>
          <w:sz w:val="24"/>
          <w:szCs w:val="24"/>
        </w:rPr>
        <w:t xml:space="preserve">either </w:t>
      </w:r>
      <w:r w:rsidR="00CB28DC">
        <w:rPr>
          <w:rFonts w:asciiTheme="minorHAnsi" w:hAnsiTheme="minorHAnsi"/>
          <w:sz w:val="24"/>
          <w:szCs w:val="24"/>
        </w:rPr>
        <w:t>provokes an</w:t>
      </w:r>
      <w:r w:rsidR="00737910">
        <w:rPr>
          <w:rFonts w:asciiTheme="minorHAnsi" w:hAnsiTheme="minorHAnsi"/>
          <w:sz w:val="24"/>
          <w:szCs w:val="24"/>
        </w:rPr>
        <w:t xml:space="preserve"> increase in </w:t>
      </w:r>
      <w:r w:rsidR="00E86F42">
        <w:rPr>
          <w:rFonts w:asciiTheme="minorHAnsi" w:hAnsiTheme="minorHAnsi"/>
          <w:sz w:val="24"/>
          <w:szCs w:val="24"/>
        </w:rPr>
        <w:t>unitary cost</w:t>
      </w:r>
      <w:r w:rsidR="00A5151E">
        <w:rPr>
          <w:rFonts w:asciiTheme="minorHAnsi" w:hAnsiTheme="minorHAnsi"/>
          <w:sz w:val="24"/>
          <w:szCs w:val="24"/>
        </w:rPr>
        <w:t>s</w:t>
      </w:r>
      <w:r w:rsidR="00E86F42">
        <w:rPr>
          <w:rFonts w:asciiTheme="minorHAnsi" w:hAnsiTheme="minorHAnsi"/>
          <w:sz w:val="24"/>
          <w:szCs w:val="24"/>
        </w:rPr>
        <w:t xml:space="preserve"> of </w:t>
      </w:r>
      <w:r w:rsidR="00737910">
        <w:rPr>
          <w:rFonts w:asciiTheme="minorHAnsi" w:hAnsiTheme="minorHAnsi"/>
          <w:sz w:val="24"/>
          <w:szCs w:val="24"/>
        </w:rPr>
        <w:t xml:space="preserve">production </w:t>
      </w:r>
      <w:r w:rsidR="00E86F42">
        <w:rPr>
          <w:rFonts w:asciiTheme="minorHAnsi" w:hAnsiTheme="minorHAnsi"/>
          <w:sz w:val="24"/>
          <w:szCs w:val="24"/>
        </w:rPr>
        <w:t xml:space="preserve">or </w:t>
      </w:r>
      <w:r w:rsidR="00CB28DC">
        <w:rPr>
          <w:rFonts w:asciiTheme="minorHAnsi" w:hAnsiTheme="minorHAnsi"/>
          <w:sz w:val="24"/>
          <w:szCs w:val="24"/>
        </w:rPr>
        <w:t>introduces more</w:t>
      </w:r>
      <w:r w:rsidR="00737910">
        <w:rPr>
          <w:rFonts w:asciiTheme="minorHAnsi" w:hAnsiTheme="minorHAnsi"/>
          <w:sz w:val="24"/>
          <w:szCs w:val="24"/>
        </w:rPr>
        <w:t xml:space="preserve"> </w:t>
      </w:r>
      <w:r w:rsidR="00E86F42">
        <w:rPr>
          <w:rFonts w:asciiTheme="minorHAnsi" w:hAnsiTheme="minorHAnsi"/>
          <w:sz w:val="24"/>
          <w:szCs w:val="24"/>
        </w:rPr>
        <w:t>risk</w:t>
      </w:r>
      <w:r w:rsidR="00CB28DC">
        <w:rPr>
          <w:rFonts w:asciiTheme="minorHAnsi" w:hAnsiTheme="minorHAnsi"/>
          <w:sz w:val="24"/>
          <w:szCs w:val="24"/>
        </w:rPr>
        <w:t xml:space="preserve"> in th</w:t>
      </w:r>
      <w:r w:rsidR="00A5151E">
        <w:rPr>
          <w:rFonts w:asciiTheme="minorHAnsi" w:hAnsiTheme="minorHAnsi"/>
          <w:sz w:val="24"/>
          <w:szCs w:val="24"/>
        </w:rPr>
        <w:t>e</w:t>
      </w:r>
      <w:r w:rsidR="00CB28DC">
        <w:rPr>
          <w:rFonts w:asciiTheme="minorHAnsi" w:hAnsiTheme="minorHAnsi"/>
          <w:sz w:val="24"/>
          <w:szCs w:val="24"/>
        </w:rPr>
        <w:t xml:space="preserve"> business</w:t>
      </w:r>
      <w:r w:rsidR="00E86F42">
        <w:rPr>
          <w:rFonts w:asciiTheme="minorHAnsi" w:hAnsiTheme="minorHAnsi"/>
          <w:sz w:val="24"/>
          <w:szCs w:val="24"/>
        </w:rPr>
        <w:t xml:space="preserve"> (Costa Storti</w:t>
      </w:r>
      <w:r w:rsidR="00631E1A">
        <w:rPr>
          <w:rFonts w:asciiTheme="minorHAnsi" w:hAnsiTheme="minorHAnsi"/>
          <w:sz w:val="24"/>
          <w:szCs w:val="24"/>
        </w:rPr>
        <w:t xml:space="preserve"> and De Grauwe</w:t>
      </w:r>
      <w:r w:rsidR="00E86F42">
        <w:rPr>
          <w:rFonts w:asciiTheme="minorHAnsi" w:hAnsiTheme="minorHAnsi"/>
          <w:sz w:val="24"/>
          <w:szCs w:val="24"/>
        </w:rPr>
        <w:t xml:space="preserve">, </w:t>
      </w:r>
      <w:r w:rsidR="00631E1A">
        <w:rPr>
          <w:rFonts w:asciiTheme="minorHAnsi" w:hAnsiTheme="minorHAnsi"/>
          <w:sz w:val="24"/>
          <w:szCs w:val="24"/>
        </w:rPr>
        <w:t>2009)</w:t>
      </w:r>
      <w:r w:rsidR="00E86F42">
        <w:rPr>
          <w:rFonts w:asciiTheme="minorHAnsi" w:hAnsiTheme="minorHAnsi"/>
          <w:sz w:val="24"/>
          <w:szCs w:val="24"/>
        </w:rPr>
        <w:t xml:space="preserve">.  </w:t>
      </w:r>
    </w:p>
    <w:p w:rsidR="00E65B1C" w:rsidRDefault="00E65B1C" w:rsidP="006944FA">
      <w:pPr>
        <w:spacing w:after="0"/>
        <w:jc w:val="both"/>
        <w:rPr>
          <w:rFonts w:asciiTheme="minorHAnsi" w:hAnsiTheme="minorHAnsi"/>
          <w:sz w:val="24"/>
          <w:szCs w:val="24"/>
        </w:rPr>
      </w:pPr>
    </w:p>
    <w:p w:rsidR="00E86F42" w:rsidRDefault="0013251A" w:rsidP="006944FA">
      <w:pPr>
        <w:spacing w:after="0"/>
        <w:jc w:val="both"/>
        <w:rPr>
          <w:rFonts w:asciiTheme="minorHAnsi" w:hAnsiTheme="minorHAnsi"/>
          <w:sz w:val="24"/>
          <w:szCs w:val="24"/>
        </w:rPr>
      </w:pPr>
      <w:r>
        <w:rPr>
          <w:rFonts w:asciiTheme="minorHAnsi" w:hAnsiTheme="minorHAnsi"/>
          <w:sz w:val="24"/>
          <w:szCs w:val="24"/>
        </w:rPr>
        <w:t>The research community has formally adopted neither of these classification systems</w:t>
      </w:r>
      <w:r w:rsidR="00960EBD">
        <w:rPr>
          <w:rFonts w:asciiTheme="minorHAnsi" w:hAnsiTheme="minorHAnsi"/>
          <w:sz w:val="24"/>
          <w:szCs w:val="24"/>
        </w:rPr>
        <w:t>. As</w:t>
      </w:r>
      <w:r w:rsidR="00960EBD" w:rsidRPr="00960EBD">
        <w:rPr>
          <w:rFonts w:asciiTheme="minorHAnsi" w:hAnsiTheme="minorHAnsi"/>
          <w:sz w:val="24"/>
          <w:szCs w:val="24"/>
        </w:rPr>
        <w:t xml:space="preserve"> </w:t>
      </w:r>
      <w:r w:rsidR="00960EBD">
        <w:rPr>
          <w:rFonts w:asciiTheme="minorHAnsi" w:hAnsiTheme="minorHAnsi"/>
          <w:sz w:val="24"/>
          <w:szCs w:val="24"/>
        </w:rPr>
        <w:t>Eurostat publishe</w:t>
      </w:r>
      <w:r>
        <w:rPr>
          <w:rFonts w:asciiTheme="minorHAnsi" w:hAnsiTheme="minorHAnsi"/>
          <w:sz w:val="24"/>
          <w:szCs w:val="24"/>
        </w:rPr>
        <w:t>s data</w:t>
      </w:r>
      <w:r w:rsidR="00960EBD">
        <w:rPr>
          <w:rFonts w:asciiTheme="minorHAnsi" w:hAnsiTheme="minorHAnsi"/>
          <w:sz w:val="24"/>
          <w:szCs w:val="24"/>
        </w:rPr>
        <w:t xml:space="preserve"> </w:t>
      </w:r>
      <w:r>
        <w:rPr>
          <w:rFonts w:asciiTheme="minorHAnsi" w:hAnsiTheme="minorHAnsi"/>
          <w:sz w:val="24"/>
          <w:szCs w:val="24"/>
        </w:rPr>
        <w:t xml:space="preserve">annually </w:t>
      </w:r>
      <w:r w:rsidR="00960EBD">
        <w:rPr>
          <w:rFonts w:asciiTheme="minorHAnsi" w:hAnsiTheme="minorHAnsi"/>
          <w:sz w:val="24"/>
          <w:szCs w:val="24"/>
        </w:rPr>
        <w:t xml:space="preserve">in </w:t>
      </w:r>
      <w:r>
        <w:rPr>
          <w:rFonts w:asciiTheme="minorHAnsi" w:hAnsiTheme="minorHAnsi"/>
          <w:sz w:val="24"/>
          <w:szCs w:val="24"/>
        </w:rPr>
        <w:t>accordance</w:t>
      </w:r>
      <w:r w:rsidR="00960EBD">
        <w:rPr>
          <w:rFonts w:asciiTheme="minorHAnsi" w:hAnsiTheme="minorHAnsi"/>
          <w:sz w:val="24"/>
          <w:szCs w:val="24"/>
        </w:rPr>
        <w:t xml:space="preserve"> to </w:t>
      </w:r>
      <w:r w:rsidR="00017A31">
        <w:rPr>
          <w:rFonts w:asciiTheme="minorHAnsi" w:hAnsiTheme="minorHAnsi"/>
          <w:sz w:val="24"/>
          <w:szCs w:val="24"/>
        </w:rPr>
        <w:t>the COFOC classification</w:t>
      </w:r>
      <w:r w:rsidR="00643930">
        <w:rPr>
          <w:rFonts w:asciiTheme="minorHAnsi" w:hAnsiTheme="minorHAnsi"/>
          <w:sz w:val="24"/>
          <w:szCs w:val="24"/>
        </w:rPr>
        <w:t>,</w:t>
      </w:r>
      <w:r w:rsidR="00960EBD">
        <w:rPr>
          <w:rFonts w:asciiTheme="minorHAnsi" w:hAnsiTheme="minorHAnsi"/>
          <w:sz w:val="24"/>
          <w:szCs w:val="24"/>
        </w:rPr>
        <w:t xml:space="preserve"> however, </w:t>
      </w:r>
      <w:r>
        <w:rPr>
          <w:rFonts w:asciiTheme="minorHAnsi" w:hAnsiTheme="minorHAnsi"/>
          <w:sz w:val="24"/>
          <w:szCs w:val="24"/>
        </w:rPr>
        <w:t xml:space="preserve">their system </w:t>
      </w:r>
      <w:r w:rsidR="00643930">
        <w:rPr>
          <w:rFonts w:asciiTheme="minorHAnsi" w:hAnsiTheme="minorHAnsi"/>
          <w:sz w:val="24"/>
          <w:szCs w:val="24"/>
        </w:rPr>
        <w:t xml:space="preserve">is </w:t>
      </w:r>
      <w:r>
        <w:rPr>
          <w:rFonts w:asciiTheme="minorHAnsi" w:hAnsiTheme="minorHAnsi"/>
          <w:sz w:val="24"/>
          <w:szCs w:val="24"/>
        </w:rPr>
        <w:t>frequently</w:t>
      </w:r>
      <w:r w:rsidR="00D35091" w:rsidRPr="00D35091">
        <w:rPr>
          <w:rFonts w:asciiTheme="minorHAnsi" w:hAnsiTheme="minorHAnsi"/>
          <w:sz w:val="24"/>
          <w:szCs w:val="24"/>
        </w:rPr>
        <w:t xml:space="preserve"> </w:t>
      </w:r>
      <w:r w:rsidR="00D35091">
        <w:rPr>
          <w:rFonts w:asciiTheme="minorHAnsi" w:hAnsiTheme="minorHAnsi"/>
          <w:sz w:val="24"/>
          <w:szCs w:val="24"/>
        </w:rPr>
        <w:t>used</w:t>
      </w:r>
      <w:r w:rsidR="006E020E">
        <w:rPr>
          <w:rFonts w:asciiTheme="minorHAnsi" w:hAnsiTheme="minorHAnsi"/>
          <w:sz w:val="24"/>
          <w:szCs w:val="24"/>
        </w:rPr>
        <w:t xml:space="preserve">. Eurostat publishes data on public spending </w:t>
      </w:r>
      <w:r w:rsidR="00017A31">
        <w:rPr>
          <w:rFonts w:asciiTheme="minorHAnsi" w:hAnsiTheme="minorHAnsi"/>
          <w:sz w:val="24"/>
          <w:szCs w:val="24"/>
        </w:rPr>
        <w:t xml:space="preserve">with the purpose </w:t>
      </w:r>
      <w:r w:rsidR="00643930">
        <w:rPr>
          <w:rFonts w:asciiTheme="minorHAnsi" w:hAnsiTheme="minorHAnsi"/>
          <w:sz w:val="24"/>
          <w:szCs w:val="24"/>
        </w:rPr>
        <w:t>of guaranteeing public order and saf</w:t>
      </w:r>
      <w:r w:rsidR="006E020E">
        <w:rPr>
          <w:rFonts w:asciiTheme="minorHAnsi" w:hAnsiTheme="minorHAnsi"/>
          <w:sz w:val="24"/>
          <w:szCs w:val="24"/>
        </w:rPr>
        <w:t>ety</w:t>
      </w:r>
      <w:r w:rsidR="00CB28DC">
        <w:rPr>
          <w:rFonts w:asciiTheme="minorHAnsi" w:hAnsiTheme="minorHAnsi"/>
          <w:sz w:val="24"/>
          <w:szCs w:val="24"/>
        </w:rPr>
        <w:t xml:space="preserve">, split </w:t>
      </w:r>
      <w:r>
        <w:rPr>
          <w:rFonts w:asciiTheme="minorHAnsi" w:hAnsiTheme="minorHAnsi"/>
          <w:sz w:val="24"/>
          <w:szCs w:val="24"/>
        </w:rPr>
        <w:t>into the above-</w:t>
      </w:r>
      <w:r w:rsidR="006E020E">
        <w:rPr>
          <w:rFonts w:asciiTheme="minorHAnsi" w:hAnsiTheme="minorHAnsi"/>
          <w:sz w:val="24"/>
          <w:szCs w:val="24"/>
        </w:rPr>
        <w:t xml:space="preserve">mentioned classes. Researchers still have to opt for criteria and models </w:t>
      </w:r>
      <w:r>
        <w:rPr>
          <w:rFonts w:asciiTheme="minorHAnsi" w:hAnsiTheme="minorHAnsi"/>
          <w:sz w:val="24"/>
          <w:szCs w:val="24"/>
        </w:rPr>
        <w:t>to</w:t>
      </w:r>
      <w:r w:rsidR="00CB28DC">
        <w:rPr>
          <w:rFonts w:asciiTheme="minorHAnsi" w:hAnsiTheme="minorHAnsi"/>
          <w:sz w:val="24"/>
          <w:szCs w:val="24"/>
        </w:rPr>
        <w:t xml:space="preserve"> disentangling</w:t>
      </w:r>
      <w:r w:rsidR="00017A31">
        <w:rPr>
          <w:rFonts w:asciiTheme="minorHAnsi" w:hAnsiTheme="minorHAnsi"/>
          <w:sz w:val="24"/>
          <w:szCs w:val="24"/>
        </w:rPr>
        <w:t xml:space="preserve"> </w:t>
      </w:r>
      <w:r w:rsidR="00CB28DC">
        <w:rPr>
          <w:rFonts w:asciiTheme="minorHAnsi" w:hAnsiTheme="minorHAnsi"/>
          <w:sz w:val="24"/>
          <w:szCs w:val="24"/>
        </w:rPr>
        <w:t>drug-</w:t>
      </w:r>
      <w:r w:rsidR="006E020E">
        <w:rPr>
          <w:rFonts w:asciiTheme="minorHAnsi" w:hAnsiTheme="minorHAnsi"/>
          <w:sz w:val="24"/>
          <w:szCs w:val="24"/>
        </w:rPr>
        <w:t>related spending from the</w:t>
      </w:r>
      <w:r w:rsidR="00CB28DC">
        <w:rPr>
          <w:rFonts w:asciiTheme="minorHAnsi" w:hAnsiTheme="minorHAnsi"/>
          <w:sz w:val="24"/>
          <w:szCs w:val="24"/>
        </w:rPr>
        <w:t>se</w:t>
      </w:r>
      <w:r w:rsidR="006E020E">
        <w:rPr>
          <w:rFonts w:asciiTheme="minorHAnsi" w:hAnsiTheme="minorHAnsi"/>
          <w:sz w:val="24"/>
          <w:szCs w:val="24"/>
        </w:rPr>
        <w:t xml:space="preserve"> overall </w:t>
      </w:r>
      <w:r w:rsidR="00CB28DC">
        <w:rPr>
          <w:rFonts w:asciiTheme="minorHAnsi" w:hAnsiTheme="minorHAnsi"/>
          <w:sz w:val="24"/>
          <w:szCs w:val="24"/>
        </w:rPr>
        <w:t xml:space="preserve">classes of </w:t>
      </w:r>
      <w:r w:rsidR="006274EA">
        <w:rPr>
          <w:rFonts w:asciiTheme="minorHAnsi" w:hAnsiTheme="minorHAnsi"/>
          <w:sz w:val="24"/>
          <w:szCs w:val="24"/>
        </w:rPr>
        <w:t>expenditure</w:t>
      </w:r>
      <w:r w:rsidR="006E020E">
        <w:rPr>
          <w:rFonts w:asciiTheme="minorHAnsi" w:hAnsiTheme="minorHAnsi"/>
          <w:sz w:val="24"/>
          <w:szCs w:val="24"/>
        </w:rPr>
        <w:t>.</w:t>
      </w:r>
    </w:p>
    <w:p w:rsidR="00E86F42" w:rsidRPr="00BE15B8" w:rsidRDefault="00E86F42" w:rsidP="006944FA">
      <w:pPr>
        <w:spacing w:after="0"/>
        <w:jc w:val="both"/>
        <w:rPr>
          <w:rFonts w:asciiTheme="minorHAnsi" w:hAnsiTheme="minorHAnsi"/>
          <w:sz w:val="24"/>
          <w:szCs w:val="24"/>
        </w:rPr>
      </w:pPr>
    </w:p>
    <w:p w:rsidR="006944FA" w:rsidRPr="006E4014" w:rsidRDefault="006E020E" w:rsidP="00A6132B">
      <w:pPr>
        <w:spacing w:after="0"/>
        <w:jc w:val="both"/>
        <w:rPr>
          <w:rFonts w:asciiTheme="minorHAnsi" w:hAnsiTheme="minorHAnsi"/>
          <w:sz w:val="24"/>
          <w:szCs w:val="24"/>
        </w:rPr>
      </w:pPr>
      <w:r w:rsidRPr="006E4014">
        <w:rPr>
          <w:rFonts w:asciiTheme="minorHAnsi" w:hAnsiTheme="minorHAnsi"/>
          <w:sz w:val="24"/>
          <w:szCs w:val="24"/>
        </w:rPr>
        <w:t>In fact</w:t>
      </w:r>
      <w:r w:rsidR="00D35091" w:rsidRPr="006E4014">
        <w:rPr>
          <w:rFonts w:asciiTheme="minorHAnsi" w:hAnsiTheme="minorHAnsi"/>
          <w:sz w:val="24"/>
          <w:szCs w:val="24"/>
        </w:rPr>
        <w:t xml:space="preserve">, </w:t>
      </w:r>
      <w:r w:rsidR="006944FA" w:rsidRPr="006E4014">
        <w:rPr>
          <w:rFonts w:asciiTheme="minorHAnsi" w:hAnsiTheme="minorHAnsi"/>
          <w:sz w:val="24"/>
          <w:szCs w:val="24"/>
        </w:rPr>
        <w:t xml:space="preserve">supply reduction </w:t>
      </w:r>
      <w:r w:rsidR="00F03B3B" w:rsidRPr="006E4014">
        <w:rPr>
          <w:rFonts w:asciiTheme="minorHAnsi" w:hAnsiTheme="minorHAnsi"/>
          <w:sz w:val="24"/>
          <w:szCs w:val="24"/>
        </w:rPr>
        <w:t xml:space="preserve">initiatives </w:t>
      </w:r>
      <w:r w:rsidR="006944FA" w:rsidRPr="006E4014">
        <w:rPr>
          <w:rFonts w:asciiTheme="minorHAnsi" w:hAnsiTheme="minorHAnsi"/>
          <w:sz w:val="24"/>
          <w:szCs w:val="24"/>
        </w:rPr>
        <w:t>are often embedded in policy projects with broader objectives</w:t>
      </w:r>
      <w:r w:rsidR="00F03B3B" w:rsidRPr="006E4014">
        <w:rPr>
          <w:rFonts w:asciiTheme="minorHAnsi" w:hAnsiTheme="minorHAnsi"/>
          <w:sz w:val="24"/>
          <w:szCs w:val="24"/>
        </w:rPr>
        <w:t xml:space="preserve"> and budgets</w:t>
      </w:r>
      <w:r w:rsidR="006944FA" w:rsidRPr="006E4014">
        <w:rPr>
          <w:rFonts w:asciiTheme="minorHAnsi" w:hAnsiTheme="minorHAnsi"/>
          <w:sz w:val="24"/>
          <w:szCs w:val="24"/>
        </w:rPr>
        <w:t>.</w:t>
      </w:r>
      <w:r w:rsidR="00261C99" w:rsidRPr="006E4014">
        <w:rPr>
          <w:rFonts w:asciiTheme="minorHAnsi" w:hAnsiTheme="minorHAnsi"/>
          <w:sz w:val="24"/>
          <w:szCs w:val="24"/>
        </w:rPr>
        <w:t xml:space="preserve"> </w:t>
      </w:r>
      <w:r w:rsidR="006944FA" w:rsidRPr="006E4014">
        <w:rPr>
          <w:rFonts w:asciiTheme="minorHAnsi" w:hAnsiTheme="minorHAnsi"/>
          <w:sz w:val="24"/>
          <w:szCs w:val="24"/>
        </w:rPr>
        <w:t xml:space="preserve">Therefore, </w:t>
      </w:r>
      <w:r w:rsidR="00F03B3B" w:rsidRPr="006E4014">
        <w:rPr>
          <w:rFonts w:asciiTheme="minorHAnsi" w:hAnsiTheme="minorHAnsi"/>
          <w:sz w:val="24"/>
          <w:szCs w:val="24"/>
        </w:rPr>
        <w:t xml:space="preserve">first, </w:t>
      </w:r>
      <w:r w:rsidR="006944FA" w:rsidRPr="006E4014">
        <w:rPr>
          <w:rFonts w:asciiTheme="minorHAnsi" w:hAnsiTheme="minorHAnsi"/>
          <w:sz w:val="24"/>
          <w:szCs w:val="24"/>
        </w:rPr>
        <w:t xml:space="preserve">it is important to look beyond expenditure exclusively used for drug policy and also include spending intended </w:t>
      </w:r>
      <w:r w:rsidR="006E4014">
        <w:rPr>
          <w:rFonts w:asciiTheme="minorHAnsi" w:hAnsiTheme="minorHAnsi"/>
          <w:sz w:val="24"/>
          <w:szCs w:val="24"/>
        </w:rPr>
        <w:t>on</w:t>
      </w:r>
      <w:r w:rsidR="006944FA" w:rsidRPr="006E4014">
        <w:rPr>
          <w:rFonts w:asciiTheme="minorHAnsi" w:hAnsiTheme="minorHAnsi"/>
          <w:sz w:val="24"/>
          <w:szCs w:val="24"/>
        </w:rPr>
        <w:t xml:space="preserve"> broader policy domains that are indirectly</w:t>
      </w:r>
      <w:r w:rsidR="00B53394" w:rsidRPr="006E4014">
        <w:rPr>
          <w:rFonts w:asciiTheme="minorHAnsi" w:hAnsiTheme="minorHAnsi"/>
          <w:sz w:val="24"/>
          <w:szCs w:val="24"/>
        </w:rPr>
        <w:t>,</w:t>
      </w:r>
      <w:r w:rsidR="006944FA" w:rsidRPr="006E4014">
        <w:rPr>
          <w:rFonts w:asciiTheme="minorHAnsi" w:hAnsiTheme="minorHAnsi"/>
          <w:sz w:val="24"/>
          <w:szCs w:val="24"/>
        </w:rPr>
        <w:t xml:space="preserve"> but significantly</w:t>
      </w:r>
      <w:r w:rsidR="00B53394" w:rsidRPr="006E4014">
        <w:rPr>
          <w:rFonts w:asciiTheme="minorHAnsi" w:hAnsiTheme="minorHAnsi"/>
          <w:sz w:val="24"/>
          <w:szCs w:val="24"/>
        </w:rPr>
        <w:t>,</w:t>
      </w:r>
      <w:r w:rsidR="006944FA" w:rsidRPr="006E4014">
        <w:rPr>
          <w:rFonts w:asciiTheme="minorHAnsi" w:hAnsiTheme="minorHAnsi"/>
          <w:sz w:val="24"/>
          <w:szCs w:val="24"/>
        </w:rPr>
        <w:t xml:space="preserve"> contributing to drug policy or impacting on it. </w:t>
      </w:r>
      <w:r w:rsidR="00284D64" w:rsidRPr="006E4014">
        <w:rPr>
          <w:rFonts w:asciiTheme="minorHAnsi" w:hAnsiTheme="minorHAnsi"/>
          <w:sz w:val="24"/>
          <w:szCs w:val="24"/>
        </w:rPr>
        <w:t>For instance, investi</w:t>
      </w:r>
      <w:r w:rsidR="00284D64" w:rsidRPr="006E4014">
        <w:rPr>
          <w:sz w:val="24"/>
          <w:szCs w:val="24"/>
        </w:rPr>
        <w:t>ng in an effective policing of certain problematic neighbourhoods, in order to prevent all types of crime</w:t>
      </w:r>
      <w:r w:rsidR="00F03B3B" w:rsidRPr="006E4014">
        <w:rPr>
          <w:sz w:val="24"/>
          <w:szCs w:val="24"/>
        </w:rPr>
        <w:t>,</w:t>
      </w:r>
      <w:r w:rsidR="00284D64" w:rsidRPr="006E4014">
        <w:rPr>
          <w:sz w:val="24"/>
          <w:szCs w:val="24"/>
        </w:rPr>
        <w:t xml:space="preserve"> may </w:t>
      </w:r>
      <w:r w:rsidR="00F03B3B" w:rsidRPr="006E4014">
        <w:rPr>
          <w:sz w:val="24"/>
          <w:szCs w:val="24"/>
        </w:rPr>
        <w:t>contribute to avoiding that</w:t>
      </w:r>
      <w:r w:rsidR="00284D64" w:rsidRPr="006E4014">
        <w:rPr>
          <w:sz w:val="24"/>
          <w:szCs w:val="24"/>
        </w:rPr>
        <w:t xml:space="preserve"> </w:t>
      </w:r>
      <w:r w:rsidR="006E4014">
        <w:rPr>
          <w:sz w:val="24"/>
          <w:szCs w:val="24"/>
        </w:rPr>
        <w:t xml:space="preserve">also </w:t>
      </w:r>
      <w:r w:rsidR="00284D64" w:rsidRPr="006E4014">
        <w:rPr>
          <w:sz w:val="24"/>
          <w:szCs w:val="24"/>
        </w:rPr>
        <w:t xml:space="preserve">drug dealing takes place. Consequently, it is relevant to take into account overall budgets </w:t>
      </w:r>
      <w:r w:rsidR="00BF32D1" w:rsidRPr="006E4014">
        <w:rPr>
          <w:sz w:val="24"/>
          <w:szCs w:val="24"/>
        </w:rPr>
        <w:t>for initiatives which</w:t>
      </w:r>
      <w:r w:rsidR="00284D64" w:rsidRPr="006E4014">
        <w:rPr>
          <w:sz w:val="24"/>
          <w:szCs w:val="24"/>
        </w:rPr>
        <w:t xml:space="preserve"> may have direct synergies </w:t>
      </w:r>
      <w:r w:rsidR="00D35091" w:rsidRPr="006E4014">
        <w:rPr>
          <w:sz w:val="24"/>
          <w:szCs w:val="24"/>
        </w:rPr>
        <w:t xml:space="preserve">for </w:t>
      </w:r>
      <w:r w:rsidR="00284D64" w:rsidRPr="006E4014">
        <w:rPr>
          <w:sz w:val="24"/>
          <w:szCs w:val="24"/>
        </w:rPr>
        <w:t>drug</w:t>
      </w:r>
      <w:r w:rsidR="00BF32D1" w:rsidRPr="006E4014">
        <w:rPr>
          <w:sz w:val="24"/>
          <w:szCs w:val="24"/>
        </w:rPr>
        <w:t xml:space="preserve"> policy objectives</w:t>
      </w:r>
      <w:r w:rsidR="00284D64" w:rsidRPr="006E4014">
        <w:rPr>
          <w:sz w:val="24"/>
          <w:szCs w:val="24"/>
        </w:rPr>
        <w:t xml:space="preserve">. </w:t>
      </w:r>
      <w:r w:rsidR="00F03B3B" w:rsidRPr="006E4014">
        <w:rPr>
          <w:sz w:val="24"/>
          <w:szCs w:val="24"/>
        </w:rPr>
        <w:t xml:space="preserve">Second, in order to disentangle </w:t>
      </w:r>
      <w:r w:rsidR="00FC6771" w:rsidRPr="006E4014">
        <w:rPr>
          <w:sz w:val="24"/>
          <w:szCs w:val="24"/>
        </w:rPr>
        <w:t>drug-related</w:t>
      </w:r>
      <w:r w:rsidR="00F03B3B" w:rsidRPr="006E4014">
        <w:rPr>
          <w:sz w:val="24"/>
          <w:szCs w:val="24"/>
        </w:rPr>
        <w:t xml:space="preserve"> </w:t>
      </w:r>
      <w:r w:rsidR="00BF32D1" w:rsidRPr="006E4014">
        <w:rPr>
          <w:sz w:val="24"/>
          <w:szCs w:val="24"/>
        </w:rPr>
        <w:t xml:space="preserve">expenditures </w:t>
      </w:r>
      <w:r w:rsidR="00F03B3B" w:rsidRPr="006E4014">
        <w:rPr>
          <w:sz w:val="24"/>
          <w:szCs w:val="24"/>
        </w:rPr>
        <w:t xml:space="preserve">from overall </w:t>
      </w:r>
      <w:r w:rsidR="00BF32D1" w:rsidRPr="006E4014">
        <w:rPr>
          <w:sz w:val="24"/>
          <w:szCs w:val="24"/>
        </w:rPr>
        <w:t>expenditures,</w:t>
      </w:r>
      <w:r w:rsidR="00F03B3B" w:rsidRPr="006E4014">
        <w:rPr>
          <w:sz w:val="24"/>
          <w:szCs w:val="24"/>
        </w:rPr>
        <w:t xml:space="preserve"> modelling techniques are required. For instance, </w:t>
      </w:r>
      <w:r w:rsidR="006E4014" w:rsidRPr="006E4014">
        <w:rPr>
          <w:rFonts w:asciiTheme="minorHAnsi" w:hAnsiTheme="minorHAnsi"/>
          <w:sz w:val="24"/>
          <w:szCs w:val="24"/>
        </w:rPr>
        <w:t xml:space="preserve">special estimates and well defined methodologies are needed </w:t>
      </w:r>
      <w:r w:rsidR="00F03B3B" w:rsidRPr="006E4014">
        <w:rPr>
          <w:sz w:val="24"/>
          <w:szCs w:val="24"/>
        </w:rPr>
        <w:t>to disentangle</w:t>
      </w:r>
      <w:r w:rsidR="006E4014" w:rsidRPr="006E4014">
        <w:rPr>
          <w:sz w:val="24"/>
          <w:szCs w:val="24"/>
        </w:rPr>
        <w:t xml:space="preserve"> expenditures on drug-related crimes</w:t>
      </w:r>
      <w:r w:rsidR="00F03B3B" w:rsidRPr="006E4014">
        <w:rPr>
          <w:sz w:val="24"/>
          <w:szCs w:val="24"/>
        </w:rPr>
        <w:t xml:space="preserve"> from</w:t>
      </w:r>
      <w:r w:rsidR="00284D64" w:rsidRPr="006E4014">
        <w:rPr>
          <w:rFonts w:asciiTheme="minorHAnsi" w:hAnsiTheme="minorHAnsi"/>
          <w:sz w:val="24"/>
          <w:szCs w:val="24"/>
        </w:rPr>
        <w:t xml:space="preserve"> </w:t>
      </w:r>
      <w:r w:rsidR="006E4014" w:rsidRPr="006E4014">
        <w:rPr>
          <w:rFonts w:asciiTheme="minorHAnsi" w:hAnsiTheme="minorHAnsi"/>
          <w:sz w:val="24"/>
          <w:szCs w:val="24"/>
        </w:rPr>
        <w:t xml:space="preserve">overall </w:t>
      </w:r>
      <w:r w:rsidR="00284D64" w:rsidRPr="006E4014">
        <w:rPr>
          <w:rFonts w:asciiTheme="minorHAnsi" w:hAnsiTheme="minorHAnsi"/>
          <w:sz w:val="24"/>
          <w:szCs w:val="24"/>
        </w:rPr>
        <w:t>public spending on law courts</w:t>
      </w:r>
      <w:r w:rsidR="006E4014" w:rsidRPr="006E4014">
        <w:rPr>
          <w:rFonts w:asciiTheme="minorHAnsi" w:hAnsiTheme="minorHAnsi"/>
          <w:sz w:val="24"/>
          <w:szCs w:val="24"/>
        </w:rPr>
        <w:t xml:space="preserve"> (more details </w:t>
      </w:r>
      <w:r w:rsidR="00D264C6">
        <w:rPr>
          <w:rFonts w:asciiTheme="minorHAnsi" w:hAnsiTheme="minorHAnsi"/>
          <w:sz w:val="24"/>
          <w:szCs w:val="24"/>
        </w:rPr>
        <w:t xml:space="preserve">on methodologies are given </w:t>
      </w:r>
      <w:r w:rsidR="006E4014" w:rsidRPr="006E4014">
        <w:rPr>
          <w:rFonts w:asciiTheme="minorHAnsi" w:hAnsiTheme="minorHAnsi"/>
          <w:sz w:val="24"/>
          <w:szCs w:val="24"/>
        </w:rPr>
        <w:t xml:space="preserve">below). </w:t>
      </w:r>
    </w:p>
    <w:p w:rsidR="006944FA" w:rsidRPr="006E4014"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eastAsia="Times New Roman" w:hAnsiTheme="minorHAnsi"/>
          <w:iCs/>
          <w:sz w:val="24"/>
          <w:szCs w:val="24"/>
          <w:lang w:eastAsia="hr-HR"/>
        </w:rPr>
        <w:t xml:space="preserve">In the case that not all required data are available in international datasets, national databases should be mapped. Every country has different structures of drug control services provision and financing. National data mapping can be </w:t>
      </w:r>
      <w:r w:rsidRPr="00BE15B8">
        <w:rPr>
          <w:rFonts w:asciiTheme="minorHAnsi" w:hAnsiTheme="minorHAnsi"/>
          <w:sz w:val="24"/>
          <w:szCs w:val="24"/>
        </w:rPr>
        <w:t xml:space="preserve">determined in different ways: on the basis of information from registration systems, annual reports, interviews with key experts and/or contacts with the work field (De Ruyver et al., 2007). </w:t>
      </w:r>
      <w:r w:rsidRPr="00BE15B8">
        <w:rPr>
          <w:rFonts w:asciiTheme="minorHAnsi" w:eastAsia="Times New Roman" w:hAnsiTheme="minorHAnsi"/>
          <w:iCs/>
          <w:sz w:val="24"/>
          <w:szCs w:val="24"/>
          <w:lang w:eastAsia="hr-HR"/>
        </w:rPr>
        <w:t xml:space="preserve">A detailed mapping of </w:t>
      </w:r>
      <w:r w:rsidR="00F50EE5" w:rsidRPr="00BE15B8">
        <w:rPr>
          <w:rFonts w:asciiTheme="minorHAnsi" w:eastAsia="Times New Roman" w:hAnsiTheme="minorHAnsi"/>
          <w:iCs/>
          <w:sz w:val="24"/>
          <w:szCs w:val="24"/>
          <w:lang w:eastAsia="hr-HR"/>
        </w:rPr>
        <w:t xml:space="preserve">available </w:t>
      </w:r>
      <w:r w:rsidRPr="00BE15B8">
        <w:rPr>
          <w:rFonts w:asciiTheme="minorHAnsi" w:eastAsia="Times New Roman" w:hAnsiTheme="minorHAnsi"/>
          <w:iCs/>
          <w:sz w:val="24"/>
          <w:szCs w:val="24"/>
          <w:lang w:eastAsia="hr-HR"/>
        </w:rPr>
        <w:t>data can be demanding and require</w:t>
      </w:r>
      <w:r w:rsidR="00FC6771">
        <w:rPr>
          <w:rFonts w:asciiTheme="minorHAnsi" w:eastAsia="Times New Roman" w:hAnsiTheme="minorHAnsi"/>
          <w:iCs/>
          <w:sz w:val="24"/>
          <w:szCs w:val="24"/>
          <w:lang w:eastAsia="hr-HR"/>
        </w:rPr>
        <w:t>s</w:t>
      </w:r>
      <w:r w:rsidRPr="00BE15B8">
        <w:rPr>
          <w:rFonts w:asciiTheme="minorHAnsi" w:eastAsia="Times New Roman" w:hAnsiTheme="minorHAnsi"/>
          <w:iCs/>
          <w:sz w:val="24"/>
          <w:szCs w:val="24"/>
          <w:lang w:eastAsia="hr-HR"/>
        </w:rPr>
        <w:t xml:space="preserve"> an intensive use of resources. However, it is a fundamental milestone for any drug control estimate of public spending.</w:t>
      </w:r>
    </w:p>
    <w:p w:rsidR="006944FA" w:rsidRPr="00BE15B8" w:rsidRDefault="006944FA" w:rsidP="006944FA">
      <w:pPr>
        <w:spacing w:after="0"/>
        <w:jc w:val="both"/>
        <w:rPr>
          <w:rFonts w:asciiTheme="minorHAnsi" w:hAnsiTheme="minorHAnsi"/>
          <w:sz w:val="24"/>
          <w:szCs w:val="24"/>
        </w:rPr>
      </w:pPr>
    </w:p>
    <w:p w:rsidR="006944FA" w:rsidRPr="009A7B47" w:rsidRDefault="00FA1616" w:rsidP="006944FA">
      <w:pPr>
        <w:spacing w:after="0"/>
        <w:jc w:val="both"/>
        <w:rPr>
          <w:rFonts w:asciiTheme="minorHAnsi" w:hAnsiTheme="minorHAnsi"/>
          <w:b/>
          <w:i/>
          <w:sz w:val="24"/>
          <w:szCs w:val="24"/>
        </w:rPr>
      </w:pPr>
      <w:r>
        <w:rPr>
          <w:rFonts w:asciiTheme="minorHAnsi" w:hAnsiTheme="minorHAnsi"/>
          <w:b/>
          <w:i/>
          <w:sz w:val="24"/>
          <w:szCs w:val="24"/>
        </w:rPr>
        <w:t xml:space="preserve">Extracting expenditure data </w:t>
      </w:r>
      <w:r w:rsidR="00E73FEE">
        <w:rPr>
          <w:rFonts w:asciiTheme="minorHAnsi" w:hAnsiTheme="minorHAnsi"/>
          <w:b/>
          <w:i/>
          <w:sz w:val="24"/>
          <w:szCs w:val="24"/>
        </w:rPr>
        <w:t xml:space="preserve">from </w:t>
      </w:r>
      <w:r>
        <w:rPr>
          <w:rFonts w:asciiTheme="minorHAnsi" w:hAnsiTheme="minorHAnsi"/>
          <w:b/>
          <w:i/>
          <w:sz w:val="24"/>
          <w:szCs w:val="24"/>
        </w:rPr>
        <w:t>sources</w:t>
      </w:r>
      <w:r w:rsidR="00E73FEE">
        <w:rPr>
          <w:rFonts w:asciiTheme="minorHAnsi" w:hAnsiTheme="minorHAnsi"/>
          <w:b/>
          <w:i/>
          <w:sz w:val="24"/>
          <w:szCs w:val="24"/>
        </w:rPr>
        <w:t>: l</w:t>
      </w:r>
      <w:r w:rsidR="006944FA" w:rsidRPr="009A7B47">
        <w:rPr>
          <w:rFonts w:asciiTheme="minorHAnsi" w:hAnsiTheme="minorHAnsi"/>
          <w:b/>
          <w:i/>
          <w:sz w:val="24"/>
          <w:szCs w:val="24"/>
        </w:rPr>
        <w:t>abelled and unlabelled expenditure</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Some </w:t>
      </w:r>
      <w:r w:rsidRPr="00BE15B8">
        <w:rPr>
          <w:rFonts w:asciiTheme="minorHAnsi" w:hAnsiTheme="minorHAnsi"/>
          <w:sz w:val="24"/>
          <w:szCs w:val="24"/>
        </w:rPr>
        <w:t xml:space="preserve">of the funds allocated by governments for drug-related expenditure are identified as such in the budget (i.e., they are ‘labelled expenditure’). Often, however, the bulk of drug-related expenditure is not identified (‘unlabelled expenditure’) and must be estimated by modelling approaches. The total </w:t>
      </w:r>
      <w:r w:rsidR="001B3E37" w:rsidRPr="00BE15B8">
        <w:rPr>
          <w:rFonts w:asciiTheme="minorHAnsi" w:hAnsiTheme="minorHAnsi"/>
          <w:sz w:val="24"/>
          <w:szCs w:val="24"/>
        </w:rPr>
        <w:t xml:space="preserve">drug-related expenditure </w:t>
      </w:r>
      <w:r w:rsidRPr="00BE15B8">
        <w:rPr>
          <w:rFonts w:asciiTheme="minorHAnsi" w:hAnsiTheme="minorHAnsi"/>
          <w:sz w:val="24"/>
          <w:szCs w:val="24"/>
        </w:rPr>
        <w:t>is the sum of labelled and unlabelled drug-related expenditures (EMCDDA, 2016).</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jc w:val="both"/>
        <w:rPr>
          <w:rFonts w:asciiTheme="minorHAnsi" w:hAnsiTheme="minorHAnsi"/>
          <w:sz w:val="24"/>
          <w:szCs w:val="24"/>
        </w:rPr>
      </w:pPr>
      <w:r w:rsidRPr="00BE15B8">
        <w:rPr>
          <w:rFonts w:asciiTheme="minorHAnsi" w:hAnsiTheme="minorHAnsi"/>
          <w:sz w:val="24"/>
          <w:szCs w:val="24"/>
        </w:rPr>
        <w:t xml:space="preserve">Since </w:t>
      </w:r>
      <w:r w:rsidRPr="00BE15B8">
        <w:rPr>
          <w:rFonts w:asciiTheme="minorHAnsi" w:hAnsiTheme="minorHAnsi"/>
          <w:i/>
          <w:sz w:val="24"/>
          <w:szCs w:val="24"/>
        </w:rPr>
        <w:t>labelled expenditures</w:t>
      </w:r>
      <w:r w:rsidRPr="00BE15B8">
        <w:rPr>
          <w:rFonts w:asciiTheme="minorHAnsi" w:hAnsiTheme="minorHAnsi"/>
          <w:sz w:val="24"/>
          <w:szCs w:val="24"/>
        </w:rPr>
        <w:t xml:space="preserve"> are clearly identified in budgets, calculation methods are not required. Time series data for labelled expenditures are often available. The biggest challenge faced when data on labelled expenditure are compiled, is the complete mapping of all entities in charge of providing these services as they can be spread across different levels of the government. Depending on the national structures, expenditure from all relevant national, regional or local government institutions that are directly or indirectly associated with drug policy should always be included.</w:t>
      </w:r>
    </w:p>
    <w:p w:rsidR="006944FA" w:rsidRPr="00BE15B8" w:rsidRDefault="006944FA" w:rsidP="006944FA">
      <w:pPr>
        <w:spacing w:after="0"/>
        <w:jc w:val="both"/>
        <w:rPr>
          <w:rFonts w:asciiTheme="minorHAnsi" w:hAnsiTheme="minorHAnsi"/>
          <w:color w:val="000000"/>
          <w:sz w:val="24"/>
          <w:szCs w:val="24"/>
          <w:shd w:val="clear" w:color="auto" w:fill="FFFFFF"/>
        </w:rPr>
      </w:pPr>
      <w:r w:rsidRPr="00BE15B8">
        <w:rPr>
          <w:rFonts w:asciiTheme="minorHAnsi" w:hAnsiTheme="minorHAnsi"/>
          <w:color w:val="000000"/>
          <w:sz w:val="24"/>
          <w:szCs w:val="24"/>
          <w:shd w:val="clear" w:color="auto" w:fill="FFFFFF"/>
        </w:rPr>
        <w:t xml:space="preserve">For </w:t>
      </w:r>
      <w:r w:rsidRPr="00BE15B8">
        <w:rPr>
          <w:rFonts w:asciiTheme="minorHAnsi" w:hAnsiTheme="minorHAnsi"/>
          <w:i/>
          <w:color w:val="000000"/>
          <w:sz w:val="24"/>
          <w:szCs w:val="24"/>
          <w:shd w:val="clear" w:color="auto" w:fill="FFFFFF"/>
        </w:rPr>
        <w:t>unlabelled expenditure</w:t>
      </w:r>
      <w:r w:rsidR="00B53394" w:rsidRPr="00BE15B8">
        <w:rPr>
          <w:rFonts w:asciiTheme="minorHAnsi" w:hAnsiTheme="minorHAnsi"/>
          <w:color w:val="000000"/>
          <w:sz w:val="24"/>
          <w:szCs w:val="24"/>
          <w:shd w:val="clear" w:color="auto" w:fill="FFFFFF"/>
        </w:rPr>
        <w:t>,</w:t>
      </w:r>
      <w:r w:rsidRPr="00BE15B8">
        <w:rPr>
          <w:rFonts w:asciiTheme="minorHAnsi" w:hAnsiTheme="minorHAnsi"/>
          <w:color w:val="000000"/>
          <w:sz w:val="24"/>
          <w:szCs w:val="24"/>
          <w:shd w:val="clear" w:color="auto" w:fill="FFFFFF"/>
        </w:rPr>
        <w:t xml:space="preserve"> a modelling procedure is required to estimate these expenditures and the modelling is either based on a </w:t>
      </w:r>
      <w:r w:rsidRPr="00BE15B8">
        <w:rPr>
          <w:rFonts w:asciiTheme="minorHAnsi" w:hAnsiTheme="minorHAnsi"/>
          <w:i/>
          <w:color w:val="000000"/>
          <w:sz w:val="24"/>
          <w:szCs w:val="24"/>
          <w:shd w:val="clear" w:color="auto" w:fill="FFFFFF"/>
        </w:rPr>
        <w:t>top down</w:t>
      </w:r>
      <w:r w:rsidRPr="00BE15B8">
        <w:rPr>
          <w:rFonts w:asciiTheme="minorHAnsi" w:hAnsiTheme="minorHAnsi"/>
          <w:color w:val="000000"/>
          <w:sz w:val="24"/>
          <w:szCs w:val="24"/>
          <w:shd w:val="clear" w:color="auto" w:fill="FFFFFF"/>
        </w:rPr>
        <w:t xml:space="preserve"> or </w:t>
      </w:r>
      <w:r w:rsidRPr="00BE15B8">
        <w:rPr>
          <w:rFonts w:asciiTheme="minorHAnsi" w:hAnsiTheme="minorHAnsi"/>
          <w:i/>
          <w:color w:val="000000"/>
          <w:sz w:val="24"/>
          <w:szCs w:val="24"/>
          <w:shd w:val="clear" w:color="auto" w:fill="FFFFFF"/>
        </w:rPr>
        <w:t>bottom up</w:t>
      </w:r>
      <w:r w:rsidRPr="00BE15B8">
        <w:rPr>
          <w:rFonts w:asciiTheme="minorHAnsi" w:hAnsiTheme="minorHAnsi"/>
          <w:color w:val="000000"/>
          <w:sz w:val="24"/>
          <w:szCs w:val="24"/>
          <w:shd w:val="clear" w:color="auto" w:fill="FFFFFF"/>
        </w:rPr>
        <w:t xml:space="preserve"> approach. Frequently, these estimates require the use of activity data to elaborate estimates (ex: number of crime offenses, offenders, criminal cases, prisoners, etc.). </w:t>
      </w:r>
    </w:p>
    <w:p w:rsidR="006944FA" w:rsidRPr="00BE15B8" w:rsidRDefault="006944FA" w:rsidP="006944FA">
      <w:pPr>
        <w:spacing w:after="0"/>
        <w:jc w:val="both"/>
        <w:rPr>
          <w:rFonts w:asciiTheme="minorHAnsi" w:hAnsiTheme="minorHAnsi"/>
          <w:color w:val="000000"/>
          <w:sz w:val="24"/>
          <w:szCs w:val="24"/>
          <w:shd w:val="clear" w:color="auto" w:fill="FFFFFF"/>
        </w:rPr>
      </w:pPr>
    </w:p>
    <w:p w:rsidR="006944FA" w:rsidRPr="00FA1616" w:rsidRDefault="006944FA" w:rsidP="00834375">
      <w:pPr>
        <w:spacing w:after="0"/>
        <w:jc w:val="both"/>
        <w:rPr>
          <w:rFonts w:asciiTheme="minorHAnsi" w:hAnsiTheme="minorHAnsi"/>
          <w:color w:val="000000"/>
          <w:sz w:val="24"/>
          <w:szCs w:val="24"/>
          <w:u w:val="single"/>
          <w:shd w:val="clear" w:color="auto" w:fill="FFFFFF"/>
        </w:rPr>
      </w:pPr>
      <w:r w:rsidRPr="00FA1616">
        <w:rPr>
          <w:rFonts w:asciiTheme="minorHAnsi" w:hAnsiTheme="minorHAnsi"/>
          <w:i/>
          <w:sz w:val="24"/>
          <w:szCs w:val="24"/>
          <w:u w:val="single"/>
        </w:rPr>
        <w:t>Modelling unlabelled expenditure</w:t>
      </w: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w:t>
      </w:r>
      <w:r w:rsidRPr="00BE15B8">
        <w:rPr>
          <w:rFonts w:asciiTheme="minorHAnsi" w:hAnsiTheme="minorHAnsi"/>
          <w:i/>
          <w:sz w:val="24"/>
          <w:szCs w:val="24"/>
        </w:rPr>
        <w:t>top-down modelling approach</w:t>
      </w:r>
      <w:r w:rsidRPr="00BE15B8">
        <w:rPr>
          <w:rFonts w:asciiTheme="minorHAnsi" w:hAnsiTheme="minorHAnsi"/>
          <w:sz w:val="24"/>
          <w:szCs w:val="24"/>
        </w:rPr>
        <w:t xml:space="preserve"> is mainly used when the data available on drug-related expenditure are embedded in programmes with broader goals and the fraction attributable to drugs is possible to disentangle</w:t>
      </w:r>
      <w:r w:rsidR="003326C6">
        <w:rPr>
          <w:rFonts w:asciiTheme="minorHAnsi" w:hAnsiTheme="minorHAnsi"/>
          <w:sz w:val="24"/>
          <w:szCs w:val="24"/>
        </w:rPr>
        <w:t xml:space="preserve"> </w:t>
      </w:r>
      <w:r w:rsidR="0072251A">
        <w:rPr>
          <w:rFonts w:asciiTheme="minorHAnsi" w:hAnsiTheme="minorHAnsi"/>
          <w:sz w:val="24"/>
          <w:szCs w:val="24"/>
        </w:rPr>
        <w:t xml:space="preserve">as </w:t>
      </w:r>
      <w:r w:rsidR="00F346F2">
        <w:rPr>
          <w:rFonts w:asciiTheme="minorHAnsi" w:hAnsiTheme="minorHAnsi"/>
          <w:sz w:val="24"/>
          <w:szCs w:val="24"/>
        </w:rPr>
        <w:t>the</w:t>
      </w:r>
      <w:r w:rsidR="003326C6">
        <w:rPr>
          <w:rFonts w:asciiTheme="minorHAnsi" w:hAnsiTheme="minorHAnsi"/>
          <w:sz w:val="24"/>
          <w:szCs w:val="24"/>
        </w:rPr>
        <w:t xml:space="preserve"> proportion </w:t>
      </w:r>
      <w:r w:rsidR="00F346F2">
        <w:rPr>
          <w:rFonts w:asciiTheme="minorHAnsi" w:hAnsiTheme="minorHAnsi"/>
          <w:sz w:val="24"/>
          <w:szCs w:val="24"/>
        </w:rPr>
        <w:t>of the overall budget spent</w:t>
      </w:r>
      <w:r w:rsidR="003326C6">
        <w:rPr>
          <w:rFonts w:asciiTheme="minorHAnsi" w:hAnsiTheme="minorHAnsi"/>
          <w:sz w:val="24"/>
          <w:szCs w:val="24"/>
        </w:rPr>
        <w:t xml:space="preserve"> </w:t>
      </w:r>
      <w:r w:rsidR="00F346F2">
        <w:rPr>
          <w:rFonts w:asciiTheme="minorHAnsi" w:hAnsiTheme="minorHAnsi"/>
          <w:sz w:val="24"/>
          <w:szCs w:val="24"/>
        </w:rPr>
        <w:t xml:space="preserve">on </w:t>
      </w:r>
      <w:r w:rsidR="003326C6">
        <w:rPr>
          <w:rFonts w:asciiTheme="minorHAnsi" w:hAnsiTheme="minorHAnsi"/>
          <w:sz w:val="24"/>
          <w:szCs w:val="24"/>
        </w:rPr>
        <w:t>tackling the illicit drug phenomena</w:t>
      </w:r>
      <w:r w:rsidRPr="00BE15B8">
        <w:rPr>
          <w:rFonts w:asciiTheme="minorHAnsi" w:hAnsiTheme="minorHAnsi"/>
          <w:sz w:val="24"/>
          <w:szCs w:val="24"/>
        </w:rPr>
        <w:t>. In order to identify th</w:t>
      </w:r>
      <w:r w:rsidR="00F346F2">
        <w:rPr>
          <w:rFonts w:asciiTheme="minorHAnsi" w:hAnsiTheme="minorHAnsi"/>
          <w:sz w:val="24"/>
          <w:szCs w:val="24"/>
        </w:rPr>
        <w:t xml:space="preserve">is proportion, </w:t>
      </w:r>
      <w:r w:rsidRPr="00BE15B8">
        <w:rPr>
          <w:rFonts w:asciiTheme="minorHAnsi" w:hAnsiTheme="minorHAnsi"/>
          <w:sz w:val="24"/>
          <w:szCs w:val="24"/>
        </w:rPr>
        <w:t xml:space="preserve">models define objective criteria </w:t>
      </w:r>
      <w:r w:rsidR="00F346F2">
        <w:rPr>
          <w:rFonts w:asciiTheme="minorHAnsi" w:hAnsiTheme="minorHAnsi"/>
          <w:sz w:val="24"/>
          <w:szCs w:val="24"/>
        </w:rPr>
        <w:t>and</w:t>
      </w:r>
      <w:r w:rsidR="00F346F2" w:rsidRPr="00BE15B8">
        <w:rPr>
          <w:rFonts w:asciiTheme="minorHAnsi" w:hAnsiTheme="minorHAnsi"/>
          <w:sz w:val="24"/>
          <w:szCs w:val="24"/>
        </w:rPr>
        <w:t xml:space="preserve"> </w:t>
      </w:r>
      <w:r w:rsidR="0072251A">
        <w:rPr>
          <w:rFonts w:asciiTheme="minorHAnsi" w:hAnsiTheme="minorHAnsi"/>
          <w:sz w:val="24"/>
          <w:szCs w:val="24"/>
        </w:rPr>
        <w:t>calculate</w:t>
      </w:r>
      <w:r w:rsidR="0072251A" w:rsidRPr="00BE15B8">
        <w:rPr>
          <w:rFonts w:asciiTheme="minorHAnsi" w:hAnsiTheme="minorHAnsi"/>
          <w:sz w:val="24"/>
          <w:szCs w:val="24"/>
        </w:rPr>
        <w:t xml:space="preserve"> </w:t>
      </w:r>
      <w:r w:rsidR="00215D7E" w:rsidRPr="00BE15B8">
        <w:rPr>
          <w:rFonts w:asciiTheme="minorHAnsi" w:hAnsiTheme="minorHAnsi"/>
          <w:sz w:val="24"/>
          <w:szCs w:val="24"/>
        </w:rPr>
        <w:t>attributable fractions</w:t>
      </w:r>
      <w:r w:rsidRPr="00BE15B8">
        <w:rPr>
          <w:rFonts w:asciiTheme="minorHAnsi" w:hAnsiTheme="minorHAnsi"/>
          <w:sz w:val="24"/>
          <w:szCs w:val="24"/>
        </w:rPr>
        <w:t xml:space="preserve">. These models </w:t>
      </w:r>
      <w:r w:rsidR="00F50EE5" w:rsidRPr="00BE15B8">
        <w:rPr>
          <w:rFonts w:asciiTheme="minorHAnsi" w:hAnsiTheme="minorHAnsi"/>
          <w:sz w:val="24"/>
          <w:szCs w:val="24"/>
        </w:rPr>
        <w:t>estimate</w:t>
      </w:r>
      <w:r w:rsidRPr="00BE15B8">
        <w:rPr>
          <w:rFonts w:asciiTheme="minorHAnsi" w:hAnsiTheme="minorHAnsi"/>
          <w:sz w:val="24"/>
          <w:szCs w:val="24"/>
        </w:rPr>
        <w:t xml:space="preserve"> the fraction </w:t>
      </w:r>
      <w:r w:rsidR="00F50EE5" w:rsidRPr="00BE15B8">
        <w:rPr>
          <w:rFonts w:asciiTheme="minorHAnsi" w:hAnsiTheme="minorHAnsi"/>
          <w:sz w:val="24"/>
          <w:szCs w:val="24"/>
        </w:rPr>
        <w:t>of</w:t>
      </w:r>
      <w:r w:rsidRPr="00BE15B8">
        <w:rPr>
          <w:rFonts w:asciiTheme="minorHAnsi" w:hAnsiTheme="minorHAnsi"/>
          <w:sz w:val="24"/>
          <w:szCs w:val="24"/>
        </w:rPr>
        <w:t xml:space="preserve"> drug-related spending </w:t>
      </w:r>
      <w:r w:rsidR="00F50EE5" w:rsidRPr="00BE15B8">
        <w:rPr>
          <w:rFonts w:asciiTheme="minorHAnsi" w:hAnsiTheme="minorHAnsi"/>
          <w:sz w:val="24"/>
          <w:szCs w:val="24"/>
        </w:rPr>
        <w:t>from</w:t>
      </w:r>
      <w:r w:rsidRPr="00BE15B8">
        <w:rPr>
          <w:rFonts w:asciiTheme="minorHAnsi" w:hAnsiTheme="minorHAnsi"/>
          <w:sz w:val="24"/>
          <w:szCs w:val="24"/>
        </w:rPr>
        <w:t xml:space="preserve"> the broader budget.</w:t>
      </w:r>
    </w:p>
    <w:p w:rsidR="006944FA" w:rsidRPr="00BE15B8" w:rsidRDefault="006944FA" w:rsidP="006944FA">
      <w:pPr>
        <w:spacing w:after="0"/>
        <w:jc w:val="both"/>
        <w:rPr>
          <w:rFonts w:asciiTheme="minorHAnsi" w:hAnsiTheme="minorHAnsi"/>
          <w:color w:val="000000"/>
          <w:sz w:val="24"/>
          <w:szCs w:val="24"/>
          <w:shd w:val="clear" w:color="auto" w:fill="FFFFFF"/>
        </w:rPr>
      </w:pPr>
    </w:p>
    <w:p w:rsidR="006944FA" w:rsidRPr="00BE15B8" w:rsidRDefault="006944FA" w:rsidP="006944FA">
      <w:pPr>
        <w:spacing w:after="0"/>
        <w:jc w:val="center"/>
        <w:rPr>
          <w:rFonts w:asciiTheme="minorHAnsi" w:hAnsiTheme="minorHAnsi"/>
          <w:i/>
        </w:rPr>
      </w:pPr>
      <w:r w:rsidRPr="00BE15B8">
        <w:rPr>
          <w:rFonts w:asciiTheme="minorHAnsi" w:hAnsiTheme="minorHAnsi"/>
          <w:i/>
          <w:color w:val="000000"/>
          <w:sz w:val="24"/>
          <w:szCs w:val="24"/>
          <w:shd w:val="clear" w:color="auto" w:fill="FFFFFF"/>
        </w:rPr>
        <w:t xml:space="preserve">Unlabelled drug-related </w:t>
      </w:r>
      <w:r w:rsidR="001B3E37" w:rsidRPr="00BE15B8">
        <w:rPr>
          <w:rFonts w:asciiTheme="minorHAnsi" w:hAnsiTheme="minorHAnsi"/>
          <w:i/>
          <w:color w:val="000000"/>
          <w:sz w:val="24"/>
          <w:szCs w:val="24"/>
          <w:shd w:val="clear" w:color="auto" w:fill="FFFFFF"/>
        </w:rPr>
        <w:t xml:space="preserve">expenditure </w:t>
      </w:r>
      <w:r w:rsidRPr="00BE15B8">
        <w:rPr>
          <w:rFonts w:asciiTheme="minorHAnsi" w:hAnsiTheme="minorHAnsi"/>
          <w:i/>
          <w:color w:val="000000"/>
          <w:sz w:val="24"/>
          <w:szCs w:val="24"/>
          <w:shd w:val="clear" w:color="auto" w:fill="FFFFFF"/>
        </w:rPr>
        <w:t xml:space="preserve">= Overall </w:t>
      </w:r>
      <w:r w:rsidR="001B3E37" w:rsidRPr="00BE15B8">
        <w:rPr>
          <w:rFonts w:asciiTheme="minorHAnsi" w:hAnsiTheme="minorHAnsi"/>
          <w:i/>
          <w:color w:val="000000"/>
          <w:sz w:val="24"/>
          <w:szCs w:val="24"/>
          <w:shd w:val="clear" w:color="auto" w:fill="FFFFFF"/>
        </w:rPr>
        <w:t xml:space="preserve">expenditure </w:t>
      </w:r>
      <w:r w:rsidRPr="00BE15B8">
        <w:rPr>
          <w:rFonts w:asciiTheme="minorHAnsi" w:hAnsiTheme="minorHAnsi"/>
          <w:i/>
          <w:color w:val="000000"/>
          <w:sz w:val="24"/>
          <w:szCs w:val="24"/>
          <w:shd w:val="clear" w:color="auto" w:fill="FFFFFF"/>
        </w:rPr>
        <w:t xml:space="preserve">× Attributable </w:t>
      </w:r>
      <w:r w:rsidR="001B3E37" w:rsidRPr="00BE15B8">
        <w:rPr>
          <w:rFonts w:asciiTheme="minorHAnsi" w:hAnsiTheme="minorHAnsi"/>
          <w:i/>
          <w:color w:val="000000"/>
          <w:sz w:val="24"/>
          <w:szCs w:val="24"/>
          <w:shd w:val="clear" w:color="auto" w:fill="FFFFFF"/>
        </w:rPr>
        <w:t>fraction</w:t>
      </w:r>
    </w:p>
    <w:p w:rsidR="006944FA" w:rsidRPr="00BE15B8" w:rsidRDefault="006944FA" w:rsidP="006944FA">
      <w:pPr>
        <w:spacing w:after="0"/>
        <w:jc w:val="both"/>
        <w:rPr>
          <w:rFonts w:asciiTheme="minorHAnsi" w:hAnsiTheme="minorHAnsi"/>
          <w:sz w:val="24"/>
          <w:szCs w:val="24"/>
        </w:rPr>
      </w:pPr>
    </w:p>
    <w:p w:rsidR="00752FA9" w:rsidRPr="00BE15B8" w:rsidRDefault="006944FA" w:rsidP="00752FA9">
      <w:pPr>
        <w:pStyle w:val="NormalWeb"/>
        <w:kinsoku w:val="0"/>
        <w:overflowPunct w:val="0"/>
        <w:spacing w:before="86"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There is no general methodology to determine</w:t>
      </w:r>
      <w:r w:rsidR="00A6132B" w:rsidRPr="00BE15B8">
        <w:rPr>
          <w:rFonts w:asciiTheme="minorHAnsi" w:hAnsiTheme="minorHAnsi"/>
          <w:lang w:val="en-GB"/>
        </w:rPr>
        <w:t xml:space="preserve"> attributable fractions or</w:t>
      </w:r>
      <w:r w:rsidRPr="00BE15B8">
        <w:rPr>
          <w:rFonts w:asciiTheme="minorHAnsi" w:hAnsiTheme="minorHAnsi"/>
          <w:lang w:val="en-GB"/>
        </w:rPr>
        <w:t xml:space="preserve"> </w:t>
      </w:r>
      <w:r w:rsidR="00A6132B" w:rsidRPr="00BE15B8">
        <w:rPr>
          <w:rFonts w:asciiTheme="minorHAnsi" w:hAnsiTheme="minorHAnsi"/>
          <w:lang w:val="en-GB"/>
        </w:rPr>
        <w:t>“</w:t>
      </w:r>
      <w:r w:rsidRPr="00BE15B8">
        <w:rPr>
          <w:rFonts w:asciiTheme="minorHAnsi" w:hAnsiTheme="minorHAnsi"/>
          <w:lang w:val="en-GB"/>
        </w:rPr>
        <w:t>repartitions keys</w:t>
      </w:r>
      <w:r w:rsidR="00A6132B" w:rsidRPr="00BE15B8">
        <w:rPr>
          <w:rFonts w:asciiTheme="minorHAnsi" w:hAnsiTheme="minorHAnsi"/>
          <w:lang w:val="en-GB"/>
        </w:rPr>
        <w:t>”</w:t>
      </w:r>
      <w:r w:rsidRPr="00BE15B8">
        <w:rPr>
          <w:rFonts w:asciiTheme="minorHAnsi" w:hAnsiTheme="minorHAnsi"/>
          <w:lang w:val="en-GB"/>
        </w:rPr>
        <w:t>. In practice, the appropriate</w:t>
      </w:r>
      <w:r w:rsidRPr="00BE15B8">
        <w:rPr>
          <w:rFonts w:asciiTheme="minorHAnsi" w:hAnsiTheme="minorHAnsi"/>
          <w:i/>
          <w:lang w:val="en-GB"/>
        </w:rPr>
        <w:t xml:space="preserve"> </w:t>
      </w:r>
      <w:r w:rsidRPr="00BE15B8">
        <w:rPr>
          <w:rFonts w:asciiTheme="minorHAnsi" w:hAnsiTheme="minorHAnsi"/>
          <w:lang w:val="en-GB"/>
        </w:rPr>
        <w:t xml:space="preserve">repartition key is determined by the object of estimate, data availability and modelling approaches available. Repartition keys are normally determined in different ways: on the basis of information from activity data, extracted from registration systems, annual reports and/or contacts with the work field (De Ruyver et al., 2007). </w:t>
      </w:r>
      <w:r w:rsidR="00752FA9" w:rsidRPr="00BE15B8">
        <w:rPr>
          <w:rFonts w:asciiTheme="minorHAnsi" w:eastAsiaTheme="minorEastAsia" w:hAnsiTheme="minorHAnsi"/>
          <w:color w:val="000000" w:themeColor="text1"/>
          <w:kern w:val="24"/>
          <w:lang w:val="en-GB"/>
        </w:rPr>
        <w:t>When defining attributable fractions, the data used should preferably be publicly available</w:t>
      </w:r>
      <w:r w:rsidR="00507635">
        <w:rPr>
          <w:rFonts w:asciiTheme="minorHAnsi" w:eastAsiaTheme="minorEastAsia" w:hAnsiTheme="minorHAnsi"/>
          <w:color w:val="000000" w:themeColor="text1"/>
          <w:kern w:val="24"/>
          <w:lang w:val="en-GB"/>
        </w:rPr>
        <w:t xml:space="preserve"> and, even better,</w:t>
      </w:r>
      <w:r w:rsidR="00752FA9" w:rsidRPr="00BE15B8">
        <w:rPr>
          <w:rFonts w:asciiTheme="minorHAnsi" w:eastAsiaTheme="minorEastAsia" w:hAnsiTheme="minorHAnsi"/>
          <w:color w:val="000000" w:themeColor="text1"/>
          <w:kern w:val="24"/>
          <w:lang w:val="en-GB"/>
        </w:rPr>
        <w:t xml:space="preserve"> </w:t>
      </w:r>
      <w:r w:rsidR="000A13D5">
        <w:rPr>
          <w:rFonts w:asciiTheme="minorHAnsi" w:eastAsiaTheme="minorEastAsia" w:hAnsiTheme="minorHAnsi"/>
          <w:color w:val="000000" w:themeColor="text1"/>
          <w:kern w:val="24"/>
          <w:lang w:val="en-GB"/>
        </w:rPr>
        <w:t xml:space="preserve">within </w:t>
      </w:r>
      <w:r w:rsidR="00752FA9" w:rsidRPr="00BE15B8">
        <w:rPr>
          <w:rFonts w:asciiTheme="minorHAnsi" w:eastAsiaTheme="minorEastAsia" w:hAnsiTheme="minorHAnsi"/>
          <w:color w:val="000000" w:themeColor="text1"/>
          <w:kern w:val="24"/>
          <w:lang w:val="en-GB"/>
        </w:rPr>
        <w:t>international databases. This would guarantee possible replications of similar estimates in the years that follow</w:t>
      </w:r>
      <w:r w:rsidR="00E73FEE">
        <w:rPr>
          <w:rFonts w:asciiTheme="minorHAnsi" w:eastAsiaTheme="minorEastAsia" w:hAnsiTheme="minorHAnsi"/>
          <w:color w:val="000000" w:themeColor="text1"/>
          <w:kern w:val="24"/>
          <w:lang w:val="en-GB"/>
        </w:rPr>
        <w:t xml:space="preserve"> and in other countries</w:t>
      </w:r>
      <w:r w:rsidR="00752FA9" w:rsidRPr="00BE15B8">
        <w:rPr>
          <w:rFonts w:asciiTheme="minorHAnsi" w:eastAsiaTheme="minorEastAsia" w:hAnsiTheme="minorHAnsi"/>
          <w:color w:val="000000" w:themeColor="text1"/>
          <w:kern w:val="24"/>
          <w:lang w:val="en-GB"/>
        </w:rPr>
        <w:t xml:space="preserve">. </w:t>
      </w:r>
      <w:r w:rsidR="00581BF7">
        <w:rPr>
          <w:rFonts w:asciiTheme="minorHAnsi" w:eastAsiaTheme="minorEastAsia" w:hAnsiTheme="minorHAnsi"/>
          <w:color w:val="000000" w:themeColor="text1"/>
          <w:kern w:val="24"/>
          <w:lang w:val="en-GB"/>
        </w:rPr>
        <w:t>Appendix 1 briefly</w:t>
      </w:r>
      <w:r w:rsidR="00FA1616">
        <w:rPr>
          <w:rFonts w:asciiTheme="minorHAnsi" w:eastAsiaTheme="minorEastAsia" w:hAnsiTheme="minorHAnsi"/>
          <w:color w:val="000000" w:themeColor="text1"/>
          <w:kern w:val="24"/>
          <w:lang w:val="en-GB"/>
        </w:rPr>
        <w:t xml:space="preserve"> present</w:t>
      </w:r>
      <w:r w:rsidR="00581BF7">
        <w:rPr>
          <w:rFonts w:asciiTheme="minorHAnsi" w:eastAsiaTheme="minorEastAsia" w:hAnsiTheme="minorHAnsi"/>
          <w:color w:val="000000" w:themeColor="text1"/>
          <w:kern w:val="24"/>
          <w:lang w:val="en-GB"/>
        </w:rPr>
        <w:t xml:space="preserve"> some </w:t>
      </w:r>
      <w:r w:rsidR="002428D9">
        <w:rPr>
          <w:rFonts w:asciiTheme="minorHAnsi" w:eastAsiaTheme="minorEastAsia" w:hAnsiTheme="minorHAnsi"/>
          <w:color w:val="000000" w:themeColor="text1"/>
          <w:kern w:val="24"/>
          <w:lang w:val="en-GB"/>
        </w:rPr>
        <w:t>relevant international databases</w:t>
      </w:r>
      <w:r w:rsidR="00581BF7">
        <w:rPr>
          <w:rFonts w:asciiTheme="minorHAnsi" w:eastAsiaTheme="minorEastAsia" w:hAnsiTheme="minorHAnsi"/>
          <w:color w:val="000000" w:themeColor="text1"/>
          <w:kern w:val="24"/>
          <w:lang w:val="en-GB"/>
        </w:rPr>
        <w:t xml:space="preserve">. </w:t>
      </w:r>
      <w:r w:rsidR="00752FA9" w:rsidRPr="00BE15B8">
        <w:rPr>
          <w:rFonts w:asciiTheme="minorHAnsi" w:eastAsiaTheme="minorEastAsia" w:hAnsiTheme="minorHAnsi"/>
          <w:color w:val="000000" w:themeColor="text1"/>
          <w:kern w:val="24"/>
          <w:lang w:val="en-GB"/>
        </w:rPr>
        <w:t xml:space="preserve">When international sources are not available, publicly available national statistics and data from competent public bodies should be used. </w:t>
      </w:r>
    </w:p>
    <w:p w:rsidR="00752FA9" w:rsidRPr="00BE15B8" w:rsidRDefault="00752FA9" w:rsidP="00752FA9">
      <w:pPr>
        <w:spacing w:after="0"/>
        <w:jc w:val="both"/>
        <w:rPr>
          <w:rFonts w:asciiTheme="minorHAnsi" w:hAnsiTheme="minorHAnsi"/>
          <w:sz w:val="24"/>
          <w:szCs w:val="24"/>
        </w:rPr>
      </w:pPr>
    </w:p>
    <w:p w:rsidR="00A6132B" w:rsidRPr="002428D9" w:rsidRDefault="00834375" w:rsidP="00A6132B">
      <w:pPr>
        <w:shd w:val="clear" w:color="auto" w:fill="FFFFFF"/>
        <w:spacing w:after="0"/>
        <w:jc w:val="both"/>
        <w:textAlignment w:val="baseline"/>
        <w:rPr>
          <w:rFonts w:asciiTheme="minorHAnsi" w:eastAsia="Times New Roman" w:hAnsiTheme="minorHAnsi"/>
          <w:i/>
          <w:sz w:val="24"/>
          <w:szCs w:val="24"/>
          <w:lang w:eastAsia="hr-HR"/>
        </w:rPr>
      </w:pPr>
      <w:r w:rsidRPr="002428D9">
        <w:rPr>
          <w:rFonts w:asciiTheme="minorHAnsi" w:eastAsia="Times New Roman" w:hAnsiTheme="minorHAnsi"/>
          <w:i/>
          <w:sz w:val="24"/>
          <w:szCs w:val="24"/>
          <w:lang w:eastAsia="hr-HR"/>
        </w:rPr>
        <w:t>A</w:t>
      </w:r>
      <w:r w:rsidR="00A6132B" w:rsidRPr="002428D9">
        <w:rPr>
          <w:rFonts w:asciiTheme="minorHAnsi" w:eastAsia="Times New Roman" w:hAnsiTheme="minorHAnsi"/>
          <w:i/>
          <w:sz w:val="24"/>
          <w:szCs w:val="24"/>
          <w:lang w:eastAsia="hr-HR"/>
        </w:rPr>
        <w:t>dvantages of the top-down approach:</w:t>
      </w:r>
    </w:p>
    <w:p w:rsidR="00A6132B" w:rsidRPr="00BE15B8" w:rsidRDefault="00A6132B" w:rsidP="00EB5F81">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Availability of data</w:t>
      </w:r>
      <w:r w:rsidRPr="00BE15B8">
        <w:rPr>
          <w:rFonts w:asciiTheme="minorHAnsi" w:eastAsia="Times New Roman" w:hAnsiTheme="minorHAnsi"/>
          <w:sz w:val="24"/>
          <w:szCs w:val="24"/>
          <w:lang w:eastAsia="hr-HR"/>
        </w:rPr>
        <w:t>: the availability of aggregated budgetary data means that top-down approaches can be applied easily</w:t>
      </w:r>
      <w:r w:rsidR="00E73FEE">
        <w:rPr>
          <w:rFonts w:asciiTheme="minorHAnsi" w:eastAsia="Times New Roman" w:hAnsiTheme="minorHAnsi"/>
          <w:sz w:val="24"/>
          <w:szCs w:val="24"/>
          <w:lang w:eastAsia="hr-HR"/>
        </w:rPr>
        <w:t>;</w:t>
      </w:r>
    </w:p>
    <w:p w:rsidR="00A6132B" w:rsidRPr="00BE15B8"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Low cost</w:t>
      </w:r>
      <w:r w:rsidRPr="00BE15B8">
        <w:rPr>
          <w:rFonts w:asciiTheme="minorHAnsi" w:eastAsia="Times New Roman" w:hAnsiTheme="minorHAnsi"/>
          <w:sz w:val="24"/>
          <w:szCs w:val="24"/>
          <w:lang w:eastAsia="hr-HR"/>
        </w:rPr>
        <w:t xml:space="preserve">: the availability of aggregate cost data means that the time and costs required to estimate a top-down unit cost </w:t>
      </w:r>
      <w:r w:rsidR="00EB5F81" w:rsidRPr="00BE15B8">
        <w:rPr>
          <w:rFonts w:asciiTheme="minorHAnsi" w:eastAsia="Times New Roman" w:hAnsiTheme="minorHAnsi"/>
          <w:sz w:val="24"/>
          <w:szCs w:val="24"/>
          <w:lang w:eastAsia="hr-HR"/>
        </w:rPr>
        <w:t>can be reduced</w:t>
      </w:r>
      <w:r w:rsidR="00E73FEE">
        <w:rPr>
          <w:rFonts w:asciiTheme="minorHAnsi" w:eastAsia="Times New Roman" w:hAnsiTheme="minorHAnsi"/>
          <w:sz w:val="24"/>
          <w:szCs w:val="24"/>
          <w:lang w:eastAsia="hr-HR"/>
        </w:rPr>
        <w:t>;</w:t>
      </w:r>
    </w:p>
    <w:p w:rsidR="00A6132B" w:rsidRPr="00BE15B8" w:rsidRDefault="00A6132B" w:rsidP="00A6132B">
      <w:pPr>
        <w:numPr>
          <w:ilvl w:val="0"/>
          <w:numId w:val="1"/>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 xml:space="preserve">Versatility: </w:t>
      </w:r>
      <w:r w:rsidRPr="00BE15B8">
        <w:rPr>
          <w:rFonts w:asciiTheme="minorHAnsi" w:eastAsia="Times New Roman" w:hAnsiTheme="minorHAnsi"/>
          <w:sz w:val="24"/>
          <w:szCs w:val="24"/>
          <w:lang w:eastAsia="hr-HR"/>
        </w:rPr>
        <w:t>the methodology enables a</w:t>
      </w:r>
      <w:r w:rsidR="00EB5F81" w:rsidRPr="00BE15B8">
        <w:rPr>
          <w:rFonts w:asciiTheme="minorHAnsi" w:eastAsia="Times New Roman" w:hAnsiTheme="minorHAnsi"/>
          <w:sz w:val="24"/>
          <w:szCs w:val="24"/>
          <w:lang w:eastAsia="hr-HR"/>
        </w:rPr>
        <w:t>n analyst</w:t>
      </w:r>
      <w:r w:rsidRPr="00BE15B8">
        <w:rPr>
          <w:rFonts w:asciiTheme="minorHAnsi" w:eastAsia="Times New Roman" w:hAnsiTheme="minorHAnsi"/>
          <w:sz w:val="24"/>
          <w:szCs w:val="24"/>
          <w:lang w:eastAsia="hr-HR"/>
        </w:rPr>
        <w:t xml:space="preserve"> to forecast how costs may change as a result of a reduction</w:t>
      </w:r>
      <w:r w:rsidR="00AA1A07">
        <w:rPr>
          <w:rFonts w:asciiTheme="minorHAnsi" w:eastAsia="Times New Roman" w:hAnsiTheme="minorHAnsi"/>
          <w:sz w:val="24"/>
          <w:szCs w:val="24"/>
          <w:lang w:eastAsia="hr-HR"/>
        </w:rPr>
        <w:t>/increase</w:t>
      </w:r>
      <w:r w:rsidRPr="00BE15B8">
        <w:rPr>
          <w:rFonts w:asciiTheme="minorHAnsi" w:eastAsia="Times New Roman" w:hAnsiTheme="minorHAnsi"/>
          <w:sz w:val="24"/>
          <w:szCs w:val="24"/>
          <w:lang w:eastAsia="hr-HR"/>
        </w:rPr>
        <w:t xml:space="preserve"> in service usage</w:t>
      </w:r>
      <w:r w:rsidR="00AA1A07">
        <w:rPr>
          <w:rFonts w:asciiTheme="minorHAnsi" w:eastAsia="Times New Roman" w:hAnsiTheme="minorHAnsi"/>
          <w:sz w:val="24"/>
          <w:szCs w:val="24"/>
          <w:lang w:eastAsia="hr-HR"/>
        </w:rPr>
        <w:t xml:space="preserve"> (for instance, as in the case that there are less/more than expected drug-related crimes committed in a certain year)</w:t>
      </w:r>
      <w:r w:rsidRPr="00BE15B8">
        <w:rPr>
          <w:rFonts w:asciiTheme="minorHAnsi" w:eastAsia="Times New Roman" w:hAnsiTheme="minorHAnsi"/>
          <w:sz w:val="24"/>
          <w:szCs w:val="24"/>
          <w:lang w:eastAsia="hr-HR"/>
        </w:rPr>
        <w:t xml:space="preserve"> and how these costs change over time.</w:t>
      </w:r>
    </w:p>
    <w:p w:rsidR="00A6132B" w:rsidRPr="00BE15B8" w:rsidRDefault="00A6132B" w:rsidP="00A6132B">
      <w:pPr>
        <w:spacing w:after="0"/>
        <w:jc w:val="both"/>
        <w:rPr>
          <w:rFonts w:asciiTheme="minorHAnsi" w:hAnsiTheme="minorHAnsi"/>
          <w:sz w:val="24"/>
          <w:szCs w:val="24"/>
        </w:rPr>
      </w:pPr>
    </w:p>
    <w:p w:rsidR="00A6132B" w:rsidRPr="00BE15B8" w:rsidRDefault="00A6132B" w:rsidP="00A6132B">
      <w:pPr>
        <w:spacing w:after="0"/>
        <w:jc w:val="both"/>
        <w:rPr>
          <w:rFonts w:asciiTheme="minorHAnsi" w:hAnsiTheme="minorHAnsi"/>
          <w:sz w:val="24"/>
          <w:szCs w:val="24"/>
        </w:rPr>
      </w:pPr>
      <w:r w:rsidRPr="00BE15B8">
        <w:rPr>
          <w:rFonts w:asciiTheme="minorHAnsi" w:hAnsiTheme="minorHAnsi"/>
          <w:sz w:val="24"/>
          <w:szCs w:val="24"/>
          <w:shd w:val="clear" w:color="auto" w:fill="FFFFFF"/>
        </w:rPr>
        <w:t xml:space="preserve">There are, however, some limitations associated with a top-down approach. First, it does not </w:t>
      </w:r>
      <w:r w:rsidR="00056BAC" w:rsidRPr="00BE15B8">
        <w:rPr>
          <w:rFonts w:asciiTheme="minorHAnsi" w:hAnsiTheme="minorHAnsi"/>
          <w:sz w:val="24"/>
          <w:szCs w:val="24"/>
          <w:shd w:val="clear" w:color="auto" w:fill="FFFFFF"/>
        </w:rPr>
        <w:t xml:space="preserve">clearly </w:t>
      </w:r>
      <w:r w:rsidRPr="00BE15B8">
        <w:rPr>
          <w:rFonts w:asciiTheme="minorHAnsi" w:hAnsiTheme="minorHAnsi"/>
          <w:sz w:val="24"/>
          <w:szCs w:val="24"/>
          <w:shd w:val="clear" w:color="auto" w:fill="FFFFFF"/>
        </w:rPr>
        <w:t xml:space="preserve">identify </w:t>
      </w:r>
      <w:r w:rsidR="00056BAC" w:rsidRPr="00BE15B8">
        <w:rPr>
          <w:rFonts w:asciiTheme="minorHAnsi" w:hAnsiTheme="minorHAnsi"/>
          <w:sz w:val="24"/>
          <w:szCs w:val="24"/>
          <w:shd w:val="clear" w:color="auto" w:fill="FFFFFF"/>
        </w:rPr>
        <w:t xml:space="preserve">different factors which may </w:t>
      </w:r>
      <w:r w:rsidRPr="00BE15B8">
        <w:rPr>
          <w:rFonts w:asciiTheme="minorHAnsi" w:hAnsiTheme="minorHAnsi"/>
          <w:sz w:val="24"/>
          <w:szCs w:val="24"/>
          <w:shd w:val="clear" w:color="auto" w:fill="FFFFFF"/>
        </w:rPr>
        <w:t xml:space="preserve">drive </w:t>
      </w:r>
      <w:r w:rsidR="002428D9">
        <w:rPr>
          <w:rFonts w:asciiTheme="minorHAnsi" w:hAnsiTheme="minorHAnsi"/>
          <w:sz w:val="24"/>
          <w:szCs w:val="24"/>
          <w:shd w:val="clear" w:color="auto" w:fill="FFFFFF"/>
        </w:rPr>
        <w:t xml:space="preserve">the </w:t>
      </w:r>
      <w:r w:rsidRPr="00BE15B8">
        <w:rPr>
          <w:rFonts w:asciiTheme="minorHAnsi" w:hAnsiTheme="minorHAnsi"/>
          <w:sz w:val="24"/>
          <w:szCs w:val="24"/>
          <w:shd w:val="clear" w:color="auto" w:fill="FFFFFF"/>
        </w:rPr>
        <w:t xml:space="preserve">costs and therefore often masks the underlying factors that determine why unit costs vary within a single, yet heterogeneous, group of service. The criteria defined for estimating attributable fractions do not always take into account all characteristics that may impact </w:t>
      </w:r>
      <w:r w:rsidR="002428D9">
        <w:rPr>
          <w:rFonts w:asciiTheme="minorHAnsi" w:hAnsiTheme="minorHAnsi"/>
          <w:sz w:val="24"/>
          <w:szCs w:val="24"/>
          <w:shd w:val="clear" w:color="auto" w:fill="FFFFFF"/>
        </w:rPr>
        <w:t xml:space="preserve">on </w:t>
      </w:r>
      <w:r w:rsidRPr="00BE15B8">
        <w:rPr>
          <w:rFonts w:asciiTheme="minorHAnsi" w:hAnsiTheme="minorHAnsi"/>
          <w:sz w:val="24"/>
          <w:szCs w:val="24"/>
          <w:shd w:val="clear" w:color="auto" w:fill="FFFFFF"/>
        </w:rPr>
        <w:t xml:space="preserve">total costs, </w:t>
      </w:r>
      <w:r w:rsidR="00EB5F81" w:rsidRPr="00BE15B8">
        <w:rPr>
          <w:rFonts w:asciiTheme="minorHAnsi" w:hAnsiTheme="minorHAnsi"/>
          <w:sz w:val="24"/>
          <w:szCs w:val="24"/>
          <w:shd w:val="clear" w:color="auto" w:fill="FFFFFF"/>
        </w:rPr>
        <w:t xml:space="preserve">i.e. </w:t>
      </w:r>
      <w:r w:rsidRPr="00BE15B8">
        <w:rPr>
          <w:rFonts w:asciiTheme="minorHAnsi" w:hAnsiTheme="minorHAnsi"/>
          <w:sz w:val="24"/>
          <w:szCs w:val="24"/>
          <w:shd w:val="clear" w:color="auto" w:fill="FFFFFF"/>
        </w:rPr>
        <w:t>simplifying costs functions</w:t>
      </w:r>
      <w:r w:rsidR="00EB5F81" w:rsidRPr="00BE15B8">
        <w:rPr>
          <w:rFonts w:asciiTheme="minorHAnsi" w:hAnsiTheme="minorHAnsi"/>
          <w:sz w:val="24"/>
          <w:szCs w:val="24"/>
          <w:shd w:val="clear" w:color="auto" w:fill="FFFFFF"/>
        </w:rPr>
        <w:t xml:space="preserve"> are often employed</w:t>
      </w:r>
      <w:r w:rsidRPr="00BE15B8">
        <w:rPr>
          <w:rFonts w:asciiTheme="minorHAnsi" w:hAnsiTheme="minorHAnsi"/>
          <w:sz w:val="24"/>
          <w:szCs w:val="24"/>
          <w:shd w:val="clear" w:color="auto" w:fill="FFFFFF"/>
        </w:rPr>
        <w:t xml:space="preserve">. Therefore, these estimates are </w:t>
      </w:r>
      <w:r w:rsidR="00001C34" w:rsidRPr="00BE15B8">
        <w:rPr>
          <w:rFonts w:asciiTheme="minorHAnsi" w:hAnsiTheme="minorHAnsi"/>
          <w:sz w:val="24"/>
          <w:szCs w:val="24"/>
          <w:shd w:val="clear" w:color="auto" w:fill="FFFFFF"/>
        </w:rPr>
        <w:t>often</w:t>
      </w:r>
      <w:r w:rsidRPr="00BE15B8">
        <w:rPr>
          <w:rFonts w:asciiTheme="minorHAnsi" w:hAnsiTheme="minorHAnsi"/>
          <w:sz w:val="24"/>
          <w:szCs w:val="24"/>
          <w:shd w:val="clear" w:color="auto" w:fill="FFFFFF"/>
        </w:rPr>
        <w:t xml:space="preserve"> not </w:t>
      </w:r>
      <w:r w:rsidR="00001C34" w:rsidRPr="00BE15B8">
        <w:rPr>
          <w:rFonts w:asciiTheme="minorHAnsi" w:hAnsiTheme="minorHAnsi"/>
          <w:sz w:val="24"/>
          <w:szCs w:val="24"/>
          <w:shd w:val="clear" w:color="auto" w:fill="FFFFFF"/>
        </w:rPr>
        <w:t>very precise</w:t>
      </w:r>
      <w:r w:rsidRPr="00BE15B8">
        <w:rPr>
          <w:rFonts w:asciiTheme="minorHAnsi" w:hAnsiTheme="minorHAnsi"/>
          <w:sz w:val="24"/>
          <w:szCs w:val="24"/>
          <w:shd w:val="clear" w:color="auto" w:fill="FFFFFF"/>
        </w:rPr>
        <w:t xml:space="preserve">. Nevertheless, they are frequently used and provide valuable proxy indicators for average costs. </w:t>
      </w:r>
    </w:p>
    <w:p w:rsidR="00A6132B" w:rsidRPr="00BE15B8" w:rsidRDefault="00A6132B"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An alternative method to estimate drug-related expenditures is to base estimates on the costs of providing one unit of public service, i.e, the </w:t>
      </w:r>
      <w:r w:rsidRPr="00BE15B8">
        <w:rPr>
          <w:rFonts w:asciiTheme="minorHAnsi" w:hAnsiTheme="minorHAnsi"/>
          <w:i/>
          <w:sz w:val="24"/>
          <w:szCs w:val="24"/>
        </w:rPr>
        <w:t>bottom-up modelling method</w:t>
      </w:r>
      <w:r w:rsidRPr="00BE15B8">
        <w:rPr>
          <w:rFonts w:asciiTheme="minorHAnsi" w:hAnsiTheme="minorHAnsi"/>
          <w:sz w:val="24"/>
          <w:szCs w:val="24"/>
        </w:rPr>
        <w:t xml:space="preserve">. This modelling approach starts by detailing how much it costs to provide one unit of service or intervention. For instance, how much does it cost to keep one drug-law offender in prison? Taking into account the different costs borne by the government for running a prison, such as the real costs of state property, prison staff, electricity, water and gas, machinery, etc, it is possible to estimate how much each detainee costs, per day. This sum can then be multiplied by the number of </w:t>
      </w:r>
      <w:r w:rsidR="00EB5F81" w:rsidRPr="00BE15B8">
        <w:rPr>
          <w:rFonts w:asciiTheme="minorHAnsi" w:hAnsiTheme="minorHAnsi"/>
          <w:sz w:val="24"/>
          <w:szCs w:val="24"/>
        </w:rPr>
        <w:t xml:space="preserve">drug-related </w:t>
      </w:r>
      <w:r w:rsidRPr="00BE15B8">
        <w:rPr>
          <w:rFonts w:asciiTheme="minorHAnsi" w:hAnsiTheme="minorHAnsi"/>
          <w:sz w:val="24"/>
          <w:szCs w:val="24"/>
        </w:rPr>
        <w:t xml:space="preserve">detainees, considering the different costs that each type of detainees may encompass, as the different lengths in prison, different security levels, etc. To get the total expenditure of drug control policy, all cost elements should be identified and summed. </w:t>
      </w:r>
    </w:p>
    <w:p w:rsidR="006944FA" w:rsidRPr="00BE15B8" w:rsidRDefault="006944FA" w:rsidP="006944FA">
      <w:pPr>
        <w:spacing w:after="0"/>
        <w:jc w:val="both"/>
        <w:rPr>
          <w:rFonts w:asciiTheme="minorHAnsi" w:hAnsiTheme="minorHAnsi"/>
          <w:sz w:val="24"/>
          <w:szCs w:val="24"/>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 xml:space="preserve">The bottom-up method is particularly appealing when relevant unit costs are readily available. If, on the other hand, every type and element of the drug policy has to be separately estimated, the approach can be demanding and challenging. </w:t>
      </w:r>
    </w:p>
    <w:p w:rsidR="006944FA" w:rsidRPr="00BE15B8" w:rsidRDefault="006944FA" w:rsidP="006944FA">
      <w:pPr>
        <w:shd w:val="clear" w:color="auto" w:fill="FFFFFF"/>
        <w:spacing w:after="0"/>
        <w:jc w:val="both"/>
        <w:textAlignment w:val="baseline"/>
        <w:rPr>
          <w:rFonts w:asciiTheme="minorHAnsi" w:eastAsia="Times New Roman" w:hAnsiTheme="minorHAnsi"/>
          <w:sz w:val="24"/>
          <w:szCs w:val="24"/>
          <w:lang w:eastAsia="hr-HR"/>
        </w:rPr>
      </w:pPr>
    </w:p>
    <w:p w:rsidR="006944FA" w:rsidRPr="002428D9" w:rsidRDefault="00834375" w:rsidP="009A7B47">
      <w:pPr>
        <w:pStyle w:val="NormalWeb"/>
        <w:kinsoku w:val="0"/>
        <w:overflowPunct w:val="0"/>
        <w:spacing w:before="0" w:beforeAutospacing="0" w:after="0" w:afterAutospacing="0" w:line="276" w:lineRule="auto"/>
        <w:jc w:val="both"/>
        <w:textAlignment w:val="baseline"/>
        <w:rPr>
          <w:rFonts w:asciiTheme="minorHAnsi" w:eastAsiaTheme="minorEastAsia" w:hAnsiTheme="minorHAnsi"/>
          <w:i/>
          <w:color w:val="000000" w:themeColor="text1"/>
          <w:kern w:val="24"/>
        </w:rPr>
      </w:pPr>
      <w:r w:rsidRPr="002428D9">
        <w:rPr>
          <w:rFonts w:asciiTheme="minorHAnsi" w:eastAsiaTheme="minorEastAsia" w:hAnsiTheme="minorHAnsi"/>
          <w:i/>
          <w:color w:val="000000" w:themeColor="text1"/>
          <w:kern w:val="24"/>
          <w:lang w:val="en-GB"/>
        </w:rPr>
        <w:t>A</w:t>
      </w:r>
      <w:r w:rsidR="006944FA" w:rsidRPr="002428D9">
        <w:rPr>
          <w:rFonts w:asciiTheme="minorHAnsi" w:eastAsiaTheme="minorEastAsia" w:hAnsiTheme="minorHAnsi"/>
          <w:i/>
          <w:color w:val="000000" w:themeColor="text1"/>
          <w:kern w:val="24"/>
          <w:lang w:val="en-GB"/>
        </w:rPr>
        <w:t>dvantages of using a bottom-up approach:</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Transparency</w:t>
      </w:r>
      <w:r w:rsidRPr="00BE15B8">
        <w:rPr>
          <w:rFonts w:asciiTheme="minorHAnsi" w:eastAsia="Times New Roman" w:hAnsiTheme="minorHAnsi"/>
          <w:sz w:val="24"/>
          <w:szCs w:val="24"/>
          <w:lang w:eastAsia="hr-HR"/>
        </w:rPr>
        <w:t>: detailed cost data allows potential errors to be investigated and their impact tested – this facilitates a possible quality assurance process</w:t>
      </w:r>
      <w:r w:rsidR="00263B3E">
        <w:rPr>
          <w:rFonts w:asciiTheme="minorHAnsi" w:eastAsia="Times New Roman" w:hAnsiTheme="minorHAnsi"/>
          <w:sz w:val="24"/>
          <w:szCs w:val="24"/>
          <w:lang w:eastAsia="hr-HR"/>
        </w:rPr>
        <w:t>;</w:t>
      </w:r>
    </w:p>
    <w:p w:rsidR="00056BAC" w:rsidRPr="00BE15B8" w:rsidRDefault="00056BAC"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Simplicity</w:t>
      </w:r>
      <w:r w:rsidRPr="00BE15B8">
        <w:rPr>
          <w:rFonts w:asciiTheme="minorHAnsi" w:eastAsia="Times New Roman" w:hAnsiTheme="minorHAnsi"/>
          <w:sz w:val="24"/>
          <w:szCs w:val="24"/>
          <w:lang w:eastAsia="hr-HR"/>
        </w:rPr>
        <w:t>: the calculation required to estimate unit costs is easy to understand and direct, providing a simple way to quantify the administrative and overhead costs associated with a range of public services</w:t>
      </w:r>
      <w:r w:rsidR="00263B3E">
        <w:rPr>
          <w:rFonts w:asciiTheme="minorHAnsi" w:eastAsia="Times New Roman" w:hAnsiTheme="minorHAnsi"/>
          <w:sz w:val="24"/>
          <w:szCs w:val="24"/>
          <w:lang w:eastAsia="hr-HR"/>
        </w:rPr>
        <w:t>;</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i/>
          <w:sz w:val="24"/>
          <w:szCs w:val="24"/>
          <w:lang w:eastAsia="hr-HR"/>
        </w:rPr>
        <w:t>Detail</w:t>
      </w:r>
      <w:r w:rsidRPr="00BE15B8">
        <w:rPr>
          <w:rFonts w:asciiTheme="minorHAnsi" w:eastAsia="Times New Roman" w:hAnsiTheme="minorHAnsi"/>
          <w:sz w:val="24"/>
          <w:szCs w:val="24"/>
          <w:lang w:eastAsia="hr-HR"/>
        </w:rPr>
        <w:t xml:space="preserve">: detailed cost data can highlight variations, and enable </w:t>
      </w:r>
      <w:r w:rsidR="00A730A6" w:rsidRPr="00BE15B8">
        <w:rPr>
          <w:rFonts w:asciiTheme="minorHAnsi" w:eastAsia="Times New Roman" w:hAnsiTheme="minorHAnsi"/>
          <w:sz w:val="24"/>
          <w:szCs w:val="24"/>
          <w:lang w:eastAsia="hr-HR"/>
        </w:rPr>
        <w:t>analysts</w:t>
      </w:r>
      <w:r w:rsidRPr="00BE15B8">
        <w:rPr>
          <w:rFonts w:asciiTheme="minorHAnsi" w:eastAsia="Times New Roman" w:hAnsiTheme="minorHAnsi"/>
          <w:sz w:val="24"/>
          <w:szCs w:val="24"/>
          <w:lang w:eastAsia="hr-HR"/>
        </w:rPr>
        <w:t xml:space="preserve"> to explore the drivers of variation and determine whether, for example, some service users account for a disproportionate share of costs</w:t>
      </w:r>
      <w:r w:rsidR="00263B3E">
        <w:rPr>
          <w:rFonts w:asciiTheme="minorHAnsi" w:eastAsia="Times New Roman" w:hAnsiTheme="minorHAnsi"/>
          <w:sz w:val="24"/>
          <w:szCs w:val="24"/>
          <w:lang w:eastAsia="hr-HR"/>
        </w:rPr>
        <w:t>;</w:t>
      </w:r>
    </w:p>
    <w:p w:rsidR="006944FA" w:rsidRPr="00BE15B8" w:rsidRDefault="006944FA" w:rsidP="006944FA">
      <w:pPr>
        <w:numPr>
          <w:ilvl w:val="0"/>
          <w:numId w:val="2"/>
        </w:numPr>
        <w:shd w:val="clear" w:color="auto" w:fill="FFFFFF"/>
        <w:spacing w:after="0"/>
        <w:ind w:left="993" w:hanging="426"/>
        <w:jc w:val="both"/>
        <w:textAlignment w:val="baseline"/>
        <w:rPr>
          <w:rFonts w:asciiTheme="minorHAnsi" w:eastAsia="Times New Roman" w:hAnsiTheme="minorHAnsi"/>
          <w:sz w:val="24"/>
          <w:szCs w:val="24"/>
          <w:lang w:eastAsia="hr-HR"/>
        </w:rPr>
      </w:pPr>
      <w:r w:rsidRPr="00BE15B8">
        <w:rPr>
          <w:rFonts w:asciiTheme="minorHAnsi" w:eastAsia="Times New Roman" w:hAnsiTheme="minorHAnsi"/>
          <w:bCs/>
          <w:i/>
          <w:sz w:val="24"/>
          <w:szCs w:val="24"/>
          <w:bdr w:val="none" w:sz="0" w:space="0" w:color="auto" w:frame="1"/>
          <w:lang w:eastAsia="hr-HR"/>
        </w:rPr>
        <w:t>Versatility</w:t>
      </w:r>
      <w:r w:rsidRPr="00BE15B8">
        <w:rPr>
          <w:rFonts w:asciiTheme="minorHAnsi" w:eastAsia="Times New Roman" w:hAnsiTheme="minorHAnsi"/>
          <w:sz w:val="24"/>
          <w:szCs w:val="24"/>
          <w:lang w:eastAsia="hr-HR"/>
        </w:rPr>
        <w:t>: the methodology enables a</w:t>
      </w:r>
      <w:r w:rsidR="00A730A6" w:rsidRPr="00BE15B8">
        <w:rPr>
          <w:rFonts w:asciiTheme="minorHAnsi" w:eastAsia="Times New Roman" w:hAnsiTheme="minorHAnsi"/>
          <w:sz w:val="24"/>
          <w:szCs w:val="24"/>
          <w:lang w:eastAsia="hr-HR"/>
        </w:rPr>
        <w:t>n analyst</w:t>
      </w:r>
      <w:r w:rsidRPr="00BE15B8">
        <w:rPr>
          <w:rFonts w:asciiTheme="minorHAnsi" w:eastAsia="Times New Roman" w:hAnsiTheme="minorHAnsi"/>
          <w:sz w:val="24"/>
          <w:szCs w:val="24"/>
          <w:lang w:eastAsia="hr-HR"/>
        </w:rPr>
        <w:t xml:space="preserve"> to forecast how costs may change as a result of a reduction in service usage or demand.</w:t>
      </w:r>
    </w:p>
    <w:p w:rsidR="006944FA" w:rsidRPr="00BE15B8" w:rsidRDefault="006944FA" w:rsidP="006944FA">
      <w:pPr>
        <w:spacing w:after="0"/>
        <w:jc w:val="both"/>
        <w:rPr>
          <w:rFonts w:asciiTheme="minorHAnsi" w:hAnsiTheme="minorHAnsi"/>
          <w:sz w:val="24"/>
          <w:szCs w:val="24"/>
          <w:shd w:val="clear" w:color="auto" w:fill="FFFFFF"/>
        </w:rPr>
      </w:pPr>
    </w:p>
    <w:p w:rsidR="006944FA" w:rsidRPr="00BE15B8" w:rsidRDefault="006944FA" w:rsidP="006944FA">
      <w:pPr>
        <w:spacing w:after="0"/>
        <w:jc w:val="both"/>
        <w:rPr>
          <w:rFonts w:asciiTheme="minorHAnsi" w:hAnsiTheme="minorHAnsi"/>
          <w:sz w:val="24"/>
          <w:szCs w:val="24"/>
          <w:shd w:val="clear" w:color="auto" w:fill="FFFFFF"/>
        </w:rPr>
      </w:pPr>
      <w:r w:rsidRPr="00BE15B8">
        <w:rPr>
          <w:rFonts w:asciiTheme="minorHAnsi" w:hAnsiTheme="minorHAnsi"/>
          <w:sz w:val="24"/>
          <w:szCs w:val="24"/>
          <w:shd w:val="clear" w:color="auto" w:fill="FFFFFF"/>
        </w:rPr>
        <w:t xml:space="preserve">However, the main disadvantage associated with the bottom-up approach is that it requires detailed information, both concerning the type of costs associated with the provision of each service (full knowledge of the production function of each public service), and about the unit cost of each of the production factors. </w:t>
      </w:r>
    </w:p>
    <w:p w:rsidR="006944FA" w:rsidRPr="00BE15B8" w:rsidRDefault="006944FA" w:rsidP="006944FA">
      <w:pPr>
        <w:spacing w:after="0"/>
        <w:jc w:val="both"/>
        <w:rPr>
          <w:rFonts w:asciiTheme="minorHAnsi" w:hAnsiTheme="minorHAnsi"/>
          <w:sz w:val="24"/>
          <w:szCs w:val="24"/>
          <w:shd w:val="clear" w:color="auto" w:fill="FFFFFF"/>
        </w:rPr>
      </w:pPr>
    </w:p>
    <w:p w:rsidR="006944FA" w:rsidRPr="00BE15B8" w:rsidRDefault="006944FA" w:rsidP="006944FA">
      <w:pPr>
        <w:spacing w:after="0"/>
        <w:jc w:val="both"/>
        <w:rPr>
          <w:rFonts w:asciiTheme="minorHAnsi" w:hAnsiTheme="minorHAnsi"/>
          <w:sz w:val="24"/>
          <w:szCs w:val="24"/>
        </w:rPr>
      </w:pPr>
      <w:r w:rsidRPr="00BE15B8">
        <w:rPr>
          <w:rFonts w:asciiTheme="minorHAnsi" w:hAnsiTheme="minorHAnsi"/>
          <w:sz w:val="24"/>
          <w:szCs w:val="24"/>
        </w:rPr>
        <w:t>A combination of the two approaches may be preferred. The advantage of this double method is that it makes verification possible; the data gathered on the basis of the top-down approach can be double-checked and completed with the data retrieved from the project actors in the field.</w:t>
      </w:r>
    </w:p>
    <w:p w:rsidR="00A6132B" w:rsidRDefault="00A6132B" w:rsidP="006944FA">
      <w:pPr>
        <w:spacing w:after="0"/>
        <w:jc w:val="both"/>
        <w:rPr>
          <w:rFonts w:asciiTheme="minorHAnsi" w:hAnsiTheme="minorHAnsi"/>
          <w:b/>
          <w:sz w:val="28"/>
          <w:szCs w:val="28"/>
        </w:rPr>
      </w:pPr>
    </w:p>
    <w:p w:rsidR="00543525" w:rsidRPr="00BE15B8" w:rsidRDefault="00543525" w:rsidP="00543525">
      <w:pPr>
        <w:pStyle w:val="Default"/>
        <w:spacing w:line="276" w:lineRule="auto"/>
        <w:jc w:val="both"/>
        <w:rPr>
          <w:rFonts w:asciiTheme="minorHAnsi" w:hAnsiTheme="minorHAnsi" w:cs="Times New Roman"/>
          <w:b/>
          <w:i/>
        </w:rPr>
      </w:pPr>
      <w:r w:rsidRPr="00BE15B8">
        <w:rPr>
          <w:rFonts w:asciiTheme="minorHAnsi" w:hAnsiTheme="minorHAnsi" w:cs="Times New Roman"/>
          <w:b/>
          <w:i/>
        </w:rPr>
        <w:t>Reporting values of estimates</w:t>
      </w:r>
    </w:p>
    <w:p w:rsidR="003103BC" w:rsidRDefault="00543525" w:rsidP="003103BC">
      <w:pPr>
        <w:jc w:val="both"/>
        <w:rPr>
          <w:rFonts w:asciiTheme="minorHAnsi" w:hAnsiTheme="minorHAnsi"/>
          <w:sz w:val="24"/>
          <w:szCs w:val="24"/>
        </w:rPr>
      </w:pPr>
      <w:r w:rsidRPr="00BE15B8">
        <w:rPr>
          <w:rFonts w:asciiTheme="minorHAnsi" w:hAnsiTheme="minorHAnsi"/>
          <w:sz w:val="24"/>
          <w:szCs w:val="24"/>
        </w:rPr>
        <w:t xml:space="preserve">The basic format used to report the value of estimates is using monetary value in nominal terms. However, for the sake of time comparability, if reported in monetary units, estimates should be deflated by inflation. </w:t>
      </w:r>
    </w:p>
    <w:p w:rsidR="003103BC" w:rsidRDefault="00543525" w:rsidP="003103BC">
      <w:pPr>
        <w:jc w:val="both"/>
        <w:rPr>
          <w:rFonts w:asciiTheme="minorHAnsi" w:hAnsiTheme="minorHAnsi"/>
          <w:sz w:val="24"/>
          <w:szCs w:val="24"/>
        </w:rPr>
      </w:pPr>
      <w:r w:rsidRPr="00BE15B8">
        <w:rPr>
          <w:rFonts w:asciiTheme="minorHAnsi" w:hAnsiTheme="minorHAnsi"/>
          <w:sz w:val="24"/>
          <w:szCs w:val="24"/>
        </w:rPr>
        <w:t xml:space="preserve">Further, some authors report in percentage of the GDP (gross domestic product). This way of presenting results considers the economic dimension of a country. It is likely that drug-related spending is higher in a country with 85 million inhabitants compared to a country with 10 million inhabitants. The same holds for a higher income country (EMCDDA, 2008). </w:t>
      </w:r>
      <w:r w:rsidRPr="00BE15B8">
        <w:rPr>
          <w:rFonts w:asciiTheme="minorHAnsi" w:hAnsiTheme="minorHAnsi"/>
          <w:sz w:val="24"/>
          <w:szCs w:val="24"/>
        </w:rPr>
        <w:t xml:space="preserve">For these reasons, reporting the value of estimates in percentage of the GDP is a valid choice since it accounts both for the inflation problem and the size and level of income of a country. </w:t>
      </w:r>
    </w:p>
    <w:p w:rsidR="00543525" w:rsidRPr="00BE15B8" w:rsidRDefault="00543525" w:rsidP="003103BC">
      <w:pPr>
        <w:jc w:val="both"/>
        <w:rPr>
          <w:rFonts w:asciiTheme="minorHAnsi" w:hAnsiTheme="minorHAnsi"/>
          <w:sz w:val="24"/>
          <w:szCs w:val="24"/>
        </w:rPr>
      </w:pPr>
      <w:r w:rsidRPr="00BE15B8">
        <w:rPr>
          <w:rFonts w:asciiTheme="minorHAnsi" w:hAnsiTheme="minorHAnsi"/>
          <w:sz w:val="24"/>
          <w:szCs w:val="24"/>
        </w:rPr>
        <w:t>Another frequently used approach is reporting the value of spending per number of problem drug users. In this case, authors take into account the dimension of the drug problem. Reporting all these complementary measures of drug-related public spending will increase economic meaning and utility of the estimates.</w:t>
      </w:r>
    </w:p>
    <w:p w:rsidR="00543525" w:rsidRPr="00BE15B8" w:rsidRDefault="00543525" w:rsidP="006944FA">
      <w:pPr>
        <w:spacing w:after="0"/>
        <w:jc w:val="both"/>
        <w:rPr>
          <w:rFonts w:asciiTheme="minorHAnsi" w:hAnsiTheme="minorHAnsi"/>
          <w:b/>
          <w:sz w:val="28"/>
          <w:szCs w:val="28"/>
        </w:rPr>
      </w:pPr>
    </w:p>
    <w:p w:rsidR="006944FA" w:rsidRPr="00BE15B8" w:rsidRDefault="009A3784" w:rsidP="002428D9">
      <w:pPr>
        <w:pStyle w:val="Overskrift1"/>
      </w:pPr>
      <w:r>
        <w:t>Examples of s</w:t>
      </w:r>
      <w:r w:rsidR="006944FA" w:rsidRPr="00BE15B8">
        <w:t xml:space="preserve">ectorial models </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 xml:space="preserve">In addition to collecting labelled public expenditure data, there are also several examples of models applied to identify unlabelled expenditure on drug control in national contexts. Different authors </w:t>
      </w:r>
      <w:r w:rsidR="00A730A6" w:rsidRPr="00BE15B8">
        <w:rPr>
          <w:rFonts w:asciiTheme="minorHAnsi" w:hAnsiTheme="minorHAnsi"/>
          <w:lang w:val="en-GB"/>
        </w:rPr>
        <w:t xml:space="preserve">have </w:t>
      </w:r>
      <w:r w:rsidRPr="00BE15B8">
        <w:rPr>
          <w:rFonts w:asciiTheme="minorHAnsi" w:hAnsiTheme="minorHAnsi"/>
          <w:lang w:val="en-GB"/>
        </w:rPr>
        <w:t>applied different definitions, datasets and models to estimate items of drug related expenditure. In this section, examples of the definitions, data and models are provided. It aim</w:t>
      </w:r>
      <w:r w:rsidR="00E94BF5">
        <w:rPr>
          <w:rFonts w:asciiTheme="minorHAnsi" w:hAnsiTheme="minorHAnsi"/>
          <w:lang w:val="en-GB"/>
        </w:rPr>
        <w:t xml:space="preserve"> i</w:t>
      </w:r>
      <w:r w:rsidRPr="00BE15B8">
        <w:rPr>
          <w:rFonts w:asciiTheme="minorHAnsi" w:hAnsiTheme="minorHAnsi"/>
          <w:lang w:val="en-GB"/>
        </w:rPr>
        <w:t xml:space="preserve">s to show the models used to estimate unlabelled drug-related spending on the different types supply control initiatives.  </w:t>
      </w:r>
    </w:p>
    <w:p w:rsidR="006944FA" w:rsidRPr="00BE15B8" w:rsidRDefault="006944FA" w:rsidP="006944FA">
      <w:pPr>
        <w:pStyle w:val="Default"/>
        <w:spacing w:line="276" w:lineRule="auto"/>
        <w:jc w:val="both"/>
        <w:rPr>
          <w:rFonts w:asciiTheme="minorHAnsi" w:hAnsiTheme="minorHAnsi" w:cs="Times New Roman"/>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Police</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Public spending on drug</w:t>
      </w:r>
      <w:r w:rsidR="00056BAC" w:rsidRPr="00BE15B8">
        <w:rPr>
          <w:rFonts w:asciiTheme="minorHAnsi" w:eastAsiaTheme="minorEastAsia" w:hAnsiTheme="minorHAnsi"/>
          <w:color w:val="000000" w:themeColor="text1"/>
          <w:kern w:val="24"/>
          <w:lang w:val="en-GB"/>
        </w:rPr>
        <w:t>-related</w:t>
      </w:r>
      <w:r w:rsidRPr="00BE15B8">
        <w:rPr>
          <w:rFonts w:asciiTheme="minorHAnsi" w:eastAsiaTheme="minorEastAsia" w:hAnsiTheme="minorHAnsi"/>
          <w:color w:val="000000" w:themeColor="text1"/>
          <w:kern w:val="24"/>
          <w:lang w:val="en-GB"/>
        </w:rPr>
        <w:t xml:space="preserve"> police services </w:t>
      </w:r>
      <w:r w:rsidR="00E94BF5">
        <w:rPr>
          <w:rFonts w:asciiTheme="minorHAnsi" w:eastAsiaTheme="minorEastAsia" w:hAnsiTheme="minorHAnsi"/>
          <w:color w:val="000000" w:themeColor="text1"/>
          <w:kern w:val="24"/>
          <w:lang w:val="en-GB"/>
        </w:rPr>
        <w:t>are</w:t>
      </w:r>
      <w:r w:rsidR="00297E3B" w:rsidRPr="00BE15B8">
        <w:rPr>
          <w:rFonts w:asciiTheme="minorHAnsi" w:eastAsiaTheme="minorEastAsia" w:hAnsiTheme="minorHAnsi"/>
          <w:color w:val="000000" w:themeColor="text1"/>
          <w:kern w:val="24"/>
          <w:lang w:val="en-GB"/>
        </w:rPr>
        <w:t xml:space="preserve"> probably</w:t>
      </w:r>
      <w:r w:rsidRPr="00BE15B8">
        <w:rPr>
          <w:rFonts w:asciiTheme="minorHAnsi" w:eastAsiaTheme="minorEastAsia" w:hAnsiTheme="minorHAnsi"/>
          <w:color w:val="000000" w:themeColor="text1"/>
          <w:kern w:val="24"/>
          <w:lang w:val="en-GB"/>
        </w:rPr>
        <w:t xml:space="preserve"> </w:t>
      </w:r>
      <w:r w:rsidR="00297E3B" w:rsidRPr="00BE15B8">
        <w:rPr>
          <w:rFonts w:asciiTheme="minorHAnsi" w:eastAsiaTheme="minorEastAsia" w:hAnsiTheme="minorHAnsi"/>
          <w:color w:val="000000" w:themeColor="text1"/>
          <w:kern w:val="24"/>
          <w:lang w:val="en-GB"/>
        </w:rPr>
        <w:t xml:space="preserve">best </w:t>
      </w:r>
      <w:r w:rsidRPr="00BE15B8">
        <w:rPr>
          <w:rFonts w:asciiTheme="minorHAnsi" w:eastAsiaTheme="minorEastAsia" w:hAnsiTheme="minorHAnsi"/>
          <w:color w:val="000000" w:themeColor="text1"/>
          <w:kern w:val="24"/>
          <w:lang w:val="en-GB"/>
        </w:rPr>
        <w:t>identified with a top-down approach</w:t>
      </w:r>
      <w:r w:rsidR="00FE3023">
        <w:rPr>
          <w:rStyle w:val="Fotnotereferanse"/>
          <w:rFonts w:asciiTheme="minorHAnsi" w:eastAsiaTheme="minorEastAsia" w:hAnsiTheme="minorHAnsi"/>
          <w:color w:val="000000" w:themeColor="text1"/>
          <w:kern w:val="24"/>
          <w:lang w:val="en-GB"/>
        </w:rPr>
        <w:footnoteReference w:id="2"/>
      </w:r>
      <w:r w:rsidRPr="00BE15B8">
        <w:rPr>
          <w:rFonts w:asciiTheme="minorHAnsi" w:eastAsiaTheme="minorEastAsia" w:hAnsiTheme="minorHAnsi"/>
          <w:color w:val="000000" w:themeColor="text1"/>
          <w:kern w:val="24"/>
          <w:lang w:val="en-GB"/>
        </w:rPr>
        <w:t xml:space="preserve">. In order to disentangle </w:t>
      </w:r>
      <w:r w:rsidR="00056BAC" w:rsidRPr="00BE15B8">
        <w:rPr>
          <w:rFonts w:asciiTheme="minorHAnsi" w:eastAsiaTheme="minorEastAsia" w:hAnsiTheme="minorHAnsi"/>
          <w:color w:val="000000" w:themeColor="text1"/>
          <w:kern w:val="24"/>
          <w:lang w:val="en-GB"/>
        </w:rPr>
        <w:t>this</w:t>
      </w:r>
      <w:r w:rsidRPr="00BE15B8">
        <w:rPr>
          <w:rFonts w:asciiTheme="minorHAnsi" w:eastAsiaTheme="minorEastAsia" w:hAnsiTheme="minorHAnsi"/>
          <w:color w:val="000000" w:themeColor="text1"/>
          <w:kern w:val="24"/>
          <w:lang w:val="en-GB"/>
        </w:rPr>
        <w:t xml:space="preserve"> expenditure from the total public expenditure on</w:t>
      </w:r>
      <w:r w:rsidR="00C64F6B">
        <w:rPr>
          <w:rFonts w:asciiTheme="minorHAnsi" w:eastAsiaTheme="minorEastAsia" w:hAnsiTheme="minorHAnsi"/>
          <w:color w:val="000000" w:themeColor="text1"/>
          <w:kern w:val="24"/>
          <w:lang w:val="en-GB"/>
        </w:rPr>
        <w:t xml:space="preserve"> </w:t>
      </w:r>
      <w:r w:rsidR="00E94BF5">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public order and safety</w:t>
      </w:r>
      <w:r w:rsidR="00E94BF5">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 xml:space="preserve"> published by Eurostat, attributable fractions are calculated with the help of activity data.</w:t>
      </w:r>
      <w:r w:rsidR="00E94BF5">
        <w:rPr>
          <w:rFonts w:asciiTheme="minorHAnsi" w:eastAsiaTheme="minorEastAsia" w:hAnsiTheme="minorHAnsi"/>
          <w:color w:val="000000" w:themeColor="text1"/>
          <w:kern w:val="24"/>
          <w:lang w:val="en-GB"/>
        </w:rPr>
        <w:t xml:space="preserve"> A</w:t>
      </w:r>
      <w:r w:rsidRPr="00BE15B8">
        <w:rPr>
          <w:rFonts w:asciiTheme="minorHAnsi" w:eastAsiaTheme="minorEastAsia" w:hAnsiTheme="minorHAnsi"/>
          <w:color w:val="000000" w:themeColor="text1"/>
          <w:kern w:val="24"/>
          <w:lang w:val="en-GB"/>
        </w:rPr>
        <w:t xml:space="preserve">uthors have used auxiliary data to build these fractions, </w:t>
      </w:r>
      <w:r w:rsidR="00056BAC" w:rsidRPr="00BE15B8">
        <w:rPr>
          <w:rFonts w:asciiTheme="minorHAnsi" w:eastAsiaTheme="minorEastAsia" w:hAnsiTheme="minorHAnsi"/>
          <w:color w:val="000000" w:themeColor="text1"/>
          <w:kern w:val="24"/>
          <w:lang w:val="en-GB"/>
        </w:rPr>
        <w:t>for instance,</w:t>
      </w:r>
      <w:r w:rsidRPr="00BE15B8">
        <w:rPr>
          <w:rFonts w:asciiTheme="minorHAnsi" w:eastAsiaTheme="minorEastAsia" w:hAnsiTheme="minorHAnsi"/>
          <w:color w:val="000000" w:themeColor="text1"/>
          <w:kern w:val="24"/>
          <w:lang w:val="en-GB"/>
        </w:rPr>
        <w:t xml:space="preserve"> data on the proportion of drug-related offenses o</w:t>
      </w:r>
      <w:r w:rsidR="00A6132B" w:rsidRPr="00BE15B8">
        <w:rPr>
          <w:rFonts w:asciiTheme="minorHAnsi" w:eastAsiaTheme="minorEastAsia" w:hAnsiTheme="minorHAnsi"/>
          <w:color w:val="000000" w:themeColor="text1"/>
          <w:kern w:val="24"/>
          <w:lang w:val="en-GB"/>
        </w:rPr>
        <w:t>f</w:t>
      </w:r>
      <w:r w:rsidRPr="00BE15B8">
        <w:rPr>
          <w:rFonts w:asciiTheme="minorHAnsi" w:eastAsiaTheme="minorEastAsia" w:hAnsiTheme="minorHAnsi"/>
          <w:color w:val="000000" w:themeColor="text1"/>
          <w:kern w:val="24"/>
          <w:lang w:val="en-GB"/>
        </w:rPr>
        <w:t xml:space="preserve"> the total </w:t>
      </w:r>
      <w:r w:rsidR="00A730A6" w:rsidRPr="00BE15B8">
        <w:rPr>
          <w:rFonts w:asciiTheme="minorHAnsi" w:eastAsiaTheme="minorEastAsia" w:hAnsiTheme="minorHAnsi"/>
          <w:color w:val="000000" w:themeColor="text1"/>
          <w:kern w:val="24"/>
          <w:lang w:val="en-GB"/>
        </w:rPr>
        <w:t xml:space="preserve">number </w:t>
      </w:r>
      <w:r w:rsidRPr="00BE15B8">
        <w:rPr>
          <w:rFonts w:asciiTheme="minorHAnsi" w:eastAsiaTheme="minorEastAsia" w:hAnsiTheme="minorHAnsi"/>
          <w:color w:val="000000" w:themeColor="text1"/>
          <w:kern w:val="24"/>
          <w:lang w:val="en-GB"/>
        </w:rPr>
        <w:t>of offenses. The following variables</w:t>
      </w:r>
      <w:r w:rsidR="003267AB">
        <w:rPr>
          <w:rFonts w:asciiTheme="minorHAnsi" w:eastAsiaTheme="minorEastAsia" w:hAnsiTheme="minorHAnsi"/>
          <w:color w:val="000000" w:themeColor="text1"/>
          <w:kern w:val="24"/>
          <w:lang w:val="en-GB"/>
        </w:rPr>
        <w:t xml:space="preserve"> provide concrete examples of variables</w:t>
      </w:r>
      <w:r w:rsidRPr="00BE15B8">
        <w:rPr>
          <w:rFonts w:asciiTheme="minorHAnsi" w:eastAsiaTheme="minorEastAsia" w:hAnsiTheme="minorHAnsi"/>
          <w:color w:val="000000" w:themeColor="text1"/>
          <w:kern w:val="24"/>
          <w:lang w:val="en-GB"/>
        </w:rPr>
        <w:t xml:space="preserve"> </w:t>
      </w:r>
      <w:r w:rsidRPr="00BE15B8">
        <w:rPr>
          <w:rFonts w:asciiTheme="minorHAnsi" w:eastAsiaTheme="minorEastAsia" w:hAnsiTheme="minorHAnsi"/>
          <w:color w:val="000000"/>
          <w:kern w:val="24"/>
          <w:lang w:val="en-GB"/>
        </w:rPr>
        <w:t>available on national and international datasets,</w:t>
      </w:r>
      <w:r w:rsidRPr="00BE15B8">
        <w:rPr>
          <w:rFonts w:asciiTheme="minorHAnsi" w:eastAsiaTheme="minorEastAsia" w:hAnsiTheme="minorHAnsi"/>
          <w:color w:val="000000" w:themeColor="text1"/>
          <w:kern w:val="24"/>
          <w:lang w:val="en-GB"/>
        </w:rPr>
        <w:t xml:space="preserve"> </w:t>
      </w:r>
      <w:r w:rsidR="003267AB">
        <w:rPr>
          <w:rFonts w:asciiTheme="minorHAnsi" w:eastAsiaTheme="minorEastAsia" w:hAnsiTheme="minorHAnsi"/>
          <w:color w:val="000000" w:themeColor="text1"/>
          <w:kern w:val="24"/>
          <w:lang w:val="en-GB"/>
        </w:rPr>
        <w:t xml:space="preserve">which </w:t>
      </w:r>
      <w:r w:rsidR="0020575D">
        <w:rPr>
          <w:rFonts w:asciiTheme="minorHAnsi" w:eastAsiaTheme="minorEastAsia" w:hAnsiTheme="minorHAnsi"/>
          <w:color w:val="000000" w:themeColor="text1"/>
          <w:kern w:val="24"/>
          <w:lang w:val="en-GB"/>
        </w:rPr>
        <w:t xml:space="preserve">have all been separately </w:t>
      </w:r>
      <w:r w:rsidRPr="00BE15B8">
        <w:rPr>
          <w:rFonts w:asciiTheme="minorHAnsi" w:eastAsiaTheme="minorEastAsia" w:hAnsiTheme="minorHAnsi"/>
          <w:color w:val="000000" w:themeColor="text1"/>
          <w:kern w:val="24"/>
          <w:lang w:val="en-GB"/>
        </w:rPr>
        <w:t xml:space="preserve">used to estimate attributable fractions: </w:t>
      </w:r>
    </w:p>
    <w:p w:rsidR="006944FA" w:rsidRPr="00BE15B8" w:rsidRDefault="006944FA"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number of </w:t>
      </w:r>
      <w:r w:rsidR="00120277">
        <w:rPr>
          <w:rFonts w:asciiTheme="minorHAnsi" w:eastAsiaTheme="minorEastAsia" w:hAnsiTheme="minorHAnsi"/>
          <w:color w:val="000000" w:themeColor="text1"/>
          <w:kern w:val="24"/>
          <w:lang w:val="en-GB"/>
        </w:rPr>
        <w:t xml:space="preserve">drug-related </w:t>
      </w:r>
      <w:r w:rsidRPr="00BE15B8">
        <w:rPr>
          <w:rFonts w:asciiTheme="minorHAnsi" w:eastAsiaTheme="minorEastAsia" w:hAnsiTheme="minorHAnsi"/>
          <w:color w:val="000000" w:themeColor="text1"/>
          <w:kern w:val="24"/>
          <w:lang w:val="en-GB"/>
        </w:rPr>
        <w:t xml:space="preserve">crimes per </w:t>
      </w:r>
      <w:r w:rsidR="00A6132B" w:rsidRPr="00BE15B8">
        <w:rPr>
          <w:rFonts w:asciiTheme="minorHAnsi" w:eastAsiaTheme="minorEastAsia" w:hAnsiTheme="minorHAnsi"/>
          <w:color w:val="000000" w:themeColor="text1"/>
          <w:kern w:val="24"/>
          <w:lang w:val="en-GB"/>
        </w:rPr>
        <w:t>100,000 populations</w:t>
      </w:r>
      <w:r w:rsidR="003267AB">
        <w:rPr>
          <w:rFonts w:asciiTheme="minorHAnsi" w:eastAsiaTheme="minorEastAsia" w:hAnsiTheme="minorHAnsi"/>
          <w:color w:val="000000" w:themeColor="text1"/>
          <w:kern w:val="24"/>
          <w:lang w:val="en-GB"/>
        </w:rPr>
        <w:t>;</w:t>
      </w:r>
      <w:r w:rsidR="00A6132B" w:rsidRPr="00BE15B8">
        <w:rPr>
          <w:rFonts w:asciiTheme="minorHAnsi" w:eastAsiaTheme="minorEastAsia" w:hAnsiTheme="minorHAnsi"/>
          <w:color w:val="000000" w:themeColor="text1"/>
          <w:kern w:val="24"/>
          <w:lang w:val="en-GB"/>
        </w:rPr>
        <w:t xml:space="preserve"> </w:t>
      </w:r>
    </w:p>
    <w:p w:rsidR="006944FA" w:rsidRPr="00BE15B8" w:rsidRDefault="006944FA" w:rsidP="006944FA">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number of </w:t>
      </w:r>
      <w:r w:rsidR="00120277">
        <w:rPr>
          <w:rFonts w:asciiTheme="minorHAnsi" w:eastAsiaTheme="minorEastAsia" w:hAnsiTheme="minorHAnsi"/>
          <w:color w:val="000000" w:themeColor="text1"/>
          <w:kern w:val="24"/>
          <w:lang w:val="en-GB"/>
        </w:rPr>
        <w:t xml:space="preserve">drug-related </w:t>
      </w:r>
      <w:r w:rsidRPr="00BE15B8">
        <w:rPr>
          <w:rFonts w:asciiTheme="minorHAnsi" w:eastAsiaTheme="minorEastAsia" w:hAnsiTheme="minorHAnsi"/>
          <w:color w:val="000000" w:themeColor="text1"/>
          <w:kern w:val="24"/>
          <w:lang w:val="en-GB"/>
        </w:rPr>
        <w:t>crimes related to</w:t>
      </w:r>
      <w:r w:rsidR="00A6132B" w:rsidRPr="00BE15B8">
        <w:rPr>
          <w:rFonts w:asciiTheme="minorHAnsi" w:eastAsiaTheme="minorEastAsia" w:hAnsiTheme="minorHAnsi"/>
          <w:color w:val="000000" w:themeColor="text1"/>
          <w:kern w:val="24"/>
          <w:lang w:val="en-GB"/>
        </w:rPr>
        <w:t xml:space="preserve"> drugs per 100,000 populations</w:t>
      </w:r>
      <w:r w:rsidR="003267AB">
        <w:rPr>
          <w:rFonts w:asciiTheme="minorHAnsi" w:eastAsiaTheme="minorEastAsia" w:hAnsiTheme="minorHAnsi"/>
          <w:color w:val="000000" w:themeColor="text1"/>
          <w:kern w:val="24"/>
          <w:lang w:val="en-GB"/>
        </w:rPr>
        <w:t>;</w:t>
      </w:r>
    </w:p>
    <w:p w:rsidR="00056BAC" w:rsidRPr="00BE15B8" w:rsidRDefault="00A6132B" w:rsidP="00056BAC">
      <w:pPr>
        <w:pStyle w:val="NormalWeb"/>
        <w:numPr>
          <w:ilvl w:val="0"/>
          <w:numId w:val="10"/>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 xml:space="preserve">proportion of time </w:t>
      </w:r>
      <w:r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police forces spen</w:t>
      </w:r>
      <w:r w:rsidRPr="00BE15B8">
        <w:rPr>
          <w:rFonts w:asciiTheme="minorHAnsi" w:eastAsiaTheme="minorEastAsia" w:hAnsiTheme="minorHAnsi"/>
          <w:color w:val="000000" w:themeColor="text1"/>
          <w:kern w:val="24"/>
          <w:lang w:val="en-GB"/>
        </w:rPr>
        <w:t>d</w:t>
      </w:r>
      <w:r w:rsidR="006944FA" w:rsidRPr="00BE15B8">
        <w:rPr>
          <w:rFonts w:asciiTheme="minorHAnsi" w:eastAsiaTheme="minorEastAsia" w:hAnsiTheme="minorHAnsi"/>
          <w:color w:val="000000" w:themeColor="text1"/>
          <w:kern w:val="24"/>
          <w:lang w:val="en-GB"/>
        </w:rPr>
        <w:t xml:space="preserve"> on combating </w:t>
      </w:r>
      <w:r w:rsidR="00834CD6" w:rsidRPr="00BE15B8">
        <w:rPr>
          <w:rFonts w:asciiTheme="minorHAnsi" w:eastAsiaTheme="minorEastAsia" w:hAnsiTheme="minorHAnsi"/>
          <w:color w:val="000000" w:themeColor="text1"/>
          <w:kern w:val="24"/>
          <w:lang w:val="en-GB"/>
        </w:rPr>
        <w:t xml:space="preserve">the </w:t>
      </w:r>
      <w:r w:rsidR="006944FA" w:rsidRPr="00BE15B8">
        <w:rPr>
          <w:rFonts w:asciiTheme="minorHAnsi" w:eastAsiaTheme="minorEastAsia" w:hAnsiTheme="minorHAnsi"/>
          <w:color w:val="000000" w:themeColor="text1"/>
          <w:kern w:val="24"/>
          <w:lang w:val="en-GB"/>
        </w:rPr>
        <w:t>drug phenomena of their total working time</w:t>
      </w:r>
      <w:r w:rsidR="003267AB">
        <w:rPr>
          <w:rFonts w:asciiTheme="minorHAnsi" w:eastAsiaTheme="minorEastAsia" w:hAnsiTheme="minorHAnsi"/>
          <w:color w:val="000000" w:themeColor="text1"/>
          <w:kern w:val="24"/>
          <w:lang w:val="en-GB"/>
        </w:rPr>
        <w:t>.</w:t>
      </w:r>
    </w:p>
    <w:p w:rsidR="006944FA" w:rsidRPr="00BE15B8" w:rsidRDefault="006944FA" w:rsidP="006944FA">
      <w:pPr>
        <w:pStyle w:val="NormalWeb"/>
        <w:kinsoku w:val="0"/>
        <w:overflowPunct w:val="0"/>
        <w:spacing w:before="0" w:beforeAutospacing="0" w:after="0" w:afterAutospacing="0" w:line="276" w:lineRule="auto"/>
        <w:ind w:left="720"/>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To estimate the share of costs designated to spending on police activity on illicit drugs, </w:t>
      </w:r>
      <w:r w:rsidR="00CA54C9">
        <w:rPr>
          <w:rFonts w:asciiTheme="minorHAnsi" w:eastAsiaTheme="minorEastAsia" w:hAnsiTheme="minorHAnsi"/>
          <w:color w:val="000000" w:themeColor="text1"/>
          <w:kern w:val="24"/>
          <w:lang w:val="en-GB"/>
        </w:rPr>
        <w:t>the</w:t>
      </w:r>
      <w:r w:rsidR="00CA54C9" w:rsidRPr="00BE15B8">
        <w:rPr>
          <w:rFonts w:asciiTheme="minorHAnsi" w:eastAsiaTheme="minorEastAsia" w:hAnsiTheme="minorHAnsi"/>
          <w:color w:val="000000" w:themeColor="text1"/>
          <w:kern w:val="24"/>
          <w:lang w:val="en-GB"/>
        </w:rPr>
        <w:t xml:space="preserve"> </w:t>
      </w:r>
      <w:r w:rsidRPr="00BE15B8">
        <w:rPr>
          <w:rFonts w:asciiTheme="minorHAnsi" w:eastAsiaTheme="minorEastAsia" w:hAnsiTheme="minorHAnsi"/>
          <w:color w:val="000000" w:themeColor="text1"/>
          <w:kern w:val="24"/>
          <w:lang w:val="en-GB"/>
        </w:rPr>
        <w:t xml:space="preserve">ratio </w:t>
      </w:r>
      <w:r w:rsidR="00120277">
        <w:rPr>
          <w:rFonts w:asciiTheme="minorHAnsi" w:eastAsiaTheme="minorEastAsia" w:hAnsiTheme="minorHAnsi"/>
          <w:color w:val="000000" w:themeColor="text1"/>
          <w:kern w:val="24"/>
          <w:lang w:val="en-GB"/>
        </w:rPr>
        <w:t>is</w:t>
      </w:r>
      <w:r w:rsidRPr="00BE15B8">
        <w:rPr>
          <w:rFonts w:asciiTheme="minorHAnsi" w:eastAsiaTheme="minorEastAsia" w:hAnsiTheme="minorHAnsi"/>
          <w:color w:val="000000" w:themeColor="text1"/>
          <w:kern w:val="24"/>
          <w:lang w:val="en-GB"/>
        </w:rPr>
        <w:t xml:space="preserve"> multiplied by the total expenditures of law enforcement agencies and reduced by any data </w:t>
      </w:r>
      <w:r w:rsidRPr="00BE15B8">
        <w:rPr>
          <w:rFonts w:asciiTheme="minorHAnsi" w:eastAsiaTheme="minorEastAsia" w:hAnsiTheme="minorHAnsi"/>
          <w:color w:val="000000" w:themeColor="text1"/>
          <w:kern w:val="24"/>
          <w:lang w:val="en-GB"/>
        </w:rPr>
        <w:t xml:space="preserve">on labelled expenditure for drug control available. </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A concrete example is provided by estimates for Italy. </w:t>
      </w:r>
      <w:r w:rsidR="00A61B32" w:rsidRPr="00BE15B8">
        <w:rPr>
          <w:rFonts w:asciiTheme="minorHAnsi" w:eastAsiaTheme="minorEastAsia" w:hAnsiTheme="minorHAnsi"/>
          <w:color w:val="000000" w:themeColor="text1"/>
          <w:kern w:val="24"/>
          <w:lang w:val="en-GB"/>
        </w:rPr>
        <w:t>Genetti</w:t>
      </w:r>
      <w:r w:rsidRPr="00BE15B8">
        <w:rPr>
          <w:rFonts w:asciiTheme="minorHAnsi" w:eastAsiaTheme="minorEastAsia" w:hAnsiTheme="minorHAnsi"/>
          <w:color w:val="000000" w:themeColor="text1"/>
          <w:kern w:val="24"/>
          <w:lang w:val="en-GB"/>
        </w:rPr>
        <w:t xml:space="preserve"> </w:t>
      </w:r>
      <w:r w:rsidR="00834CD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201</w:t>
      </w:r>
      <w:r w:rsidR="00A61B32" w:rsidRPr="00BE15B8">
        <w:rPr>
          <w:rFonts w:asciiTheme="minorHAnsi" w:eastAsiaTheme="minorEastAsia" w:hAnsiTheme="minorHAnsi"/>
          <w:color w:val="000000" w:themeColor="text1"/>
          <w:kern w:val="24"/>
          <w:lang w:val="en-GB"/>
        </w:rPr>
        <w:t>4</w:t>
      </w:r>
      <w:r w:rsidR="00834CD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 xml:space="preserve"> estimated dr</w:t>
      </w:r>
      <w:r w:rsidR="00834CD6" w:rsidRPr="00BE15B8">
        <w:rPr>
          <w:rFonts w:asciiTheme="minorHAnsi" w:eastAsiaTheme="minorEastAsia" w:hAnsiTheme="minorHAnsi"/>
          <w:color w:val="000000" w:themeColor="text1"/>
          <w:kern w:val="24"/>
          <w:lang w:val="en-GB"/>
        </w:rPr>
        <w:t>ug-related public expenditure for the</w:t>
      </w:r>
      <w:r w:rsidRPr="00BE15B8">
        <w:rPr>
          <w:rFonts w:asciiTheme="minorHAnsi" w:eastAsiaTheme="minorEastAsia" w:hAnsiTheme="minorHAnsi"/>
          <w:color w:val="000000" w:themeColor="text1"/>
          <w:kern w:val="24"/>
          <w:lang w:val="en-GB"/>
        </w:rPr>
        <w:t xml:space="preserve"> police forces based on the amount of time that staff spent on </w:t>
      </w:r>
      <w:r w:rsidR="00834CD6" w:rsidRPr="00BE15B8">
        <w:rPr>
          <w:rFonts w:asciiTheme="minorHAnsi" w:eastAsiaTheme="minorEastAsia" w:hAnsiTheme="minorHAnsi"/>
          <w:color w:val="000000" w:themeColor="text1"/>
          <w:kern w:val="24"/>
          <w:lang w:val="en-GB"/>
        </w:rPr>
        <w:t xml:space="preserve">drug </w:t>
      </w:r>
      <w:r w:rsidRPr="00BE15B8">
        <w:rPr>
          <w:rFonts w:asciiTheme="minorHAnsi" w:eastAsiaTheme="minorEastAsia" w:hAnsiTheme="minorHAnsi"/>
          <w:color w:val="000000" w:themeColor="text1"/>
          <w:kern w:val="24"/>
          <w:lang w:val="en-GB"/>
        </w:rPr>
        <w:t>control</w:t>
      </w:r>
      <w:r w:rsidR="00A730A6" w:rsidRPr="00BE15B8">
        <w:rPr>
          <w:rFonts w:asciiTheme="minorHAnsi" w:eastAsiaTheme="minorEastAsia" w:hAnsiTheme="minorHAnsi"/>
          <w:color w:val="000000" w:themeColor="text1"/>
          <w:kern w:val="24"/>
          <w:lang w:val="en-GB"/>
        </w:rPr>
        <w:t xml:space="preserve"> in 2011</w:t>
      </w:r>
      <w:r w:rsidRPr="00BE15B8">
        <w:rPr>
          <w:rFonts w:asciiTheme="minorHAnsi" w:eastAsiaTheme="minorEastAsia" w:hAnsiTheme="minorHAnsi"/>
          <w:color w:val="000000" w:themeColor="text1"/>
          <w:kern w:val="24"/>
          <w:lang w:val="en-GB"/>
        </w:rPr>
        <w:t xml:space="preserve">: the possession of illicit drugs for personal use; the production, trafficking and dealing of illicit drugs and; driving under the influence of drugs and alcohol. The proportion that this time represented </w:t>
      </w:r>
      <w:r w:rsidR="00834CD6" w:rsidRPr="00BE15B8">
        <w:rPr>
          <w:rFonts w:asciiTheme="minorHAnsi" w:eastAsiaTheme="minorEastAsia" w:hAnsiTheme="minorHAnsi"/>
          <w:color w:val="000000" w:themeColor="text1"/>
          <w:kern w:val="24"/>
          <w:lang w:val="en-GB"/>
        </w:rPr>
        <w:t>of</w:t>
      </w:r>
      <w:r w:rsidRPr="00BE15B8">
        <w:rPr>
          <w:rFonts w:asciiTheme="minorHAnsi" w:eastAsiaTheme="minorEastAsia" w:hAnsiTheme="minorHAnsi"/>
          <w:color w:val="000000" w:themeColor="text1"/>
          <w:kern w:val="24"/>
          <w:lang w:val="en-GB"/>
        </w:rPr>
        <w:t xml:space="preserve"> the total working time </w:t>
      </w:r>
      <w:r w:rsidR="00834CD6" w:rsidRPr="00BE15B8">
        <w:rPr>
          <w:rFonts w:asciiTheme="minorHAnsi" w:eastAsiaTheme="minorEastAsia" w:hAnsiTheme="minorHAnsi"/>
          <w:color w:val="000000" w:themeColor="text1"/>
          <w:kern w:val="24"/>
          <w:lang w:val="en-GB"/>
        </w:rPr>
        <w:t>for the</w:t>
      </w:r>
      <w:r w:rsidRPr="00BE15B8">
        <w:rPr>
          <w:rFonts w:asciiTheme="minorHAnsi" w:eastAsiaTheme="minorEastAsia" w:hAnsiTheme="minorHAnsi"/>
          <w:color w:val="000000" w:themeColor="text1"/>
          <w:kern w:val="24"/>
          <w:lang w:val="en-GB"/>
        </w:rPr>
        <w:t xml:space="preserve"> police forces </w:t>
      </w:r>
      <w:r w:rsidR="00834CD6" w:rsidRPr="00BE15B8">
        <w:rPr>
          <w:rFonts w:asciiTheme="minorHAnsi" w:eastAsiaTheme="minorEastAsia" w:hAnsiTheme="minorHAnsi"/>
          <w:color w:val="000000" w:themeColor="text1"/>
          <w:kern w:val="24"/>
          <w:lang w:val="en-GB"/>
        </w:rPr>
        <w:t>was</w:t>
      </w:r>
      <w:r w:rsidRPr="00BE15B8">
        <w:rPr>
          <w:rFonts w:asciiTheme="minorHAnsi" w:eastAsiaTheme="minorEastAsia" w:hAnsiTheme="minorHAnsi"/>
          <w:color w:val="000000" w:themeColor="text1"/>
          <w:kern w:val="24"/>
          <w:lang w:val="en-GB"/>
        </w:rPr>
        <w:t xml:space="preserve"> then used as </w:t>
      </w:r>
      <w:r w:rsidR="00834CD6" w:rsidRPr="00BE15B8">
        <w:rPr>
          <w:rFonts w:asciiTheme="minorHAnsi" w:eastAsiaTheme="minorEastAsia" w:hAnsiTheme="minorHAnsi"/>
          <w:color w:val="000000" w:themeColor="text1"/>
          <w:kern w:val="24"/>
          <w:lang w:val="en-GB"/>
        </w:rPr>
        <w:t xml:space="preserve">an </w:t>
      </w:r>
      <w:r w:rsidRPr="00BE15B8">
        <w:rPr>
          <w:rFonts w:asciiTheme="minorHAnsi" w:eastAsiaTheme="minorEastAsia" w:hAnsiTheme="minorHAnsi"/>
          <w:color w:val="000000" w:themeColor="text1"/>
          <w:kern w:val="24"/>
          <w:lang w:val="en-GB"/>
        </w:rPr>
        <w:t xml:space="preserve">‘attributable-fraction’ for disentangling the amount </w:t>
      </w:r>
      <w:r w:rsidR="00834CD6" w:rsidRPr="00BE15B8">
        <w:rPr>
          <w:rFonts w:asciiTheme="minorHAnsi" w:eastAsiaTheme="minorEastAsia" w:hAnsiTheme="minorHAnsi"/>
          <w:color w:val="000000" w:themeColor="text1"/>
          <w:kern w:val="24"/>
          <w:lang w:val="en-GB"/>
        </w:rPr>
        <w:t>of money</w:t>
      </w:r>
      <w:r w:rsidRPr="00BE15B8">
        <w:rPr>
          <w:rFonts w:asciiTheme="minorHAnsi" w:eastAsiaTheme="minorEastAsia" w:hAnsiTheme="minorHAnsi"/>
          <w:color w:val="000000" w:themeColor="text1"/>
          <w:kern w:val="24"/>
          <w:lang w:val="en-GB"/>
        </w:rPr>
        <w:t xml:space="preserve"> which </w:t>
      </w:r>
      <w:r w:rsidR="00834CD6" w:rsidRPr="00BE15B8">
        <w:rPr>
          <w:rFonts w:asciiTheme="minorHAnsi" w:eastAsiaTheme="minorEastAsia" w:hAnsiTheme="minorHAnsi"/>
          <w:color w:val="000000" w:themeColor="text1"/>
          <w:kern w:val="24"/>
          <w:lang w:val="en-GB"/>
        </w:rPr>
        <w:t>was</w:t>
      </w:r>
      <w:r w:rsidRPr="00BE15B8">
        <w:rPr>
          <w:rFonts w:asciiTheme="minorHAnsi" w:eastAsiaTheme="minorEastAsia" w:hAnsiTheme="minorHAnsi"/>
          <w:color w:val="000000" w:themeColor="text1"/>
          <w:kern w:val="24"/>
          <w:lang w:val="en-GB"/>
        </w:rPr>
        <w:t xml:space="preserve"> spent on drug-related police activities, from the total spending in police activity. </w:t>
      </w:r>
      <w:r w:rsidRPr="00BE15B8">
        <w:rPr>
          <w:rFonts w:asciiTheme="minorHAnsi" w:hAnsiTheme="minorHAnsi"/>
          <w:lang w:val="en-GB"/>
        </w:rPr>
        <w:t xml:space="preserve">Within the funds </w:t>
      </w:r>
      <w:r w:rsidR="00DA056F" w:rsidRPr="00BE15B8">
        <w:rPr>
          <w:rFonts w:asciiTheme="minorHAnsi" w:hAnsiTheme="minorHAnsi"/>
          <w:lang w:val="en-GB"/>
        </w:rPr>
        <w:t>allocated</w:t>
      </w:r>
      <w:r w:rsidRPr="00BE15B8">
        <w:rPr>
          <w:rFonts w:asciiTheme="minorHAnsi" w:hAnsiTheme="minorHAnsi"/>
          <w:lang w:val="en-GB"/>
        </w:rPr>
        <w:t xml:space="preserve"> on supply reduction, </w:t>
      </w:r>
      <w:r w:rsidRPr="00BE15B8">
        <w:rPr>
          <w:rFonts w:asciiTheme="minorHAnsi" w:eastAsiaTheme="minorEastAsia" w:hAnsiTheme="minorHAnsi"/>
          <w:color w:val="000000" w:themeColor="text1"/>
          <w:kern w:val="24"/>
          <w:lang w:val="en-GB"/>
        </w:rPr>
        <w:t>14% was spent on drug-police activity; while law courts and prisons absorbed the remaining 21</w:t>
      </w:r>
      <w:r w:rsidR="00834CD6" w:rsidRPr="00BE15B8">
        <w:rPr>
          <w:rFonts w:asciiTheme="minorHAnsi" w:eastAsiaTheme="minorEastAsia" w:hAnsiTheme="minorHAnsi"/>
          <w:color w:val="000000" w:themeColor="text1"/>
          <w:kern w:val="24"/>
          <w:lang w:val="en-GB"/>
        </w:rPr>
        <w:t>% and 65%, respectively</w:t>
      </w:r>
      <w:r w:rsidRPr="00BE15B8">
        <w:rPr>
          <w:rFonts w:asciiTheme="minorHAnsi" w:eastAsiaTheme="minorEastAsia" w:hAnsiTheme="minorHAnsi"/>
          <w:color w:val="000000" w:themeColor="text1"/>
          <w:kern w:val="24"/>
          <w:lang w:val="en-GB"/>
        </w:rPr>
        <w:t>.</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Moolenar</w:t>
      </w:r>
      <w:r w:rsidR="006944FA" w:rsidRPr="00BE15B8">
        <w:rPr>
          <w:rFonts w:asciiTheme="minorHAnsi" w:eastAsiaTheme="minorEastAsia" w:hAnsiTheme="minorHAnsi"/>
          <w:color w:val="000000" w:themeColor="text1"/>
          <w:kern w:val="24"/>
          <w:lang w:val="en-GB"/>
        </w:rPr>
        <w:t xml:space="preserve"> </w:t>
      </w:r>
      <w:r w:rsidRPr="00BE15B8">
        <w:rPr>
          <w:rFonts w:asciiTheme="minorHAnsi" w:eastAsiaTheme="minorEastAsia" w:hAnsiTheme="minorHAnsi"/>
          <w:color w:val="000000" w:themeColor="text1"/>
          <w:kern w:val="24"/>
          <w:lang w:val="en-GB"/>
        </w:rPr>
        <w:t>(</w:t>
      </w:r>
      <w:r w:rsidR="006944FA" w:rsidRPr="00BE15B8">
        <w:rPr>
          <w:rFonts w:asciiTheme="minorHAnsi" w:eastAsiaTheme="minorEastAsia" w:hAnsiTheme="minorHAnsi"/>
          <w:color w:val="000000" w:themeColor="text1"/>
          <w:kern w:val="24"/>
          <w:lang w:val="en-GB"/>
        </w:rPr>
        <w:t>2009</w:t>
      </w:r>
      <w:r w:rsidRPr="00BE15B8">
        <w:rPr>
          <w:rFonts w:asciiTheme="minorHAnsi" w:eastAsiaTheme="minorEastAsia" w:hAnsiTheme="minorHAnsi"/>
          <w:color w:val="000000" w:themeColor="text1"/>
          <w:kern w:val="24"/>
          <w:lang w:val="en-GB"/>
        </w:rPr>
        <w:t>)</w:t>
      </w:r>
      <w:r w:rsidR="006944FA" w:rsidRPr="00BE15B8">
        <w:rPr>
          <w:rFonts w:asciiTheme="minorHAnsi" w:eastAsiaTheme="minorEastAsia" w:hAnsiTheme="minorHAnsi"/>
          <w:color w:val="000000" w:themeColor="text1"/>
          <w:kern w:val="24"/>
          <w:lang w:val="en-GB"/>
        </w:rPr>
        <w:t xml:space="preserve"> developed </w:t>
      </w:r>
      <w:r w:rsidR="00337CB7" w:rsidRPr="00BE15B8">
        <w:rPr>
          <w:rFonts w:asciiTheme="minorHAnsi" w:eastAsiaTheme="minorEastAsia" w:hAnsiTheme="minorHAnsi"/>
          <w:color w:val="000000" w:themeColor="text1"/>
          <w:kern w:val="24"/>
          <w:lang w:val="en-GB"/>
        </w:rPr>
        <w:t>a</w:t>
      </w:r>
      <w:r w:rsidR="006944FA" w:rsidRPr="00BE15B8">
        <w:rPr>
          <w:rFonts w:asciiTheme="minorHAnsi" w:eastAsiaTheme="minorEastAsia" w:hAnsiTheme="minorHAnsi"/>
          <w:color w:val="000000" w:themeColor="text1"/>
          <w:kern w:val="24"/>
          <w:lang w:val="en-GB"/>
        </w:rPr>
        <w:t xml:space="preserve"> model </w:t>
      </w:r>
      <w:r w:rsidR="001263F0">
        <w:rPr>
          <w:rFonts w:asciiTheme="minorHAnsi" w:eastAsiaTheme="minorEastAsia" w:hAnsiTheme="minorHAnsi"/>
          <w:color w:val="000000" w:themeColor="text1"/>
          <w:kern w:val="24"/>
          <w:lang w:val="en-GB"/>
        </w:rPr>
        <w:t>and provided</w:t>
      </w:r>
      <w:r w:rsidR="006944FA" w:rsidRPr="00BE15B8">
        <w:rPr>
          <w:rFonts w:asciiTheme="minorHAnsi" w:eastAsiaTheme="minorEastAsia" w:hAnsiTheme="minorHAnsi"/>
          <w:color w:val="000000" w:themeColor="text1"/>
          <w:kern w:val="24"/>
          <w:lang w:val="en-GB"/>
        </w:rPr>
        <w:t xml:space="preserve"> an example of how to estimate public spending on supply reduction initiatives in the Netherlands. The author applied a top-down model based on the average cost of time of police work. Moolenar weighted this average length that each type of criminal investigations t</w:t>
      </w:r>
      <w:r w:rsidR="001263F0">
        <w:rPr>
          <w:rFonts w:asciiTheme="minorHAnsi" w:eastAsiaTheme="minorEastAsia" w:hAnsiTheme="minorHAnsi"/>
          <w:color w:val="000000" w:themeColor="text1"/>
          <w:kern w:val="24"/>
          <w:lang w:val="en-GB"/>
        </w:rPr>
        <w:t>ook</w:t>
      </w:r>
      <w:r w:rsidR="006944FA" w:rsidRPr="00BE15B8">
        <w:rPr>
          <w:rFonts w:asciiTheme="minorHAnsi" w:eastAsiaTheme="minorEastAsia" w:hAnsiTheme="minorHAnsi"/>
          <w:color w:val="000000" w:themeColor="text1"/>
          <w:kern w:val="24"/>
          <w:lang w:val="en-GB"/>
        </w:rPr>
        <w:t xml:space="preserve"> by first, type of criminal activity (assuming that different criminal activities have different </w:t>
      </w:r>
      <w:r w:rsidR="001263F0">
        <w:rPr>
          <w:rFonts w:asciiTheme="minorHAnsi" w:eastAsiaTheme="minorEastAsia" w:hAnsiTheme="minorHAnsi"/>
          <w:color w:val="000000" w:themeColor="text1"/>
          <w:kern w:val="24"/>
          <w:lang w:val="en-GB"/>
        </w:rPr>
        <w:t xml:space="preserve">investigation </w:t>
      </w:r>
      <w:r w:rsidR="006944FA" w:rsidRPr="00BE15B8">
        <w:rPr>
          <w:rFonts w:asciiTheme="minorHAnsi" w:eastAsiaTheme="minorEastAsia" w:hAnsiTheme="minorHAnsi"/>
          <w:color w:val="000000" w:themeColor="text1"/>
          <w:kern w:val="24"/>
          <w:lang w:val="en-GB"/>
        </w:rPr>
        <w:t>costs</w:t>
      </w:r>
      <w:r w:rsidR="001263F0">
        <w:rPr>
          <w:rFonts w:asciiTheme="minorHAnsi" w:eastAsiaTheme="minorEastAsia" w:hAnsiTheme="minorHAnsi"/>
          <w:color w:val="000000" w:themeColor="text1"/>
          <w:kern w:val="24"/>
          <w:lang w:val="en-GB"/>
        </w:rPr>
        <w:t xml:space="preserve"> </w:t>
      </w:r>
      <w:r w:rsidR="006944FA" w:rsidRPr="00BE15B8">
        <w:rPr>
          <w:rFonts w:asciiTheme="minorHAnsi" w:eastAsiaTheme="minorEastAsia" w:hAnsiTheme="minorHAnsi"/>
          <w:color w:val="000000" w:themeColor="text1"/>
          <w:kern w:val="24"/>
          <w:lang w:val="en-GB"/>
        </w:rPr>
        <w:t>– based the assessment on the severity of the crime) and; second, by the number of cases that each criminal activity occurred</w:t>
      </w:r>
      <w:r w:rsidR="006944FA" w:rsidRPr="00BE15B8">
        <w:rPr>
          <w:rStyle w:val="Fotnotereferanse"/>
          <w:rFonts w:asciiTheme="minorHAnsi" w:eastAsiaTheme="minorEastAsia" w:hAnsiTheme="minorHAnsi"/>
          <w:color w:val="000000" w:themeColor="text1"/>
          <w:kern w:val="24"/>
          <w:lang w:val="en-GB"/>
        </w:rPr>
        <w:footnoteReference w:id="3"/>
      </w:r>
      <w:r w:rsidR="006944FA" w:rsidRPr="00BE15B8">
        <w:rPr>
          <w:rFonts w:asciiTheme="minorHAnsi" w:eastAsiaTheme="minorEastAsia" w:hAnsiTheme="minorHAnsi"/>
          <w:color w:val="000000" w:themeColor="text1"/>
          <w:kern w:val="24"/>
          <w:lang w:val="en-GB"/>
        </w:rPr>
        <w:t xml:space="preserve">. </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Customs</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As for </w:t>
      </w:r>
      <w:r w:rsidR="006A75DA" w:rsidRPr="00BE15B8">
        <w:rPr>
          <w:rFonts w:asciiTheme="minorHAnsi" w:eastAsiaTheme="minorEastAsia" w:hAnsiTheme="minorHAnsi"/>
          <w:color w:val="000000" w:themeColor="text1"/>
          <w:kern w:val="24"/>
          <w:lang w:val="en-GB"/>
        </w:rPr>
        <w:t xml:space="preserve">the </w:t>
      </w:r>
      <w:r w:rsidRPr="00BE15B8">
        <w:rPr>
          <w:rFonts w:asciiTheme="minorHAnsi" w:eastAsiaTheme="minorEastAsia" w:hAnsiTheme="minorHAnsi"/>
          <w:color w:val="000000" w:themeColor="text1"/>
          <w:kern w:val="24"/>
          <w:lang w:val="en-GB"/>
        </w:rPr>
        <w:t>customs services, the share of custom officers who deal with drug control activities and/or the proportion of their working time, compared to the total number of custom officers, has been used as an attributable fraction.  As input data</w:t>
      </w:r>
      <w:r w:rsidR="00651076" w:rsidRPr="00BE15B8">
        <w:rPr>
          <w:rFonts w:asciiTheme="minorHAnsi" w:eastAsiaTheme="minorEastAsia" w:hAnsiTheme="minorHAnsi"/>
          <w:color w:val="000000" w:themeColor="text1"/>
          <w:kern w:val="24"/>
          <w:lang w:val="en-GB"/>
        </w:rPr>
        <w:t>,</w:t>
      </w:r>
      <w:r w:rsidRPr="00BE15B8">
        <w:rPr>
          <w:rFonts w:asciiTheme="minorHAnsi" w:eastAsiaTheme="minorEastAsia" w:hAnsiTheme="minorHAnsi"/>
          <w:color w:val="000000" w:themeColor="text1"/>
          <w:kern w:val="24"/>
          <w:lang w:val="en-GB"/>
        </w:rPr>
        <w:t xml:space="preserve"> the number of customs officers who are involved with drug control activities forms the basis for the calculation. Then, these </w:t>
      </w:r>
      <w:r w:rsidR="006A75DA" w:rsidRPr="00BE15B8">
        <w:rPr>
          <w:rFonts w:asciiTheme="minorHAnsi" w:eastAsiaTheme="minorEastAsia" w:hAnsiTheme="minorHAnsi"/>
          <w:color w:val="000000" w:themeColor="text1"/>
          <w:kern w:val="24"/>
          <w:lang w:val="en-GB"/>
        </w:rPr>
        <w:t>estimates</w:t>
      </w:r>
      <w:r w:rsidRPr="00BE15B8">
        <w:rPr>
          <w:rFonts w:asciiTheme="minorHAnsi" w:eastAsiaTheme="minorEastAsia" w:hAnsiTheme="minorHAnsi"/>
          <w:color w:val="000000" w:themeColor="text1"/>
          <w:kern w:val="24"/>
          <w:lang w:val="en-GB"/>
        </w:rPr>
        <w:t xml:space="preserve"> </w:t>
      </w:r>
      <w:r w:rsidR="006A75DA" w:rsidRPr="00BE15B8">
        <w:rPr>
          <w:rFonts w:asciiTheme="minorHAnsi" w:eastAsiaTheme="minorEastAsia" w:hAnsiTheme="minorHAnsi"/>
          <w:color w:val="000000" w:themeColor="text1"/>
          <w:kern w:val="24"/>
          <w:lang w:val="en-GB"/>
        </w:rPr>
        <w:t>we</w:t>
      </w:r>
      <w:r w:rsidRPr="00BE15B8">
        <w:rPr>
          <w:rFonts w:asciiTheme="minorHAnsi" w:eastAsiaTheme="minorEastAsia" w:hAnsiTheme="minorHAnsi"/>
          <w:color w:val="000000" w:themeColor="text1"/>
          <w:kern w:val="24"/>
          <w:lang w:val="en-GB"/>
        </w:rPr>
        <w:t>re applied to the total expenses of the customs administration (minus any labelled expenditure explicitly directed towards this activity).</w:t>
      </w:r>
      <w:r w:rsidR="006A75DA" w:rsidRPr="00BE15B8">
        <w:rPr>
          <w:rFonts w:asciiTheme="minorHAnsi" w:eastAsiaTheme="minorEastAsia" w:hAnsiTheme="minorHAnsi"/>
          <w:color w:val="000000" w:themeColor="text1"/>
          <w:kern w:val="24"/>
          <w:lang w:val="en-GB"/>
        </w:rPr>
        <w:t xml:space="preserve"> It should</w:t>
      </w:r>
      <w:r w:rsidR="00651076" w:rsidRPr="00BE15B8">
        <w:rPr>
          <w:rFonts w:asciiTheme="minorHAnsi" w:eastAsiaTheme="minorEastAsia" w:hAnsiTheme="minorHAnsi"/>
          <w:color w:val="000000" w:themeColor="text1"/>
          <w:kern w:val="24"/>
          <w:lang w:val="en-GB"/>
        </w:rPr>
        <w:t>,</w:t>
      </w:r>
      <w:r w:rsidR="006A75DA" w:rsidRPr="00BE15B8">
        <w:rPr>
          <w:rFonts w:asciiTheme="minorHAnsi" w:eastAsiaTheme="minorEastAsia" w:hAnsiTheme="minorHAnsi"/>
          <w:color w:val="000000" w:themeColor="text1"/>
          <w:kern w:val="24"/>
          <w:lang w:val="en-GB"/>
        </w:rPr>
        <w:t xml:space="preserve"> however</w:t>
      </w:r>
      <w:r w:rsidR="00651076" w:rsidRPr="00BE15B8">
        <w:rPr>
          <w:rFonts w:asciiTheme="minorHAnsi" w:eastAsiaTheme="minorEastAsia" w:hAnsiTheme="minorHAnsi"/>
          <w:color w:val="000000" w:themeColor="text1"/>
          <w:kern w:val="24"/>
          <w:lang w:val="en-GB"/>
        </w:rPr>
        <w:t>,</w:t>
      </w:r>
      <w:r w:rsidR="006A75DA" w:rsidRPr="00BE15B8">
        <w:rPr>
          <w:rFonts w:asciiTheme="minorHAnsi" w:eastAsiaTheme="minorEastAsia" w:hAnsiTheme="minorHAnsi"/>
          <w:color w:val="000000" w:themeColor="text1"/>
          <w:kern w:val="24"/>
          <w:lang w:val="en-GB"/>
        </w:rPr>
        <w:t xml:space="preserve"> be noted that most customs officers do not exclusively allocate their working time to drug control activities, so ideally, the percentage, or an average, of working time devoted to drug control should therefore be estimated.</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A14AF1"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Ko</w:t>
      </w:r>
      <w:r>
        <w:rPr>
          <w:rFonts w:asciiTheme="minorHAnsi" w:eastAsiaTheme="minorEastAsia" w:hAnsiTheme="minorHAnsi"/>
          <w:color w:val="000000" w:themeColor="text1"/>
          <w:kern w:val="24"/>
          <w:lang w:val="en-GB"/>
        </w:rPr>
        <w:t>p</w:t>
      </w:r>
      <w:r w:rsidRPr="00BE15B8">
        <w:rPr>
          <w:rFonts w:asciiTheme="minorHAnsi" w:eastAsiaTheme="minorEastAsia" w:hAnsiTheme="minorHAnsi"/>
          <w:color w:val="000000" w:themeColor="text1"/>
          <w:kern w:val="24"/>
          <w:lang w:val="en-GB"/>
        </w:rPr>
        <w:t xml:space="preserve">p </w:t>
      </w:r>
      <w:r w:rsidR="006944FA" w:rsidRPr="00BE15B8">
        <w:rPr>
          <w:rFonts w:asciiTheme="minorHAnsi" w:eastAsiaTheme="minorEastAsia" w:hAnsiTheme="minorHAnsi"/>
          <w:color w:val="000000" w:themeColor="text1"/>
          <w:kern w:val="24"/>
          <w:lang w:val="en-GB"/>
        </w:rPr>
        <w:t xml:space="preserve">and Fenoglio (2002) estimated the drug-related expenditure </w:t>
      </w:r>
      <w:r w:rsidR="00931E95" w:rsidRPr="00BE15B8">
        <w:rPr>
          <w:rFonts w:asciiTheme="minorHAnsi" w:eastAsiaTheme="minorEastAsia" w:hAnsiTheme="minorHAnsi"/>
          <w:color w:val="000000" w:themeColor="text1"/>
          <w:kern w:val="24"/>
          <w:lang w:val="en-GB"/>
        </w:rPr>
        <w:t>of</w:t>
      </w:r>
      <w:r w:rsidR="006944FA" w:rsidRPr="00BE15B8">
        <w:rPr>
          <w:rFonts w:asciiTheme="minorHAnsi" w:eastAsiaTheme="minorEastAsia" w:hAnsiTheme="minorHAnsi"/>
          <w:color w:val="000000" w:themeColor="text1"/>
          <w:kern w:val="24"/>
          <w:lang w:val="en-GB"/>
        </w:rPr>
        <w:t xml:space="preserve"> customs based on the proportion of </w:t>
      </w:r>
      <w:r w:rsidR="00931E95" w:rsidRPr="00BE15B8">
        <w:rPr>
          <w:rFonts w:asciiTheme="minorHAnsi" w:eastAsiaTheme="minorEastAsia" w:hAnsiTheme="minorHAnsi"/>
          <w:color w:val="000000" w:themeColor="text1"/>
          <w:kern w:val="24"/>
          <w:lang w:val="en-GB"/>
        </w:rPr>
        <w:t>customs</w:t>
      </w:r>
      <w:r w:rsidR="006944FA" w:rsidRPr="00BE15B8">
        <w:rPr>
          <w:rFonts w:asciiTheme="minorHAnsi" w:eastAsiaTheme="minorEastAsia" w:hAnsiTheme="minorHAnsi"/>
          <w:color w:val="000000" w:themeColor="text1"/>
          <w:kern w:val="24"/>
          <w:lang w:val="en-GB"/>
        </w:rPr>
        <w:t xml:space="preserve"> officers allocated to combat illicit drug trafficking from the total number of </w:t>
      </w:r>
      <w:r w:rsidR="00931E95" w:rsidRPr="00BE15B8">
        <w:rPr>
          <w:rFonts w:asciiTheme="minorHAnsi" w:eastAsiaTheme="minorEastAsia" w:hAnsiTheme="minorHAnsi"/>
          <w:color w:val="000000" w:themeColor="text1"/>
          <w:kern w:val="24"/>
          <w:lang w:val="en-GB"/>
        </w:rPr>
        <w:t>customs</w:t>
      </w:r>
      <w:r w:rsidR="006944FA" w:rsidRPr="00BE15B8">
        <w:rPr>
          <w:rFonts w:asciiTheme="minorHAnsi" w:eastAsiaTheme="minorEastAsia" w:hAnsiTheme="minorHAnsi"/>
          <w:color w:val="000000" w:themeColor="text1"/>
          <w:kern w:val="24"/>
          <w:lang w:val="en-GB"/>
        </w:rPr>
        <w:t xml:space="preserve"> officers. This proportion </w:t>
      </w:r>
      <w:r w:rsidR="00931E95" w:rsidRPr="00BE15B8">
        <w:rPr>
          <w:rFonts w:asciiTheme="minorHAnsi" w:eastAsiaTheme="minorEastAsia" w:hAnsiTheme="minorHAnsi"/>
          <w:color w:val="000000" w:themeColor="text1"/>
          <w:kern w:val="24"/>
          <w:lang w:val="en-GB"/>
        </w:rPr>
        <w:t>constituted</w:t>
      </w:r>
      <w:r w:rsidR="006944FA" w:rsidRPr="00BE15B8">
        <w:rPr>
          <w:rFonts w:asciiTheme="minorHAnsi" w:eastAsiaTheme="minorEastAsia" w:hAnsiTheme="minorHAnsi"/>
          <w:color w:val="000000" w:themeColor="text1"/>
          <w:kern w:val="24"/>
          <w:lang w:val="en-GB"/>
        </w:rPr>
        <w:t xml:space="preserve"> then the attributable fraction applied to the total budget from customs. The authors conclude</w:t>
      </w:r>
      <w:r w:rsidR="00931E95" w:rsidRPr="00BE15B8">
        <w:rPr>
          <w:rFonts w:asciiTheme="minorHAnsi" w:eastAsiaTheme="minorEastAsia" w:hAnsiTheme="minorHAnsi"/>
          <w:color w:val="000000" w:themeColor="text1"/>
          <w:kern w:val="24"/>
          <w:lang w:val="en-GB"/>
        </w:rPr>
        <w:t>d</w:t>
      </w:r>
      <w:r w:rsidR="006944FA" w:rsidRPr="00BE15B8">
        <w:rPr>
          <w:rFonts w:asciiTheme="minorHAnsi" w:eastAsiaTheme="minorEastAsia" w:hAnsiTheme="minorHAnsi"/>
          <w:color w:val="000000" w:themeColor="text1"/>
          <w:kern w:val="24"/>
          <w:lang w:val="en-GB"/>
        </w:rPr>
        <w:t xml:space="preserve"> that in the year of 2000, drug-related spending on customs represented close to 10% of the total drug-related spending. Note that, as these authors remark</w:t>
      </w:r>
      <w:r w:rsidR="00931E95" w:rsidRPr="00BE15B8">
        <w:rPr>
          <w:rFonts w:asciiTheme="minorHAnsi" w:eastAsiaTheme="minorEastAsia" w:hAnsiTheme="minorHAnsi"/>
          <w:color w:val="000000" w:themeColor="text1"/>
          <w:kern w:val="24"/>
          <w:lang w:val="en-GB"/>
        </w:rPr>
        <w:t>ed</w:t>
      </w:r>
      <w:r w:rsidR="006944FA" w:rsidRPr="00BE15B8">
        <w:rPr>
          <w:rFonts w:asciiTheme="minorHAnsi" w:eastAsiaTheme="minorEastAsia" w:hAnsiTheme="minorHAnsi"/>
          <w:color w:val="000000" w:themeColor="text1"/>
          <w:kern w:val="24"/>
          <w:lang w:val="en-GB"/>
        </w:rPr>
        <w:t xml:space="preserve">, omitting costs such as those of detection equipment or detection dogs may constitute a relevant limitation since these costs of detecting machinery may have a strong impact </w:t>
      </w:r>
      <w:r w:rsidR="00931E95" w:rsidRPr="00BE15B8">
        <w:rPr>
          <w:rFonts w:asciiTheme="minorHAnsi" w:eastAsiaTheme="minorEastAsia" w:hAnsiTheme="minorHAnsi"/>
          <w:color w:val="000000" w:themeColor="text1"/>
          <w:kern w:val="24"/>
          <w:lang w:val="en-GB"/>
        </w:rPr>
        <w:t>on</w:t>
      </w:r>
      <w:r w:rsidR="006944FA" w:rsidRPr="00BE15B8">
        <w:rPr>
          <w:rFonts w:asciiTheme="minorHAnsi" w:eastAsiaTheme="minorEastAsia" w:hAnsiTheme="minorHAnsi"/>
          <w:color w:val="000000" w:themeColor="text1"/>
          <w:kern w:val="24"/>
          <w:lang w:val="en-GB"/>
        </w:rPr>
        <w:t xml:space="preserve"> relatively small budgets </w:t>
      </w:r>
      <w:r w:rsidR="00931E95" w:rsidRPr="00BE15B8">
        <w:rPr>
          <w:rFonts w:asciiTheme="minorHAnsi" w:eastAsiaTheme="minorEastAsia" w:hAnsiTheme="minorHAnsi"/>
          <w:color w:val="000000" w:themeColor="text1"/>
          <w:kern w:val="24"/>
          <w:lang w:val="en-GB"/>
        </w:rPr>
        <w:t>like</w:t>
      </w:r>
      <w:r w:rsidR="006944FA" w:rsidRPr="00BE15B8">
        <w:rPr>
          <w:rFonts w:asciiTheme="minorHAnsi" w:eastAsiaTheme="minorEastAsia" w:hAnsiTheme="minorHAnsi"/>
          <w:color w:val="000000" w:themeColor="text1"/>
          <w:kern w:val="24"/>
          <w:lang w:val="en-GB"/>
        </w:rPr>
        <w:t xml:space="preserve"> th</w:t>
      </w:r>
      <w:r w:rsidR="00931E95" w:rsidRPr="00BE15B8">
        <w:rPr>
          <w:rFonts w:asciiTheme="minorHAnsi" w:eastAsiaTheme="minorEastAsia" w:hAnsiTheme="minorHAnsi"/>
          <w:color w:val="000000" w:themeColor="text1"/>
          <w:kern w:val="24"/>
          <w:lang w:val="en-GB"/>
        </w:rPr>
        <w:t>e one</w:t>
      </w:r>
      <w:r w:rsidR="006944FA" w:rsidRPr="00BE15B8">
        <w:rPr>
          <w:rFonts w:asciiTheme="minorHAnsi" w:eastAsiaTheme="minorEastAsia" w:hAnsiTheme="minorHAnsi"/>
          <w:color w:val="000000" w:themeColor="text1"/>
          <w:kern w:val="24"/>
          <w:lang w:val="en-GB"/>
        </w:rPr>
        <w:t xml:space="preserve"> from customs.  </w:t>
      </w:r>
    </w:p>
    <w:p w:rsidR="006A75DA" w:rsidRPr="00BE15B8" w:rsidRDefault="006A75D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3267AB" w:rsidRPr="00BE15B8" w:rsidRDefault="003267AB" w:rsidP="003267A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Lievens et al. (2016) estimated drug-related expenditure on customs </w:t>
      </w:r>
      <w:r>
        <w:rPr>
          <w:rFonts w:asciiTheme="minorHAnsi" w:eastAsiaTheme="minorEastAsia" w:hAnsiTheme="minorHAnsi"/>
          <w:color w:val="000000" w:themeColor="text1"/>
          <w:kern w:val="24"/>
          <w:lang w:val="en-GB"/>
        </w:rPr>
        <w:t>police</w:t>
      </w:r>
      <w:r w:rsidR="00B82227">
        <w:rPr>
          <w:rFonts w:asciiTheme="minorHAnsi" w:eastAsiaTheme="minorEastAsia" w:hAnsiTheme="minorHAnsi"/>
          <w:color w:val="000000" w:themeColor="text1"/>
          <w:kern w:val="24"/>
          <w:lang w:val="en-GB"/>
        </w:rPr>
        <w:t xml:space="preserve"> based o</w:t>
      </w:r>
      <w:r w:rsidRPr="00BE15B8">
        <w:rPr>
          <w:rFonts w:asciiTheme="minorHAnsi" w:eastAsiaTheme="minorEastAsia" w:hAnsiTheme="minorHAnsi"/>
          <w:color w:val="000000" w:themeColor="text1"/>
          <w:kern w:val="24"/>
          <w:lang w:val="en-GB"/>
        </w:rPr>
        <w:t xml:space="preserve">n the proportion that drug-law violations represented </w:t>
      </w:r>
      <w:r w:rsidR="00B82227">
        <w:rPr>
          <w:rFonts w:asciiTheme="minorHAnsi" w:eastAsiaTheme="minorEastAsia" w:hAnsiTheme="minorHAnsi"/>
          <w:color w:val="000000" w:themeColor="text1"/>
          <w:kern w:val="24"/>
          <w:lang w:val="en-GB"/>
        </w:rPr>
        <w:t>of</w:t>
      </w:r>
      <w:r w:rsidRPr="00BE15B8">
        <w:rPr>
          <w:rFonts w:asciiTheme="minorHAnsi" w:eastAsiaTheme="minorEastAsia" w:hAnsiTheme="minorHAnsi"/>
          <w:color w:val="000000" w:themeColor="text1"/>
          <w:kern w:val="24"/>
          <w:lang w:val="en-GB"/>
        </w:rPr>
        <w:t xml:space="preserve"> the total number of violations registered by services, investigation services and motorized brigades. </w:t>
      </w:r>
      <w:r>
        <w:rPr>
          <w:rFonts w:asciiTheme="minorHAnsi" w:eastAsiaTheme="minorEastAsia" w:hAnsiTheme="minorHAnsi"/>
          <w:color w:val="000000" w:themeColor="text1"/>
          <w:kern w:val="24"/>
          <w:lang w:val="en-GB"/>
        </w:rPr>
        <w:t xml:space="preserve">They used a top-down method based on the proportion of drug-law offences represented from the total law offences. </w:t>
      </w:r>
      <w:r w:rsidRPr="00BE15B8">
        <w:rPr>
          <w:rFonts w:asciiTheme="minorHAnsi" w:eastAsiaTheme="minorEastAsia" w:hAnsiTheme="minorHAnsi"/>
          <w:color w:val="000000" w:themeColor="text1"/>
          <w:kern w:val="24"/>
          <w:lang w:val="en-GB"/>
        </w:rPr>
        <w:t xml:space="preserve">In 2012 </w:t>
      </w:r>
      <w:r w:rsidR="00B82227">
        <w:rPr>
          <w:rFonts w:asciiTheme="minorHAnsi" w:eastAsiaTheme="minorEastAsia" w:hAnsiTheme="minorHAnsi"/>
          <w:color w:val="000000" w:themeColor="text1"/>
          <w:kern w:val="24"/>
          <w:lang w:val="en-GB"/>
        </w:rPr>
        <w:t>customs</w:t>
      </w:r>
      <w:r w:rsidRPr="00BE15B8">
        <w:rPr>
          <w:rFonts w:asciiTheme="minorHAnsi" w:eastAsiaTheme="minorEastAsia" w:hAnsiTheme="minorHAnsi"/>
          <w:color w:val="000000" w:themeColor="text1"/>
          <w:kern w:val="24"/>
          <w:lang w:val="en-GB"/>
        </w:rPr>
        <w:t xml:space="preserve"> spending represented 3.6% of the total drug-related public spending on supply reduction</w:t>
      </w:r>
      <w:r>
        <w:rPr>
          <w:rFonts w:asciiTheme="minorHAnsi" w:eastAsiaTheme="minorEastAsia" w:hAnsiTheme="minorHAnsi"/>
          <w:color w:val="000000" w:themeColor="text1"/>
          <w:kern w:val="24"/>
          <w:lang w:val="en-GB"/>
        </w:rPr>
        <w:t xml:space="preserve"> in Belgium</w:t>
      </w:r>
      <w:r w:rsidRPr="00BE15B8">
        <w:rPr>
          <w:rFonts w:asciiTheme="minorHAnsi" w:eastAsiaTheme="minorEastAsia" w:hAnsiTheme="minorHAnsi"/>
          <w:color w:val="000000" w:themeColor="text1"/>
          <w:kern w:val="24"/>
          <w:lang w:val="en-GB"/>
        </w:rPr>
        <w:t>.</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Court systems</w:t>
      </w: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Spending on drug-related court services has been extracted from the total of national expenditure on law courts based on the following activity data:  </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the proportion of drug-related offences on the total number of offences</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r w:rsidRPr="00BE15B8">
        <w:rPr>
          <w:rFonts w:asciiTheme="minorHAnsi" w:eastAsiaTheme="minorEastAsia" w:hAnsiTheme="minorHAnsi"/>
          <w:color w:val="000000" w:themeColor="text1"/>
          <w:kern w:val="24"/>
          <w:lang w:val="en-GB"/>
        </w:rPr>
        <w:t xml:space="preserve">the proportion of drug-related convictions on the </w:t>
      </w:r>
      <w:r w:rsidR="00F25C4B" w:rsidRPr="00BE15B8">
        <w:rPr>
          <w:rFonts w:asciiTheme="minorHAnsi" w:eastAsiaTheme="minorEastAsia" w:hAnsiTheme="minorHAnsi"/>
          <w:color w:val="000000" w:themeColor="text1"/>
          <w:kern w:val="24"/>
          <w:lang w:val="en-GB"/>
        </w:rPr>
        <w:t>total number of convictions</w:t>
      </w:r>
    </w:p>
    <w:p w:rsidR="006944FA" w:rsidRPr="00BE15B8" w:rsidRDefault="006944FA" w:rsidP="006944FA">
      <w:pPr>
        <w:pStyle w:val="NormalWeb"/>
        <w:numPr>
          <w:ilvl w:val="0"/>
          <w:numId w:val="9"/>
        </w:numPr>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eastAsiaTheme="minorEastAsia" w:hAnsiTheme="minorHAnsi"/>
          <w:color w:val="000000" w:themeColor="text1"/>
          <w:kern w:val="24"/>
          <w:lang w:val="en-GB"/>
        </w:rPr>
        <w:t>the share of people imprisoned for drug-related offenses on the tot</w:t>
      </w:r>
      <w:r w:rsidR="00931E95" w:rsidRPr="00BE15B8">
        <w:rPr>
          <w:rFonts w:asciiTheme="minorHAnsi" w:eastAsiaTheme="minorEastAsia" w:hAnsiTheme="minorHAnsi"/>
          <w:color w:val="000000" w:themeColor="text1"/>
          <w:kern w:val="24"/>
          <w:lang w:val="en-GB"/>
        </w:rPr>
        <w:t>al number of prisoners</w:t>
      </w:r>
    </w:p>
    <w:p w:rsidR="006944FA" w:rsidRPr="00BE15B8" w:rsidRDefault="006944FA" w:rsidP="00931E95">
      <w:pPr>
        <w:pStyle w:val="NormalWeb"/>
        <w:kinsoku w:val="0"/>
        <w:overflowPunct w:val="0"/>
        <w:spacing w:before="0" w:beforeAutospacing="0" w:after="0" w:afterAutospacing="0" w:line="276" w:lineRule="auto"/>
        <w:ind w:left="360"/>
        <w:jc w:val="both"/>
        <w:textAlignment w:val="baseline"/>
        <w:rPr>
          <w:rFonts w:asciiTheme="minorHAnsi" w:hAnsiTheme="minorHAnsi"/>
          <w:lang w:val="en-GB"/>
        </w:rPr>
      </w:pPr>
    </w:p>
    <w:p w:rsidR="006944FA" w:rsidRDefault="00A14AF1"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Ko</w:t>
      </w:r>
      <w:r>
        <w:rPr>
          <w:rFonts w:asciiTheme="minorHAnsi" w:hAnsiTheme="minorHAnsi"/>
          <w:lang w:val="en-GB"/>
        </w:rPr>
        <w:t>p</w:t>
      </w:r>
      <w:r w:rsidRPr="00BE15B8">
        <w:rPr>
          <w:rFonts w:asciiTheme="minorHAnsi" w:hAnsiTheme="minorHAnsi"/>
          <w:lang w:val="en-GB"/>
        </w:rPr>
        <w:t xml:space="preserve">p </w:t>
      </w:r>
      <w:r w:rsidR="006944FA" w:rsidRPr="00BE15B8">
        <w:rPr>
          <w:rFonts w:asciiTheme="minorHAnsi" w:hAnsiTheme="minorHAnsi"/>
          <w:lang w:val="en-GB"/>
        </w:rPr>
        <w:t xml:space="preserve">and Fenoglio </w:t>
      </w:r>
      <w:r w:rsidR="00931E95" w:rsidRPr="00BE15B8">
        <w:rPr>
          <w:rFonts w:asciiTheme="minorHAnsi" w:hAnsiTheme="minorHAnsi"/>
          <w:lang w:val="en-GB"/>
        </w:rPr>
        <w:t>(</w:t>
      </w:r>
      <w:r w:rsidR="00337CB7" w:rsidRPr="00BE15B8">
        <w:rPr>
          <w:rFonts w:asciiTheme="minorHAnsi" w:hAnsiTheme="minorHAnsi"/>
          <w:lang w:val="en-GB"/>
        </w:rPr>
        <w:t>2002</w:t>
      </w:r>
      <w:r w:rsidR="00931E95" w:rsidRPr="00BE15B8">
        <w:rPr>
          <w:rFonts w:asciiTheme="minorHAnsi" w:hAnsiTheme="minorHAnsi"/>
          <w:lang w:val="en-GB"/>
        </w:rPr>
        <w:t xml:space="preserve">) </w:t>
      </w:r>
      <w:r w:rsidR="006944FA" w:rsidRPr="00BE15B8">
        <w:rPr>
          <w:rFonts w:asciiTheme="minorHAnsi" w:hAnsiTheme="minorHAnsi"/>
          <w:lang w:val="en-GB"/>
        </w:rPr>
        <w:t xml:space="preserve">estimated the </w:t>
      </w:r>
      <w:r w:rsidR="00931E95" w:rsidRPr="00BE15B8">
        <w:rPr>
          <w:rFonts w:asciiTheme="minorHAnsi" w:hAnsiTheme="minorHAnsi"/>
          <w:lang w:val="en-GB"/>
        </w:rPr>
        <w:t>expendi</w:t>
      </w:r>
      <w:r w:rsidR="00337CB7" w:rsidRPr="00BE15B8">
        <w:rPr>
          <w:rFonts w:asciiTheme="minorHAnsi" w:hAnsiTheme="minorHAnsi"/>
          <w:lang w:val="en-GB"/>
        </w:rPr>
        <w:t>t</w:t>
      </w:r>
      <w:r w:rsidR="00931E95" w:rsidRPr="00BE15B8">
        <w:rPr>
          <w:rFonts w:asciiTheme="minorHAnsi" w:hAnsiTheme="minorHAnsi"/>
          <w:lang w:val="en-GB"/>
        </w:rPr>
        <w:t>u</w:t>
      </w:r>
      <w:r w:rsidR="00337CB7" w:rsidRPr="00BE15B8">
        <w:rPr>
          <w:rFonts w:asciiTheme="minorHAnsi" w:hAnsiTheme="minorHAnsi"/>
          <w:lang w:val="en-GB"/>
        </w:rPr>
        <w:t>r</w:t>
      </w:r>
      <w:r w:rsidR="00931E95" w:rsidRPr="00BE15B8">
        <w:rPr>
          <w:rFonts w:asciiTheme="minorHAnsi" w:hAnsiTheme="minorHAnsi"/>
          <w:lang w:val="en-GB"/>
        </w:rPr>
        <w:t>es</w:t>
      </w:r>
      <w:r w:rsidR="006944FA" w:rsidRPr="00BE15B8">
        <w:rPr>
          <w:rFonts w:asciiTheme="minorHAnsi" w:hAnsiTheme="minorHAnsi"/>
          <w:lang w:val="en-GB"/>
        </w:rPr>
        <w:t xml:space="preserve"> that the drug-related crime represented for the French court system. The</w:t>
      </w:r>
      <w:r w:rsidR="003267AB">
        <w:rPr>
          <w:rFonts w:asciiTheme="minorHAnsi" w:hAnsiTheme="minorHAnsi"/>
          <w:lang w:val="en-GB"/>
        </w:rPr>
        <w:t xml:space="preserve">y adopted a bottom-up approach, with estimates </w:t>
      </w:r>
      <w:r w:rsidR="006944FA" w:rsidRPr="00BE15B8">
        <w:rPr>
          <w:rFonts w:asciiTheme="minorHAnsi" w:hAnsiTheme="minorHAnsi"/>
          <w:lang w:val="en-GB"/>
        </w:rPr>
        <w:t xml:space="preserve">based on the time spent by the various types of French judges and other type of administrative staff on drug-law cases, which was then multiplied by their </w:t>
      </w:r>
      <w:r w:rsidR="006944FA" w:rsidRPr="00BE15B8">
        <w:rPr>
          <w:rFonts w:asciiTheme="minorHAnsi" w:hAnsiTheme="minorHAnsi"/>
          <w:lang w:val="en-GB"/>
        </w:rPr>
        <w:t xml:space="preserve">average salaries. Based on this method, the authors concluded that law courts represented about </w:t>
      </w:r>
      <w:r w:rsidR="00951492">
        <w:rPr>
          <w:rFonts w:asciiTheme="minorHAnsi" w:hAnsiTheme="minorHAnsi"/>
          <w:lang w:val="en-GB"/>
        </w:rPr>
        <w:t>24</w:t>
      </w:r>
      <w:r w:rsidR="002B7919">
        <w:rPr>
          <w:rFonts w:asciiTheme="minorHAnsi" w:hAnsiTheme="minorHAnsi"/>
          <w:lang w:val="en-GB"/>
        </w:rPr>
        <w:t>.4</w:t>
      </w:r>
      <w:r w:rsidR="006944FA" w:rsidRPr="00BE15B8">
        <w:rPr>
          <w:rFonts w:asciiTheme="minorHAnsi" w:hAnsiTheme="minorHAnsi"/>
          <w:lang w:val="en-GB"/>
        </w:rPr>
        <w:t>% of the total drug-related public expenditure in France in 2000.</w:t>
      </w:r>
    </w:p>
    <w:p w:rsidR="003267AB" w:rsidRPr="00BE15B8" w:rsidRDefault="003267AB"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rsidR="00F11B01"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In Croatia, the drug-related spending on courts encompasse</w:t>
      </w:r>
      <w:r w:rsidR="00F25C4B" w:rsidRPr="00BE15B8">
        <w:rPr>
          <w:rFonts w:asciiTheme="minorHAnsi" w:hAnsiTheme="minorHAnsi"/>
          <w:lang w:val="en-GB"/>
        </w:rPr>
        <w:t>d</w:t>
      </w:r>
      <w:r w:rsidRPr="00BE15B8">
        <w:rPr>
          <w:rFonts w:asciiTheme="minorHAnsi" w:hAnsiTheme="minorHAnsi"/>
          <w:lang w:val="en-GB"/>
        </w:rPr>
        <w:t xml:space="preserve"> the drug-related cases prosecuted by the State and the courts (</w:t>
      </w:r>
      <w:hyperlink r:id="rId9" w:tgtFrame="_self" w:history="1">
        <w:r w:rsidRPr="00BE15B8">
          <w:rPr>
            <w:rFonts w:asciiTheme="minorHAnsi" w:hAnsiTheme="minorHAnsi"/>
            <w:lang w:val="en-GB"/>
          </w:rPr>
          <w:t>Švaljek, S</w:t>
        </w:r>
      </w:hyperlink>
      <w:r w:rsidRPr="00BE15B8">
        <w:rPr>
          <w:rFonts w:asciiTheme="minorHAnsi" w:hAnsiTheme="minorHAnsi"/>
          <w:lang w:val="en-GB"/>
        </w:rPr>
        <w:t xml:space="preserve">. and </w:t>
      </w:r>
      <w:hyperlink r:id="rId10" w:tgtFrame="_self" w:history="1">
        <w:r w:rsidRPr="00BE15B8">
          <w:rPr>
            <w:rFonts w:asciiTheme="minorHAnsi" w:hAnsiTheme="minorHAnsi"/>
            <w:lang w:val="en-GB"/>
          </w:rPr>
          <w:t>Budak</w:t>
        </w:r>
      </w:hyperlink>
      <w:r w:rsidRPr="00BE15B8">
        <w:rPr>
          <w:rFonts w:asciiTheme="minorHAnsi" w:hAnsiTheme="minorHAnsi"/>
          <w:lang w:val="en-GB"/>
        </w:rPr>
        <w:t xml:space="preserve"> J., 2014). </w:t>
      </w:r>
      <w:r w:rsidR="00176BB7">
        <w:rPr>
          <w:rFonts w:asciiTheme="minorHAnsi" w:hAnsiTheme="minorHAnsi"/>
          <w:lang w:val="en-GB"/>
        </w:rPr>
        <w:t>The approach used was a top-down based on estimates for the proportion of drug-related crimes as a proportion of total crimes registered by the police. Researchers recognized that estimates were crude but they could not obtain a better proxy for this particular component o</w:t>
      </w:r>
      <w:r w:rsidR="00F04F83">
        <w:rPr>
          <w:rFonts w:asciiTheme="minorHAnsi" w:hAnsiTheme="minorHAnsi"/>
          <w:lang w:val="en-GB"/>
        </w:rPr>
        <w:t>f the</w:t>
      </w:r>
      <w:r w:rsidR="00176BB7">
        <w:rPr>
          <w:rFonts w:asciiTheme="minorHAnsi" w:hAnsiTheme="minorHAnsi"/>
          <w:lang w:val="en-GB"/>
        </w:rPr>
        <w:t xml:space="preserve"> estimates. </w:t>
      </w:r>
    </w:p>
    <w:p w:rsidR="00F11B01" w:rsidRPr="00BE15B8" w:rsidRDefault="00F11B01"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rsidR="006944FA" w:rsidRPr="00BE15B8" w:rsidRDefault="006944FA" w:rsidP="006944FA">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 xml:space="preserve">In Sweden, expenditures for drug-related prosecution and </w:t>
      </w:r>
      <w:r w:rsidR="00F04F83">
        <w:rPr>
          <w:rFonts w:asciiTheme="minorHAnsi" w:hAnsiTheme="minorHAnsi"/>
          <w:lang w:val="en-GB"/>
        </w:rPr>
        <w:t xml:space="preserve">court </w:t>
      </w:r>
      <w:r w:rsidRPr="00BE15B8">
        <w:rPr>
          <w:rFonts w:asciiTheme="minorHAnsi" w:hAnsiTheme="minorHAnsi"/>
          <w:lang w:val="en-GB"/>
        </w:rPr>
        <w:t xml:space="preserve">cases (district, court of appeal and supreme court) were estimated </w:t>
      </w:r>
      <w:r w:rsidR="00176BB7">
        <w:rPr>
          <w:rFonts w:asciiTheme="minorHAnsi" w:hAnsiTheme="minorHAnsi"/>
          <w:lang w:val="en-GB"/>
        </w:rPr>
        <w:t>based on a bottom-up approach, which</w:t>
      </w:r>
      <w:r w:rsidRPr="00BE15B8">
        <w:rPr>
          <w:rFonts w:asciiTheme="minorHAnsi" w:hAnsiTheme="minorHAnsi"/>
          <w:lang w:val="en-GB"/>
        </w:rPr>
        <w:t xml:space="preserve"> </w:t>
      </w:r>
      <w:r w:rsidR="00176BB7" w:rsidRPr="00BE15B8">
        <w:rPr>
          <w:rFonts w:asciiTheme="minorHAnsi" w:hAnsiTheme="minorHAnsi"/>
          <w:lang w:val="en-GB"/>
        </w:rPr>
        <w:t>combin</w:t>
      </w:r>
      <w:r w:rsidR="00176BB7">
        <w:rPr>
          <w:rFonts w:asciiTheme="minorHAnsi" w:hAnsiTheme="minorHAnsi"/>
          <w:lang w:val="en-GB"/>
        </w:rPr>
        <w:t>ed</w:t>
      </w:r>
      <w:r w:rsidR="00176BB7" w:rsidRPr="00BE15B8">
        <w:rPr>
          <w:rFonts w:asciiTheme="minorHAnsi" w:hAnsiTheme="minorHAnsi"/>
          <w:lang w:val="en-GB"/>
        </w:rPr>
        <w:t xml:space="preserve"> </w:t>
      </w:r>
      <w:r w:rsidRPr="00BE15B8">
        <w:rPr>
          <w:rFonts w:asciiTheme="minorHAnsi" w:hAnsiTheme="minorHAnsi"/>
          <w:lang w:val="en-GB"/>
        </w:rPr>
        <w:t>the number of cases and the average cost by case</w:t>
      </w:r>
      <w:r w:rsidR="00F11B01" w:rsidRPr="00BE15B8">
        <w:rPr>
          <w:rFonts w:asciiTheme="minorHAnsi" w:hAnsiTheme="minorHAnsi"/>
          <w:lang w:val="en-GB"/>
        </w:rPr>
        <w:t xml:space="preserve"> (Ramstedt, 2006)</w:t>
      </w:r>
      <w:r w:rsidRPr="00BE15B8">
        <w:rPr>
          <w:rFonts w:asciiTheme="minorHAnsi" w:hAnsiTheme="minorHAnsi"/>
          <w:lang w:val="en-GB"/>
        </w:rPr>
        <w:t>. The data were obtained from an expert official within the judiciary system. It should be noted</w:t>
      </w:r>
      <w:r w:rsidR="00F04F83">
        <w:rPr>
          <w:rFonts w:asciiTheme="minorHAnsi" w:hAnsiTheme="minorHAnsi"/>
          <w:lang w:val="en-GB"/>
        </w:rPr>
        <w:t>,</w:t>
      </w:r>
      <w:r w:rsidRPr="00BE15B8">
        <w:rPr>
          <w:rFonts w:asciiTheme="minorHAnsi" w:hAnsiTheme="minorHAnsi"/>
          <w:lang w:val="en-GB"/>
        </w:rPr>
        <w:t xml:space="preserve"> that the average </w:t>
      </w:r>
      <w:r w:rsidR="00F04F83" w:rsidRPr="00BE15B8">
        <w:rPr>
          <w:rFonts w:asciiTheme="minorHAnsi" w:hAnsiTheme="minorHAnsi"/>
          <w:lang w:val="en-GB"/>
        </w:rPr>
        <w:t xml:space="preserve">case </w:t>
      </w:r>
      <w:r w:rsidRPr="00BE15B8">
        <w:rPr>
          <w:rFonts w:asciiTheme="minorHAnsi" w:hAnsiTheme="minorHAnsi"/>
          <w:lang w:val="en-GB"/>
        </w:rPr>
        <w:t>cost was not recorded by type of crime</w:t>
      </w:r>
      <w:r w:rsidR="00F04F83">
        <w:rPr>
          <w:rFonts w:asciiTheme="minorHAnsi" w:hAnsiTheme="minorHAnsi"/>
          <w:lang w:val="en-GB"/>
        </w:rPr>
        <w:t>, i.e.</w:t>
      </w:r>
      <w:r w:rsidRPr="00BE15B8">
        <w:rPr>
          <w:rFonts w:asciiTheme="minorHAnsi" w:hAnsiTheme="minorHAnsi"/>
          <w:lang w:val="en-GB"/>
        </w:rPr>
        <w:t xml:space="preserve"> the average for </w:t>
      </w:r>
      <w:r w:rsidR="00F11B01" w:rsidRPr="00BE15B8">
        <w:rPr>
          <w:rFonts w:asciiTheme="minorHAnsi" w:hAnsiTheme="minorHAnsi"/>
          <w:lang w:val="en-GB"/>
        </w:rPr>
        <w:t>all types of crimes wa</w:t>
      </w:r>
      <w:r w:rsidRPr="00BE15B8">
        <w:rPr>
          <w:rFonts w:asciiTheme="minorHAnsi" w:hAnsiTheme="minorHAnsi"/>
          <w:lang w:val="en-GB"/>
        </w:rPr>
        <w:t xml:space="preserve">s used as an indicator for drug crimes. Moreover, for the court of appeal and supreme court, only the </w:t>
      </w:r>
      <w:r w:rsidR="00F11B01" w:rsidRPr="00BE15B8">
        <w:rPr>
          <w:rFonts w:asciiTheme="minorHAnsi" w:hAnsiTheme="minorHAnsi"/>
          <w:lang w:val="en-GB"/>
        </w:rPr>
        <w:t>total number of criminal cases wa</w:t>
      </w:r>
      <w:r w:rsidRPr="00BE15B8">
        <w:rPr>
          <w:rFonts w:asciiTheme="minorHAnsi" w:hAnsiTheme="minorHAnsi"/>
          <w:lang w:val="en-GB"/>
        </w:rPr>
        <w:t>s available and the fraction of drug cases were estimated from the situation at the District courts (9%). Even more relevant for the range of estimates, th</w:t>
      </w:r>
      <w:r w:rsidR="00F11B01" w:rsidRPr="00BE15B8">
        <w:rPr>
          <w:rFonts w:asciiTheme="minorHAnsi" w:hAnsiTheme="minorHAnsi"/>
          <w:lang w:val="en-GB"/>
        </w:rPr>
        <w:t>e</w:t>
      </w:r>
      <w:r w:rsidRPr="00BE15B8">
        <w:rPr>
          <w:rFonts w:asciiTheme="minorHAnsi" w:hAnsiTheme="minorHAnsi"/>
          <w:lang w:val="en-GB"/>
        </w:rPr>
        <w:t xml:space="preserve"> author include</w:t>
      </w:r>
      <w:r w:rsidR="00F11B01" w:rsidRPr="00BE15B8">
        <w:rPr>
          <w:rFonts w:asciiTheme="minorHAnsi" w:hAnsiTheme="minorHAnsi"/>
          <w:lang w:val="en-GB"/>
        </w:rPr>
        <w:t>d</w:t>
      </w:r>
      <w:r w:rsidRPr="00BE15B8">
        <w:rPr>
          <w:rFonts w:asciiTheme="minorHAnsi" w:hAnsiTheme="minorHAnsi"/>
          <w:lang w:val="en-GB"/>
        </w:rPr>
        <w:t xml:space="preserve"> as an upper limit of estimates, a certain percentage </w:t>
      </w:r>
      <w:r w:rsidR="007A7E71">
        <w:rPr>
          <w:rFonts w:asciiTheme="minorHAnsi" w:hAnsiTheme="minorHAnsi"/>
          <w:lang w:val="en-GB"/>
        </w:rPr>
        <w:t>(</w:t>
      </w:r>
      <w:r w:rsidR="007A7E71" w:rsidRPr="00BE15B8">
        <w:rPr>
          <w:rFonts w:asciiTheme="minorHAnsi" w:hAnsiTheme="minorHAnsi"/>
          <w:lang w:val="en-GB"/>
        </w:rPr>
        <w:t>30%</w:t>
      </w:r>
      <w:r w:rsidR="007A7E71">
        <w:rPr>
          <w:rFonts w:asciiTheme="minorHAnsi" w:hAnsiTheme="minorHAnsi"/>
          <w:lang w:val="en-GB"/>
        </w:rPr>
        <w:t xml:space="preserve">) </w:t>
      </w:r>
      <w:r w:rsidRPr="00BE15B8">
        <w:rPr>
          <w:rFonts w:asciiTheme="minorHAnsi" w:hAnsiTheme="minorHAnsi"/>
          <w:lang w:val="en-GB"/>
        </w:rPr>
        <w:t xml:space="preserve">of the costs of tackling other crimes </w:t>
      </w:r>
      <w:r w:rsidR="007A7E71">
        <w:rPr>
          <w:rFonts w:asciiTheme="minorHAnsi" w:hAnsiTheme="minorHAnsi"/>
          <w:lang w:val="en-GB"/>
        </w:rPr>
        <w:t>as they may had been</w:t>
      </w:r>
      <w:r w:rsidRPr="00BE15B8">
        <w:rPr>
          <w:rFonts w:asciiTheme="minorHAnsi" w:hAnsiTheme="minorHAnsi"/>
          <w:lang w:val="en-GB"/>
        </w:rPr>
        <w:t xml:space="preserve"> committed under the influence of drugs. </w:t>
      </w:r>
    </w:p>
    <w:p w:rsidR="00F11B01" w:rsidRPr="00BE15B8" w:rsidRDefault="00F11B01" w:rsidP="006944FA">
      <w:pPr>
        <w:pStyle w:val="Default"/>
        <w:spacing w:line="276" w:lineRule="auto"/>
        <w:jc w:val="both"/>
        <w:rPr>
          <w:rFonts w:asciiTheme="minorHAnsi" w:hAnsiTheme="minorHAnsi" w:cs="Times New Roman"/>
          <w:b/>
          <w:i/>
        </w:rPr>
      </w:pPr>
    </w:p>
    <w:p w:rsidR="006944FA" w:rsidRPr="00BE15B8" w:rsidRDefault="006944FA" w:rsidP="009A7B47">
      <w:pPr>
        <w:pStyle w:val="Default"/>
        <w:keepNext/>
        <w:spacing w:line="276" w:lineRule="auto"/>
        <w:jc w:val="both"/>
        <w:rPr>
          <w:rFonts w:asciiTheme="minorHAnsi" w:hAnsiTheme="minorHAnsi" w:cs="Times New Roman"/>
          <w:b/>
          <w:i/>
        </w:rPr>
      </w:pPr>
      <w:r w:rsidRPr="00BE15B8">
        <w:rPr>
          <w:rFonts w:asciiTheme="minorHAnsi" w:hAnsiTheme="minorHAnsi" w:cs="Times New Roman"/>
          <w:b/>
          <w:i/>
        </w:rPr>
        <w:t>Prisons</w:t>
      </w:r>
    </w:p>
    <w:p w:rsidR="005F794A" w:rsidRPr="00BE15B8" w:rsidRDefault="005F794A" w:rsidP="009A7B47">
      <w:pPr>
        <w:pStyle w:val="NormalWeb"/>
        <w:keepNext/>
        <w:kinsoku w:val="0"/>
        <w:overflowPunct w:val="0"/>
        <w:spacing w:before="0" w:beforeAutospacing="0" w:after="0" w:afterAutospacing="0" w:line="276" w:lineRule="auto"/>
        <w:jc w:val="both"/>
        <w:textAlignment w:val="baseline"/>
        <w:rPr>
          <w:rFonts w:asciiTheme="minorHAnsi" w:hAnsiTheme="minorHAnsi"/>
          <w:color w:val="000000"/>
          <w:shd w:val="clear" w:color="auto" w:fill="FFFFFF"/>
          <w:lang w:val="en-GB"/>
        </w:rPr>
      </w:pPr>
      <w:r w:rsidRPr="00BE15B8">
        <w:rPr>
          <w:rFonts w:asciiTheme="minorHAnsi" w:eastAsiaTheme="minorEastAsia" w:hAnsiTheme="minorHAnsi"/>
          <w:color w:val="000000" w:themeColor="text1"/>
          <w:kern w:val="24"/>
          <w:lang w:val="en-GB"/>
        </w:rPr>
        <w:t xml:space="preserve">Unlabelled costs </w:t>
      </w:r>
      <w:r w:rsidR="00BB4552">
        <w:rPr>
          <w:rFonts w:asciiTheme="minorHAnsi" w:eastAsiaTheme="minorEastAsia" w:hAnsiTheme="minorHAnsi"/>
          <w:color w:val="000000" w:themeColor="text1"/>
          <w:kern w:val="24"/>
          <w:lang w:val="en-GB"/>
        </w:rPr>
        <w:t>of drug-law offenders</w:t>
      </w:r>
      <w:r w:rsidRPr="00BE15B8">
        <w:rPr>
          <w:rFonts w:asciiTheme="minorHAnsi" w:eastAsiaTheme="minorEastAsia" w:hAnsiTheme="minorHAnsi"/>
          <w:color w:val="000000" w:themeColor="text1"/>
          <w:kern w:val="24"/>
          <w:lang w:val="en-GB"/>
        </w:rPr>
        <w:t xml:space="preserve"> in the prison system can be estimated using the share of convicted prisoners for drug related offenses of overall convictions. </w:t>
      </w:r>
      <w:r w:rsidRPr="00BE15B8">
        <w:rPr>
          <w:rFonts w:asciiTheme="minorHAnsi" w:hAnsiTheme="minorHAnsi"/>
          <w:color w:val="000000"/>
          <w:shd w:val="clear" w:color="auto" w:fill="FFFFFF"/>
          <w:lang w:val="en-GB"/>
        </w:rPr>
        <w:t xml:space="preserve">For example, to estimate the drug-law offenses related expenditures in prisons, two elements have been taken into account: the overall prison expenditures for a given fiscal year, and the attributable proportion of prisoners convicted for drug-law offenses. </w:t>
      </w:r>
    </w:p>
    <w:p w:rsidR="005F794A" w:rsidRPr="00BE15B8" w:rsidRDefault="005F794A" w:rsidP="006944FA">
      <w:pPr>
        <w:pStyle w:val="Default"/>
        <w:spacing w:line="276" w:lineRule="auto"/>
        <w:jc w:val="both"/>
        <w:rPr>
          <w:rFonts w:asciiTheme="minorHAnsi" w:hAnsiTheme="minorHAnsi" w:cs="Times New Roman"/>
        </w:rPr>
      </w:pPr>
    </w:p>
    <w:p w:rsidR="006944FA" w:rsidRPr="00BE15B8" w:rsidRDefault="006944FA" w:rsidP="006944FA">
      <w:pPr>
        <w:pStyle w:val="Default"/>
        <w:spacing w:line="276" w:lineRule="auto"/>
        <w:jc w:val="both"/>
        <w:rPr>
          <w:rFonts w:asciiTheme="minorHAnsi" w:hAnsiTheme="minorHAnsi" w:cs="Times New Roman"/>
        </w:rPr>
      </w:pPr>
      <w:r w:rsidRPr="00BE15B8">
        <w:rPr>
          <w:rFonts w:asciiTheme="minorHAnsi" w:hAnsiTheme="minorHAnsi" w:cs="Times New Roman"/>
        </w:rPr>
        <w:t xml:space="preserve">EMCDDA (2014) provides an example of how public expenditure on drug-law offenders in prison can be estimated. Based on data for public expenditure on prisons provided by Eurostat and data on the number of law offenders provided by the Council of Europe, the proportion of sentenced prisoners who have a drug-law offence as their main offence was applied to total public expenditure on prisons. A range of estimates was calculated, with low estimates considering only those prisoners sentenced for a drug-law offence and high estimates also including pre-trial prisoners. Between 2000 and 2010, this expenditure </w:t>
      </w:r>
      <w:r w:rsidR="00F11B01" w:rsidRPr="00BE15B8">
        <w:rPr>
          <w:rFonts w:asciiTheme="minorHAnsi" w:hAnsiTheme="minorHAnsi" w:cs="Times New Roman"/>
        </w:rPr>
        <w:t>was</w:t>
      </w:r>
      <w:r w:rsidRPr="00BE15B8">
        <w:rPr>
          <w:rFonts w:asciiTheme="minorHAnsi" w:hAnsiTheme="minorHAnsi" w:cs="Times New Roman"/>
        </w:rPr>
        <w:t xml:space="preserve"> estimated to range</w:t>
      </w:r>
      <w:r w:rsidR="00BB4552" w:rsidRPr="00BE15B8">
        <w:rPr>
          <w:rFonts w:asciiTheme="minorHAnsi" w:hAnsiTheme="minorHAnsi" w:cs="Times New Roman"/>
        </w:rPr>
        <w:t>, on average,</w:t>
      </w:r>
      <w:r w:rsidRPr="00BE15B8">
        <w:rPr>
          <w:rFonts w:asciiTheme="minorHAnsi" w:hAnsiTheme="minorHAnsi" w:cs="Times New Roman"/>
        </w:rPr>
        <w:t xml:space="preserve"> </w:t>
      </w:r>
      <w:r w:rsidR="00F11B01" w:rsidRPr="00BE15B8">
        <w:rPr>
          <w:rFonts w:asciiTheme="minorHAnsi" w:hAnsiTheme="minorHAnsi" w:cs="Times New Roman"/>
        </w:rPr>
        <w:t>between</w:t>
      </w:r>
      <w:r w:rsidRPr="00BE15B8">
        <w:rPr>
          <w:rFonts w:asciiTheme="minorHAnsi" w:hAnsiTheme="minorHAnsi" w:cs="Times New Roman"/>
        </w:rPr>
        <w:t xml:space="preserve"> 0.03 % to 0.05 % of GDP in 22 European countries. By applying these percentages to the whole EU for the year 2010, </w:t>
      </w:r>
      <w:r w:rsidR="00543525">
        <w:rPr>
          <w:rFonts w:asciiTheme="minorHAnsi" w:hAnsiTheme="minorHAnsi" w:cs="Times New Roman"/>
        </w:rPr>
        <w:t>the</w:t>
      </w:r>
      <w:r w:rsidRPr="00BE15B8">
        <w:rPr>
          <w:rFonts w:asciiTheme="minorHAnsi" w:hAnsiTheme="minorHAnsi" w:cs="Times New Roman"/>
        </w:rPr>
        <w:t xml:space="preserve"> estimated expenditure varied within the range of EUR 3.7 billion to EUR 5.9 billion.</w:t>
      </w:r>
    </w:p>
    <w:p w:rsidR="005F794A" w:rsidRPr="00BE15B8" w:rsidRDefault="005F794A" w:rsidP="006944FA">
      <w:pPr>
        <w:pStyle w:val="Default"/>
        <w:spacing w:line="276" w:lineRule="auto"/>
        <w:jc w:val="both"/>
        <w:rPr>
          <w:rFonts w:asciiTheme="minorHAnsi" w:hAnsiTheme="minorHAnsi" w:cs="Times New Roman"/>
        </w:rPr>
      </w:pPr>
    </w:p>
    <w:p w:rsidR="00372055" w:rsidRPr="00BE15B8" w:rsidRDefault="00372055" w:rsidP="00372055">
      <w:pPr>
        <w:spacing w:after="0"/>
        <w:jc w:val="both"/>
        <w:rPr>
          <w:rFonts w:asciiTheme="minorHAnsi" w:hAnsiTheme="minorHAnsi"/>
          <w:sz w:val="24"/>
          <w:szCs w:val="24"/>
        </w:rPr>
      </w:pPr>
    </w:p>
    <w:p w:rsidR="00355AFB" w:rsidRPr="00BE15B8" w:rsidRDefault="00355AFB" w:rsidP="007E0243">
      <w:pPr>
        <w:pStyle w:val="Overskrift1"/>
      </w:pPr>
      <w:r w:rsidRPr="00BE15B8">
        <w:t>Examples of national studies</w:t>
      </w:r>
    </w:p>
    <w:p w:rsidR="005B0D26" w:rsidRDefault="00355AFB"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r w:rsidRPr="00BE15B8">
        <w:rPr>
          <w:rFonts w:asciiTheme="minorHAnsi" w:hAnsiTheme="minorHAnsi"/>
          <w:lang w:val="en-GB"/>
        </w:rPr>
        <w:t>Several models</w:t>
      </w:r>
      <w:r w:rsidR="00C36FD7">
        <w:rPr>
          <w:rFonts w:asciiTheme="minorHAnsi" w:hAnsiTheme="minorHAnsi"/>
          <w:lang w:val="en-GB"/>
        </w:rPr>
        <w:t xml:space="preserve"> and data sources</w:t>
      </w:r>
      <w:r w:rsidRPr="00BE15B8">
        <w:rPr>
          <w:rFonts w:asciiTheme="minorHAnsi" w:hAnsiTheme="minorHAnsi"/>
          <w:lang w:val="en-GB"/>
        </w:rPr>
        <w:t xml:space="preserve"> have been applied in different national contexts to identify labelled and unlabelled expenditure allocated to drug control initiatives. Due to their national specificities, </w:t>
      </w:r>
      <w:r w:rsidR="0071587C">
        <w:rPr>
          <w:rFonts w:asciiTheme="minorHAnsi" w:hAnsiTheme="minorHAnsi"/>
          <w:lang w:val="en-GB"/>
        </w:rPr>
        <w:t xml:space="preserve">neither </w:t>
      </w:r>
      <w:r w:rsidRPr="00BE15B8">
        <w:rPr>
          <w:rFonts w:asciiTheme="minorHAnsi" w:hAnsiTheme="minorHAnsi"/>
          <w:lang w:val="en-GB"/>
        </w:rPr>
        <w:t>their external validity</w:t>
      </w:r>
      <w:r w:rsidR="0071587C">
        <w:rPr>
          <w:rFonts w:asciiTheme="minorHAnsi" w:hAnsiTheme="minorHAnsi"/>
          <w:lang w:val="en-GB"/>
        </w:rPr>
        <w:t xml:space="preserve"> nor the comparability of the methods used</w:t>
      </w:r>
      <w:r w:rsidRPr="00BE15B8">
        <w:rPr>
          <w:rFonts w:asciiTheme="minorHAnsi" w:hAnsiTheme="minorHAnsi"/>
          <w:lang w:val="en-GB"/>
        </w:rPr>
        <w:t xml:space="preserve"> </w:t>
      </w:r>
      <w:r w:rsidR="00752FA9" w:rsidRPr="00BE15B8">
        <w:rPr>
          <w:rFonts w:asciiTheme="minorHAnsi" w:hAnsiTheme="minorHAnsi"/>
          <w:lang w:val="en-GB"/>
        </w:rPr>
        <w:t>ha</w:t>
      </w:r>
      <w:r w:rsidR="00C36FD7">
        <w:rPr>
          <w:rFonts w:asciiTheme="minorHAnsi" w:hAnsiTheme="minorHAnsi"/>
          <w:lang w:val="en-GB"/>
        </w:rPr>
        <w:t>ve</w:t>
      </w:r>
      <w:r w:rsidRPr="00BE15B8">
        <w:rPr>
          <w:rFonts w:asciiTheme="minorHAnsi" w:hAnsiTheme="minorHAnsi"/>
          <w:lang w:val="en-GB"/>
        </w:rPr>
        <w:t xml:space="preserve"> </w:t>
      </w:r>
      <w:r w:rsidR="00752FA9" w:rsidRPr="00BE15B8">
        <w:rPr>
          <w:rFonts w:asciiTheme="minorHAnsi" w:hAnsiTheme="minorHAnsi"/>
          <w:lang w:val="en-GB"/>
        </w:rPr>
        <w:t xml:space="preserve">been tested. </w:t>
      </w:r>
      <w:r w:rsidR="00863B97">
        <w:rPr>
          <w:rFonts w:asciiTheme="minorHAnsi" w:hAnsiTheme="minorHAnsi"/>
          <w:lang w:val="en-GB"/>
        </w:rPr>
        <w:t>The extent and specificity of labelled drug-related expenditure varies substantially across countries</w:t>
      </w:r>
      <w:r w:rsidR="00D15419">
        <w:rPr>
          <w:rFonts w:asciiTheme="minorHAnsi" w:hAnsiTheme="minorHAnsi"/>
          <w:lang w:val="en-GB"/>
        </w:rPr>
        <w:t>,</w:t>
      </w:r>
      <w:r w:rsidR="00863B97">
        <w:rPr>
          <w:rFonts w:asciiTheme="minorHAnsi" w:hAnsiTheme="minorHAnsi"/>
          <w:lang w:val="en-GB"/>
        </w:rPr>
        <w:t xml:space="preserve"> </w:t>
      </w:r>
      <w:r w:rsidR="00D15419">
        <w:rPr>
          <w:rFonts w:asciiTheme="minorHAnsi" w:hAnsiTheme="minorHAnsi"/>
          <w:lang w:val="en-GB"/>
        </w:rPr>
        <w:t>as do the data and methods</w:t>
      </w:r>
      <w:r w:rsidR="00A41AE3">
        <w:rPr>
          <w:rFonts w:asciiTheme="minorHAnsi" w:hAnsiTheme="minorHAnsi"/>
          <w:lang w:val="en-GB"/>
        </w:rPr>
        <w:t xml:space="preserve"> applied </w:t>
      </w:r>
      <w:r w:rsidR="00D15419">
        <w:rPr>
          <w:rFonts w:asciiTheme="minorHAnsi" w:hAnsiTheme="minorHAnsi"/>
          <w:lang w:val="en-GB"/>
        </w:rPr>
        <w:t>for estimating the</w:t>
      </w:r>
      <w:r w:rsidR="00863B97">
        <w:rPr>
          <w:rFonts w:asciiTheme="minorHAnsi" w:hAnsiTheme="minorHAnsi"/>
          <w:lang w:val="en-GB"/>
        </w:rPr>
        <w:t xml:space="preserve"> unlabelled ones</w:t>
      </w:r>
      <w:r w:rsidR="00D15419">
        <w:rPr>
          <w:rFonts w:asciiTheme="minorHAnsi" w:hAnsiTheme="minorHAnsi"/>
          <w:lang w:val="en-GB"/>
        </w:rPr>
        <w:t xml:space="preserve">. The national estimates presented below </w:t>
      </w:r>
      <w:r w:rsidR="00A41AE3">
        <w:rPr>
          <w:rFonts w:asciiTheme="minorHAnsi" w:hAnsiTheme="minorHAnsi"/>
          <w:lang w:val="en-GB"/>
        </w:rPr>
        <w:t>are</w:t>
      </w:r>
      <w:r w:rsidR="00D15419">
        <w:rPr>
          <w:rFonts w:asciiTheme="minorHAnsi" w:hAnsiTheme="minorHAnsi"/>
          <w:lang w:val="en-GB"/>
        </w:rPr>
        <w:t xml:space="preserve"> </w:t>
      </w:r>
      <w:r w:rsidR="00A41AE3">
        <w:rPr>
          <w:rFonts w:asciiTheme="minorHAnsi" w:hAnsiTheme="minorHAnsi"/>
          <w:lang w:val="en-GB"/>
        </w:rPr>
        <w:t>therefore</w:t>
      </w:r>
      <w:r w:rsidR="00D15419">
        <w:rPr>
          <w:rFonts w:asciiTheme="minorHAnsi" w:hAnsiTheme="minorHAnsi"/>
          <w:lang w:val="en-GB"/>
        </w:rPr>
        <w:t xml:space="preserve"> not directly compar</w:t>
      </w:r>
      <w:r w:rsidR="00A41AE3">
        <w:rPr>
          <w:rFonts w:asciiTheme="minorHAnsi" w:hAnsiTheme="minorHAnsi"/>
          <w:lang w:val="en-GB"/>
        </w:rPr>
        <w:t>able</w:t>
      </w:r>
      <w:r w:rsidR="00D15419">
        <w:rPr>
          <w:rFonts w:asciiTheme="minorHAnsi" w:hAnsiTheme="minorHAnsi"/>
          <w:lang w:val="en-GB"/>
        </w:rPr>
        <w:t xml:space="preserve">. Still, they </w:t>
      </w:r>
      <w:r w:rsidRPr="00BE15B8">
        <w:rPr>
          <w:rFonts w:asciiTheme="minorHAnsi" w:hAnsiTheme="minorHAnsi"/>
          <w:lang w:val="en-GB"/>
        </w:rPr>
        <w:t>provid</w:t>
      </w:r>
      <w:r w:rsidR="001D0365">
        <w:rPr>
          <w:rFonts w:asciiTheme="minorHAnsi" w:hAnsiTheme="minorHAnsi"/>
          <w:lang w:val="en-GB"/>
        </w:rPr>
        <w:t xml:space="preserve">e </w:t>
      </w:r>
      <w:r w:rsidR="00A41AE3">
        <w:rPr>
          <w:rFonts w:asciiTheme="minorHAnsi" w:hAnsiTheme="minorHAnsi"/>
          <w:lang w:val="en-GB"/>
        </w:rPr>
        <w:t xml:space="preserve">examples </w:t>
      </w:r>
      <w:r w:rsidR="00A41AE3">
        <w:rPr>
          <w:rFonts w:asciiTheme="minorHAnsi" w:hAnsiTheme="minorHAnsi"/>
          <w:lang w:val="en-GB"/>
        </w:rPr>
        <w:t xml:space="preserve">of </w:t>
      </w:r>
      <w:r w:rsidR="001D0365">
        <w:rPr>
          <w:rFonts w:asciiTheme="minorHAnsi" w:hAnsiTheme="minorHAnsi"/>
          <w:lang w:val="en-GB"/>
        </w:rPr>
        <w:t xml:space="preserve">useful models and </w:t>
      </w:r>
      <w:r w:rsidRPr="00BE15B8">
        <w:rPr>
          <w:rFonts w:asciiTheme="minorHAnsi" w:hAnsiTheme="minorHAnsi"/>
          <w:lang w:val="en-GB"/>
        </w:rPr>
        <w:t>estimates</w:t>
      </w:r>
      <w:r w:rsidR="001D0365">
        <w:rPr>
          <w:rFonts w:asciiTheme="minorHAnsi" w:hAnsiTheme="minorHAnsi"/>
          <w:lang w:val="en-GB"/>
        </w:rPr>
        <w:t xml:space="preserve"> and </w:t>
      </w:r>
      <w:r w:rsidR="00A41AE3">
        <w:rPr>
          <w:rFonts w:asciiTheme="minorHAnsi" w:hAnsiTheme="minorHAnsi"/>
          <w:lang w:val="en-GB"/>
        </w:rPr>
        <w:t xml:space="preserve">illustrate some </w:t>
      </w:r>
      <w:r w:rsidR="001D0365">
        <w:rPr>
          <w:rFonts w:asciiTheme="minorHAnsi" w:hAnsiTheme="minorHAnsi"/>
          <w:lang w:val="en-GB"/>
        </w:rPr>
        <w:t xml:space="preserve">of </w:t>
      </w:r>
      <w:r w:rsidR="00A41AE3">
        <w:rPr>
          <w:rFonts w:asciiTheme="minorHAnsi" w:hAnsiTheme="minorHAnsi"/>
          <w:lang w:val="en-GB"/>
        </w:rPr>
        <w:t xml:space="preserve">the </w:t>
      </w:r>
      <w:r w:rsidR="001D0365">
        <w:rPr>
          <w:rFonts w:asciiTheme="minorHAnsi" w:hAnsiTheme="minorHAnsi"/>
          <w:lang w:val="en-GB"/>
        </w:rPr>
        <w:t>approaches applied</w:t>
      </w:r>
      <w:r w:rsidRPr="00BE15B8">
        <w:rPr>
          <w:rFonts w:asciiTheme="minorHAnsi" w:hAnsiTheme="minorHAnsi"/>
          <w:lang w:val="en-GB"/>
        </w:rPr>
        <w:t>.</w:t>
      </w:r>
      <w:r w:rsidR="001D0365">
        <w:rPr>
          <w:rFonts w:asciiTheme="minorHAnsi" w:hAnsiTheme="minorHAnsi"/>
          <w:lang w:val="en-GB"/>
        </w:rPr>
        <w:t xml:space="preserve"> </w:t>
      </w:r>
    </w:p>
    <w:p w:rsidR="005B0D26" w:rsidRDefault="005B0D26" w:rsidP="00355AFB">
      <w:pPr>
        <w:pStyle w:val="NormalWeb"/>
        <w:kinsoku w:val="0"/>
        <w:overflowPunct w:val="0"/>
        <w:spacing w:before="0" w:beforeAutospacing="0" w:after="0" w:afterAutospacing="0" w:line="276" w:lineRule="auto"/>
        <w:jc w:val="both"/>
        <w:textAlignment w:val="baseline"/>
        <w:rPr>
          <w:rFonts w:asciiTheme="minorHAnsi" w:hAnsiTheme="minorHAnsi"/>
          <w:lang w:val="en-GB"/>
        </w:rPr>
      </w:pPr>
    </w:p>
    <w:p w:rsidR="00355AFB" w:rsidRPr="00BE15B8" w:rsidRDefault="00355AFB" w:rsidP="00355AF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color w:val="000000" w:themeColor="text1"/>
          <w:kern w:val="24"/>
          <w:lang w:val="en-GB"/>
        </w:rPr>
      </w:pPr>
    </w:p>
    <w:p w:rsidR="00355AFB" w:rsidRDefault="00355AFB" w:rsidP="00355AFB">
      <w:pPr>
        <w:pStyle w:val="NormalWeb"/>
        <w:kinsoku w:val="0"/>
        <w:overflowPunct w:val="0"/>
        <w:spacing w:before="0" w:beforeAutospacing="0" w:after="0" w:afterAutospacing="0" w:line="276" w:lineRule="auto"/>
        <w:jc w:val="both"/>
        <w:textAlignment w:val="baseline"/>
        <w:rPr>
          <w:rFonts w:asciiTheme="minorHAnsi" w:eastAsiaTheme="minorEastAsia" w:hAnsiTheme="minorHAnsi"/>
          <w:b/>
          <w:i/>
          <w:color w:val="000000" w:themeColor="text1"/>
          <w:kern w:val="24"/>
          <w:lang w:val="en-GB"/>
        </w:rPr>
      </w:pPr>
      <w:r w:rsidRPr="00BE15B8">
        <w:rPr>
          <w:rFonts w:asciiTheme="minorHAnsi" w:eastAsiaTheme="minorEastAsia" w:hAnsiTheme="minorHAnsi"/>
          <w:b/>
          <w:i/>
          <w:color w:val="000000" w:themeColor="text1"/>
          <w:kern w:val="24"/>
          <w:lang w:val="en-GB"/>
        </w:rPr>
        <w:t>Croatia</w:t>
      </w:r>
    </w:p>
    <w:p w:rsidR="00355AFB" w:rsidRDefault="00F25B5D" w:rsidP="00F25B5D">
      <w:pPr>
        <w:autoSpaceDE w:val="0"/>
        <w:autoSpaceDN w:val="0"/>
        <w:adjustRightInd w:val="0"/>
        <w:spacing w:after="0" w:line="240" w:lineRule="auto"/>
        <w:jc w:val="both"/>
        <w:rPr>
          <w:rFonts w:asciiTheme="minorHAnsi" w:eastAsiaTheme="minorEastAsia" w:hAnsiTheme="minorHAnsi"/>
          <w:color w:val="000000" w:themeColor="text1"/>
          <w:kern w:val="24"/>
          <w:sz w:val="24"/>
          <w:szCs w:val="24"/>
        </w:rPr>
      </w:pPr>
      <w:r>
        <w:rPr>
          <w:rFonts w:asciiTheme="minorHAnsi" w:hAnsiTheme="minorHAnsi"/>
          <w:sz w:val="24"/>
          <w:szCs w:val="24"/>
        </w:rPr>
        <w:t>Š</w:t>
      </w:r>
      <w:r w:rsidR="005B0D26">
        <w:rPr>
          <w:rFonts w:asciiTheme="minorHAnsi" w:hAnsiTheme="minorHAnsi"/>
          <w:sz w:val="24"/>
          <w:szCs w:val="24"/>
        </w:rPr>
        <w:t>valjec and Budak (2013)</w:t>
      </w:r>
      <w:r>
        <w:rPr>
          <w:rFonts w:asciiTheme="minorHAnsi" w:hAnsiTheme="minorHAnsi"/>
          <w:sz w:val="24"/>
          <w:szCs w:val="24"/>
        </w:rPr>
        <w:t xml:space="preserve"> aimed </w:t>
      </w:r>
      <w:r w:rsidRPr="00F25B5D">
        <w:rPr>
          <w:rFonts w:asciiTheme="minorHAnsi" w:eastAsiaTheme="minorHAnsi" w:hAnsiTheme="minorHAnsi" w:cs="FuturaBT-Book"/>
          <w:sz w:val="24"/>
          <w:szCs w:val="20"/>
        </w:rPr>
        <w:t>to identify the total drug-related public</w:t>
      </w:r>
      <w:r>
        <w:rPr>
          <w:rFonts w:asciiTheme="minorHAnsi" w:eastAsiaTheme="minorHAnsi" w:hAnsiTheme="minorHAnsi" w:cs="FuturaBT-Book"/>
          <w:sz w:val="24"/>
          <w:szCs w:val="20"/>
        </w:rPr>
        <w:t xml:space="preserve"> </w:t>
      </w:r>
      <w:r w:rsidRPr="00F25B5D">
        <w:rPr>
          <w:rFonts w:asciiTheme="minorHAnsi" w:eastAsiaTheme="minorHAnsi" w:hAnsiTheme="minorHAnsi" w:cs="FuturaBT-Book"/>
          <w:sz w:val="24"/>
          <w:szCs w:val="20"/>
        </w:rPr>
        <w:t>expenditures</w:t>
      </w:r>
      <w:r w:rsidR="00393ED9">
        <w:rPr>
          <w:rFonts w:asciiTheme="minorHAnsi" w:eastAsiaTheme="minorHAnsi" w:hAnsiTheme="minorHAnsi" w:cs="FuturaBT-Book"/>
          <w:sz w:val="24"/>
          <w:szCs w:val="20"/>
        </w:rPr>
        <w:t xml:space="preserve"> of the central government</w:t>
      </w:r>
      <w:r w:rsidRPr="00F25B5D">
        <w:rPr>
          <w:rFonts w:asciiTheme="minorHAnsi" w:eastAsiaTheme="minorHAnsi" w:hAnsiTheme="minorHAnsi" w:cs="FuturaBT-Book"/>
          <w:sz w:val="24"/>
          <w:szCs w:val="20"/>
        </w:rPr>
        <w:t xml:space="preserve"> and develop</w:t>
      </w:r>
      <w:r>
        <w:rPr>
          <w:rFonts w:asciiTheme="minorHAnsi" w:eastAsiaTheme="minorHAnsi" w:hAnsiTheme="minorHAnsi" w:cs="FuturaBT-Book"/>
          <w:sz w:val="24"/>
          <w:szCs w:val="20"/>
        </w:rPr>
        <w:t xml:space="preserve"> </w:t>
      </w:r>
      <w:r w:rsidRPr="00F25B5D">
        <w:rPr>
          <w:rFonts w:asciiTheme="minorHAnsi" w:eastAsiaTheme="minorHAnsi" w:hAnsiTheme="minorHAnsi" w:cs="FuturaBT-Book"/>
          <w:sz w:val="24"/>
          <w:szCs w:val="20"/>
        </w:rPr>
        <w:t>the method of estimating and allocating unlabelled</w:t>
      </w:r>
      <w:r>
        <w:rPr>
          <w:rFonts w:asciiTheme="minorHAnsi" w:eastAsiaTheme="minorHAnsi" w:hAnsiTheme="minorHAnsi" w:cs="FuturaBT-Book"/>
          <w:sz w:val="24"/>
          <w:szCs w:val="20"/>
        </w:rPr>
        <w:t xml:space="preserve"> </w:t>
      </w:r>
      <w:r w:rsidRPr="00F25B5D">
        <w:rPr>
          <w:rFonts w:asciiTheme="minorHAnsi" w:eastAsiaTheme="minorHAnsi" w:hAnsiTheme="minorHAnsi" w:cs="FuturaBT-Book"/>
          <w:sz w:val="24"/>
          <w:szCs w:val="20"/>
        </w:rPr>
        <w:t>expenditures by the type of drug policy program</w:t>
      </w:r>
      <w:r w:rsidR="00393ED9">
        <w:rPr>
          <w:rFonts w:asciiTheme="minorHAnsi" w:eastAsiaTheme="minorHAnsi" w:hAnsiTheme="minorHAnsi" w:cs="FuturaBT-Book"/>
          <w:sz w:val="24"/>
          <w:szCs w:val="20"/>
        </w:rPr>
        <w:t xml:space="preserve"> (prevention, treatment, social reintegration, harm reduction and law enforcement)</w:t>
      </w:r>
      <w:r w:rsidRPr="00F25B5D">
        <w:rPr>
          <w:rFonts w:asciiTheme="minorHAnsi" w:eastAsiaTheme="minorHAnsi" w:hAnsiTheme="minorHAnsi" w:cs="FuturaBT-Book"/>
          <w:sz w:val="24"/>
          <w:szCs w:val="20"/>
        </w:rPr>
        <w:t>.</w:t>
      </w:r>
      <w:r>
        <w:rPr>
          <w:rFonts w:asciiTheme="minorHAnsi" w:eastAsiaTheme="minorHAnsi" w:hAnsiTheme="minorHAnsi" w:cs="FuturaBT-Book"/>
          <w:sz w:val="24"/>
          <w:szCs w:val="20"/>
        </w:rPr>
        <w:t xml:space="preserve"> </w:t>
      </w:r>
      <w:r w:rsidR="00E12930">
        <w:rPr>
          <w:rFonts w:asciiTheme="minorHAnsi" w:hAnsiTheme="minorHAnsi"/>
          <w:sz w:val="24"/>
          <w:szCs w:val="24"/>
        </w:rPr>
        <w:t>For the l</w:t>
      </w:r>
      <w:r w:rsidR="00E12930" w:rsidRPr="00E12930">
        <w:rPr>
          <w:rFonts w:asciiTheme="minorHAnsi" w:hAnsiTheme="minorHAnsi"/>
          <w:sz w:val="24"/>
          <w:szCs w:val="24"/>
        </w:rPr>
        <w:t xml:space="preserve">abelled expenditure, governmental </w:t>
      </w:r>
      <w:r w:rsidR="00E12930" w:rsidRPr="00F764C8">
        <w:rPr>
          <w:rFonts w:asciiTheme="minorHAnsi" w:hAnsiTheme="minorHAnsi"/>
          <w:sz w:val="24"/>
          <w:szCs w:val="24"/>
        </w:rPr>
        <w:t>institutions were asked to classify budget expenditures by public function and by type of programme</w:t>
      </w:r>
      <w:r w:rsidR="00E12930" w:rsidRPr="00F764C8">
        <w:rPr>
          <w:rFonts w:asciiTheme="minorHAnsi" w:hAnsiTheme="minorHAnsi"/>
          <w:sz w:val="24"/>
          <w:szCs w:val="24"/>
        </w:rPr>
        <w:t xml:space="preserve">. </w:t>
      </w:r>
      <w:r w:rsidR="00F764C8" w:rsidRPr="00F764C8">
        <w:rPr>
          <w:sz w:val="24"/>
          <w:szCs w:val="24"/>
        </w:rPr>
        <w:t>Unlabelled expenditures were identified indirectly with the system of repartition keys</w:t>
      </w:r>
      <w:r w:rsidR="00F764C8">
        <w:rPr>
          <w:sz w:val="24"/>
          <w:szCs w:val="24"/>
        </w:rPr>
        <w:t>,</w:t>
      </w:r>
      <w:r w:rsidR="00F764C8" w:rsidRPr="00F764C8">
        <w:rPr>
          <w:sz w:val="24"/>
          <w:szCs w:val="24"/>
        </w:rPr>
        <w:t xml:space="preserve"> which w</w:t>
      </w:r>
      <w:r w:rsidR="00F764C8" w:rsidRPr="00F764C8">
        <w:rPr>
          <w:sz w:val="24"/>
          <w:szCs w:val="24"/>
        </w:rPr>
        <w:t>ere</w:t>
      </w:r>
      <w:r w:rsidR="00F764C8" w:rsidRPr="00F764C8">
        <w:rPr>
          <w:sz w:val="24"/>
          <w:szCs w:val="24"/>
        </w:rPr>
        <w:t xml:space="preserve"> applied to the total state unit budget </w:t>
      </w:r>
      <w:r w:rsidR="00F764C8" w:rsidRPr="00F764C8">
        <w:rPr>
          <w:sz w:val="24"/>
          <w:szCs w:val="24"/>
        </w:rPr>
        <w:t>(</w:t>
      </w:r>
      <w:r w:rsidR="00F764C8" w:rsidRPr="00F764C8">
        <w:rPr>
          <w:sz w:val="24"/>
          <w:szCs w:val="24"/>
        </w:rPr>
        <w:t>minus labelled costs</w:t>
      </w:r>
      <w:r w:rsidR="00F764C8" w:rsidRPr="00F764C8">
        <w:rPr>
          <w:sz w:val="24"/>
          <w:szCs w:val="24"/>
        </w:rPr>
        <w:t>).</w:t>
      </w:r>
      <w:r w:rsidR="00F764C8" w:rsidRPr="00F764C8">
        <w:rPr>
          <w:rFonts w:asciiTheme="minorHAnsi" w:eastAsiaTheme="minorEastAsia" w:hAnsiTheme="minorHAnsi"/>
          <w:color w:val="000000" w:themeColor="text1"/>
          <w:kern w:val="24"/>
          <w:sz w:val="24"/>
          <w:szCs w:val="24"/>
        </w:rPr>
        <w:t xml:space="preserve"> </w:t>
      </w:r>
      <w:r w:rsidR="00F764C8">
        <w:rPr>
          <w:rFonts w:asciiTheme="minorHAnsi" w:eastAsiaTheme="minorEastAsia" w:hAnsiTheme="minorHAnsi"/>
          <w:color w:val="000000" w:themeColor="text1"/>
          <w:kern w:val="24"/>
          <w:sz w:val="24"/>
          <w:szCs w:val="24"/>
        </w:rPr>
        <w:t xml:space="preserve">The repartition keys were </w:t>
      </w:r>
      <w:r w:rsidR="00F764C8" w:rsidRPr="00E12930">
        <w:rPr>
          <w:rFonts w:asciiTheme="minorHAnsi" w:eastAsiaTheme="minorEastAsia" w:hAnsiTheme="minorHAnsi"/>
          <w:color w:val="000000" w:themeColor="text1"/>
          <w:kern w:val="24"/>
          <w:sz w:val="24"/>
          <w:szCs w:val="24"/>
        </w:rPr>
        <w:t>estimated with the support of supply reduction activity data</w:t>
      </w:r>
      <w:r w:rsidR="00F764C8">
        <w:rPr>
          <w:rFonts w:asciiTheme="minorHAnsi" w:eastAsiaTheme="minorEastAsia" w:hAnsiTheme="minorHAnsi"/>
          <w:color w:val="000000" w:themeColor="text1"/>
          <w:kern w:val="24"/>
          <w:sz w:val="24"/>
          <w:szCs w:val="24"/>
        </w:rPr>
        <w:t>. The u</w:t>
      </w:r>
      <w:r w:rsidR="00355AFB" w:rsidRPr="00F764C8">
        <w:rPr>
          <w:rFonts w:asciiTheme="minorHAnsi" w:eastAsiaTheme="minorEastAsia" w:hAnsiTheme="minorHAnsi"/>
          <w:color w:val="000000" w:themeColor="text1"/>
          <w:kern w:val="24"/>
          <w:sz w:val="24"/>
          <w:szCs w:val="24"/>
        </w:rPr>
        <w:t xml:space="preserve">nlabelled public expenditures </w:t>
      </w:r>
      <w:r w:rsidRPr="00F764C8">
        <w:rPr>
          <w:rFonts w:asciiTheme="minorHAnsi" w:eastAsiaTheme="minorEastAsia" w:hAnsiTheme="minorHAnsi"/>
          <w:color w:val="000000" w:themeColor="text1"/>
          <w:kern w:val="24"/>
          <w:sz w:val="24"/>
          <w:szCs w:val="24"/>
        </w:rPr>
        <w:t>we</w:t>
      </w:r>
      <w:r w:rsidR="00E12930" w:rsidRPr="00F764C8">
        <w:rPr>
          <w:rFonts w:asciiTheme="minorHAnsi" w:eastAsiaTheme="minorEastAsia" w:hAnsiTheme="minorHAnsi"/>
          <w:color w:val="000000" w:themeColor="text1"/>
          <w:kern w:val="24"/>
          <w:sz w:val="24"/>
          <w:szCs w:val="24"/>
        </w:rPr>
        <w:t>re estimated</w:t>
      </w:r>
      <w:r w:rsidR="00355AFB" w:rsidRPr="00F764C8">
        <w:rPr>
          <w:rFonts w:asciiTheme="minorHAnsi" w:eastAsiaTheme="minorEastAsia" w:hAnsiTheme="minorHAnsi"/>
          <w:color w:val="000000" w:themeColor="text1"/>
          <w:kern w:val="24"/>
          <w:sz w:val="24"/>
          <w:szCs w:val="24"/>
        </w:rPr>
        <w:t xml:space="preserve"> on the assumption that </w:t>
      </w:r>
      <w:r w:rsidR="00E12930" w:rsidRPr="00F764C8">
        <w:rPr>
          <w:rFonts w:asciiTheme="minorHAnsi" w:eastAsiaTheme="minorEastAsia" w:hAnsiTheme="minorHAnsi"/>
          <w:color w:val="000000" w:themeColor="text1"/>
          <w:kern w:val="24"/>
          <w:sz w:val="24"/>
          <w:szCs w:val="24"/>
        </w:rPr>
        <w:t>they</w:t>
      </w:r>
      <w:r w:rsidR="00355AFB" w:rsidRPr="00F764C8">
        <w:rPr>
          <w:rFonts w:asciiTheme="minorHAnsi" w:eastAsiaTheme="minorEastAsia" w:hAnsiTheme="minorHAnsi"/>
          <w:color w:val="000000" w:themeColor="text1"/>
          <w:kern w:val="24"/>
          <w:sz w:val="24"/>
          <w:szCs w:val="24"/>
        </w:rPr>
        <w:t xml:space="preserve"> make up the part of public expenditures which remains after labelled public expenditures for combating drug abuse are deducted from total public expenditures</w:t>
      </w:r>
      <w:r w:rsidR="00355AFB" w:rsidRPr="00E12930">
        <w:rPr>
          <w:rFonts w:asciiTheme="minorHAnsi" w:eastAsiaTheme="minorEastAsia" w:hAnsiTheme="minorHAnsi"/>
          <w:color w:val="000000" w:themeColor="text1"/>
          <w:kern w:val="24"/>
          <w:sz w:val="24"/>
          <w:szCs w:val="24"/>
        </w:rPr>
        <w:t xml:space="preserve"> of a public body. </w:t>
      </w:r>
    </w:p>
    <w:p w:rsidR="00E12930" w:rsidRDefault="00E12930" w:rsidP="00E12930">
      <w:pPr>
        <w:spacing w:after="0"/>
        <w:jc w:val="both"/>
        <w:rPr>
          <w:rFonts w:asciiTheme="minorHAnsi" w:eastAsiaTheme="minorEastAsia" w:hAnsiTheme="minorHAnsi"/>
          <w:color w:val="000000" w:themeColor="text1"/>
          <w:kern w:val="24"/>
          <w:sz w:val="24"/>
          <w:szCs w:val="24"/>
        </w:rPr>
      </w:pPr>
    </w:p>
    <w:p w:rsidR="00E12930" w:rsidRPr="00393ED9" w:rsidRDefault="00393ED9" w:rsidP="00D5567C">
      <w:pPr>
        <w:spacing w:after="0" w:line="240" w:lineRule="auto"/>
        <w:jc w:val="both"/>
        <w:rPr>
          <w:rFonts w:asciiTheme="minorHAnsi" w:hAnsiTheme="minorHAnsi"/>
          <w:sz w:val="24"/>
        </w:rPr>
      </w:pPr>
      <w:r w:rsidRPr="00393ED9">
        <w:rPr>
          <w:rFonts w:asciiTheme="minorHAnsi" w:hAnsiTheme="minorHAnsi"/>
          <w:sz w:val="24"/>
        </w:rPr>
        <w:t xml:space="preserve">For the years 2009-2012, </w:t>
      </w:r>
      <w:r w:rsidR="00D5567C">
        <w:rPr>
          <w:rFonts w:asciiTheme="minorHAnsi" w:hAnsiTheme="minorHAnsi"/>
          <w:sz w:val="24"/>
        </w:rPr>
        <w:t xml:space="preserve">the study suggested that </w:t>
      </w:r>
      <w:r w:rsidRPr="00393ED9">
        <w:rPr>
          <w:rFonts w:asciiTheme="minorHAnsi" w:hAnsiTheme="minorHAnsi"/>
          <w:sz w:val="24"/>
        </w:rPr>
        <w:t>public expenditure on law enforcement constitute</w:t>
      </w:r>
      <w:r w:rsidR="00D5567C">
        <w:rPr>
          <w:rFonts w:asciiTheme="minorHAnsi" w:hAnsiTheme="minorHAnsi"/>
          <w:sz w:val="24"/>
        </w:rPr>
        <w:t>d</w:t>
      </w:r>
      <w:r w:rsidRPr="00393ED9">
        <w:rPr>
          <w:rFonts w:asciiTheme="minorHAnsi" w:hAnsiTheme="minorHAnsi"/>
          <w:sz w:val="24"/>
        </w:rPr>
        <w:t xml:space="preserve"> about 73% of total drug-related public expenditures by the central gove</w:t>
      </w:r>
      <w:r>
        <w:rPr>
          <w:rFonts w:asciiTheme="minorHAnsi" w:hAnsiTheme="minorHAnsi"/>
          <w:sz w:val="24"/>
        </w:rPr>
        <w:t>r</w:t>
      </w:r>
      <w:r w:rsidRPr="00393ED9">
        <w:rPr>
          <w:rFonts w:asciiTheme="minorHAnsi" w:hAnsiTheme="minorHAnsi"/>
          <w:sz w:val="24"/>
        </w:rPr>
        <w:t>nment</w:t>
      </w:r>
      <w:r w:rsidR="00B23FB3">
        <w:rPr>
          <w:rFonts w:asciiTheme="minorHAnsi" w:hAnsiTheme="minorHAnsi"/>
          <w:sz w:val="24"/>
        </w:rPr>
        <w:t>,</w:t>
      </w:r>
      <w:r>
        <w:rPr>
          <w:rFonts w:asciiTheme="minorHAnsi" w:hAnsiTheme="minorHAnsi"/>
          <w:sz w:val="24"/>
        </w:rPr>
        <w:t xml:space="preserve"> whereas </w:t>
      </w:r>
      <w:r>
        <w:rPr>
          <w:rFonts w:asciiTheme="minorHAnsi" w:eastAsiaTheme="minorHAnsi" w:hAnsiTheme="minorHAnsi" w:cs="FuturaBT-Book"/>
          <w:sz w:val="24"/>
          <w:szCs w:val="20"/>
        </w:rPr>
        <w:t>prevention, treatment, social reintegration</w:t>
      </w:r>
      <w:r>
        <w:rPr>
          <w:rFonts w:asciiTheme="minorHAnsi" w:eastAsiaTheme="minorHAnsi" w:hAnsiTheme="minorHAnsi" w:cs="FuturaBT-Book"/>
          <w:sz w:val="24"/>
          <w:szCs w:val="20"/>
        </w:rPr>
        <w:t xml:space="preserve"> and </w:t>
      </w:r>
      <w:r>
        <w:rPr>
          <w:rFonts w:asciiTheme="minorHAnsi" w:eastAsiaTheme="minorHAnsi" w:hAnsiTheme="minorHAnsi" w:cs="FuturaBT-Book"/>
          <w:sz w:val="24"/>
          <w:szCs w:val="20"/>
        </w:rPr>
        <w:t>harm reduction</w:t>
      </w:r>
      <w:r>
        <w:rPr>
          <w:rFonts w:asciiTheme="minorHAnsi" w:eastAsiaTheme="minorHAnsi" w:hAnsiTheme="minorHAnsi" w:cs="FuturaBT-Book"/>
          <w:sz w:val="24"/>
          <w:szCs w:val="20"/>
        </w:rPr>
        <w:t xml:space="preserve"> spent </w:t>
      </w:r>
      <w:r w:rsidR="00510B5F">
        <w:rPr>
          <w:rFonts w:asciiTheme="minorHAnsi" w:eastAsiaTheme="minorHAnsi" w:hAnsiTheme="minorHAnsi" w:cs="FuturaBT-Book"/>
          <w:sz w:val="24"/>
          <w:szCs w:val="20"/>
        </w:rPr>
        <w:t xml:space="preserve">12%, 13%, 0.3% and 2%, respectively. </w:t>
      </w:r>
      <w:r w:rsidR="00B23FB3">
        <w:rPr>
          <w:rFonts w:asciiTheme="minorHAnsi" w:eastAsiaTheme="minorHAnsi" w:hAnsiTheme="minorHAnsi" w:cs="FuturaBT-Book"/>
          <w:sz w:val="24"/>
          <w:szCs w:val="20"/>
        </w:rPr>
        <w:t xml:space="preserve">When comparing unlabelled expenditure for </w:t>
      </w:r>
      <w:r w:rsidR="00E16BFF">
        <w:rPr>
          <w:rFonts w:asciiTheme="minorHAnsi" w:eastAsiaTheme="minorHAnsi" w:hAnsiTheme="minorHAnsi" w:cs="FuturaBT-Book"/>
          <w:sz w:val="24"/>
          <w:szCs w:val="20"/>
        </w:rPr>
        <w:t xml:space="preserve">the different programs in </w:t>
      </w:r>
      <w:r w:rsidR="00B23FB3">
        <w:rPr>
          <w:rFonts w:asciiTheme="minorHAnsi" w:eastAsiaTheme="minorHAnsi" w:hAnsiTheme="minorHAnsi" w:cs="FuturaBT-Book"/>
          <w:sz w:val="24"/>
          <w:szCs w:val="20"/>
        </w:rPr>
        <w:t>one single year (2011), unlabelled expenditure on law enforcement represented 82% of the total</w:t>
      </w:r>
      <w:r w:rsidR="00E16BFF">
        <w:rPr>
          <w:rFonts w:asciiTheme="minorHAnsi" w:eastAsiaTheme="minorHAnsi" w:hAnsiTheme="minorHAnsi" w:cs="FuturaBT-Book"/>
          <w:sz w:val="24"/>
          <w:szCs w:val="20"/>
        </w:rPr>
        <w:t xml:space="preserve"> unlabelled</w:t>
      </w:r>
      <w:r w:rsidR="00B23FB3">
        <w:rPr>
          <w:rFonts w:asciiTheme="minorHAnsi" w:eastAsiaTheme="minorHAnsi" w:hAnsiTheme="minorHAnsi" w:cs="FuturaBT-Book"/>
          <w:sz w:val="24"/>
          <w:szCs w:val="20"/>
        </w:rPr>
        <w:t xml:space="preserve"> </w:t>
      </w:r>
      <w:r w:rsidR="00B23FB3">
        <w:rPr>
          <w:rFonts w:asciiTheme="minorHAnsi" w:eastAsiaTheme="minorHAnsi" w:hAnsiTheme="minorHAnsi" w:cs="FuturaBT-Book"/>
          <w:sz w:val="24"/>
          <w:szCs w:val="20"/>
        </w:rPr>
        <w:t xml:space="preserve">drug-related </w:t>
      </w:r>
      <w:r w:rsidR="00B23FB3">
        <w:rPr>
          <w:rFonts w:asciiTheme="minorHAnsi" w:eastAsiaTheme="minorHAnsi" w:hAnsiTheme="minorHAnsi" w:cs="FuturaBT-Book"/>
          <w:sz w:val="24"/>
          <w:szCs w:val="20"/>
        </w:rPr>
        <w:t>expenditure</w:t>
      </w:r>
      <w:r w:rsidR="00E16BFF">
        <w:rPr>
          <w:rFonts w:asciiTheme="minorHAnsi" w:eastAsiaTheme="minorHAnsi" w:hAnsiTheme="minorHAnsi" w:cs="FuturaBT-Book"/>
          <w:sz w:val="24"/>
          <w:szCs w:val="20"/>
        </w:rPr>
        <w:t>. For labelled expenditures, on the other hand, law enforcement spent</w:t>
      </w:r>
      <w:r w:rsidR="00B23FB3">
        <w:rPr>
          <w:rFonts w:asciiTheme="minorHAnsi" w:eastAsiaTheme="minorHAnsi" w:hAnsiTheme="minorHAnsi" w:cs="FuturaBT-Book"/>
          <w:sz w:val="24"/>
          <w:szCs w:val="20"/>
        </w:rPr>
        <w:t xml:space="preserve"> 4 %</w:t>
      </w:r>
      <w:r w:rsidR="00E16BFF">
        <w:rPr>
          <w:rFonts w:asciiTheme="minorHAnsi" w:eastAsiaTheme="minorHAnsi" w:hAnsiTheme="minorHAnsi" w:cs="FuturaBT-Book"/>
          <w:sz w:val="24"/>
          <w:szCs w:val="20"/>
        </w:rPr>
        <w:t xml:space="preserve"> of the total</w:t>
      </w:r>
      <w:r w:rsidR="00D5567C">
        <w:rPr>
          <w:rFonts w:asciiTheme="minorHAnsi" w:eastAsiaTheme="minorHAnsi" w:hAnsiTheme="minorHAnsi" w:cs="FuturaBT-Book"/>
          <w:sz w:val="24"/>
          <w:szCs w:val="20"/>
        </w:rPr>
        <w:t xml:space="preserve"> labelled expenditures</w:t>
      </w:r>
      <w:r w:rsidR="00B23FB3">
        <w:rPr>
          <w:rFonts w:asciiTheme="minorHAnsi" w:eastAsiaTheme="minorHAnsi" w:hAnsiTheme="minorHAnsi" w:cs="FuturaBT-Book"/>
          <w:sz w:val="24"/>
          <w:szCs w:val="20"/>
        </w:rPr>
        <w:t xml:space="preserve">. </w:t>
      </w:r>
      <w:r w:rsidR="00D5567C">
        <w:rPr>
          <w:rFonts w:asciiTheme="minorHAnsi" w:eastAsiaTheme="minorHAnsi" w:hAnsiTheme="minorHAnsi" w:cs="FuturaBT-Book"/>
          <w:sz w:val="24"/>
          <w:szCs w:val="20"/>
        </w:rPr>
        <w:t>In</w:t>
      </w:r>
      <w:r w:rsidR="00E12930" w:rsidRPr="00393ED9">
        <w:rPr>
          <w:rFonts w:asciiTheme="minorHAnsi" w:hAnsiTheme="minorHAnsi"/>
          <w:sz w:val="24"/>
        </w:rPr>
        <w:t xml:space="preserve"> </w:t>
      </w:r>
      <w:r w:rsidR="00D5567C">
        <w:rPr>
          <w:rFonts w:asciiTheme="minorHAnsi" w:hAnsiTheme="minorHAnsi"/>
          <w:sz w:val="24"/>
        </w:rPr>
        <w:t xml:space="preserve">sum, the estimates indicated that </w:t>
      </w:r>
      <w:r w:rsidR="00E12930" w:rsidRPr="00393ED9">
        <w:rPr>
          <w:rFonts w:asciiTheme="minorHAnsi" w:hAnsiTheme="minorHAnsi"/>
          <w:sz w:val="24"/>
        </w:rPr>
        <w:t>drug</w:t>
      </w:r>
      <w:r w:rsidR="00510B5F">
        <w:rPr>
          <w:rFonts w:asciiTheme="minorHAnsi" w:hAnsiTheme="minorHAnsi"/>
          <w:sz w:val="24"/>
        </w:rPr>
        <w:t>-</w:t>
      </w:r>
      <w:r w:rsidR="00E12930" w:rsidRPr="00393ED9">
        <w:rPr>
          <w:rFonts w:asciiTheme="minorHAnsi" w:hAnsiTheme="minorHAnsi"/>
          <w:sz w:val="24"/>
        </w:rPr>
        <w:t xml:space="preserve">related expenditures </w:t>
      </w:r>
      <w:r w:rsidR="00510B5F">
        <w:rPr>
          <w:rFonts w:asciiTheme="minorHAnsi" w:hAnsiTheme="minorHAnsi"/>
          <w:sz w:val="24"/>
        </w:rPr>
        <w:t>constituted</w:t>
      </w:r>
      <w:r w:rsidR="00E12930" w:rsidRPr="00393ED9">
        <w:rPr>
          <w:rFonts w:asciiTheme="minorHAnsi" w:hAnsiTheme="minorHAnsi"/>
          <w:sz w:val="24"/>
        </w:rPr>
        <w:t xml:space="preserve"> 0.2 percent of the GDP</w:t>
      </w:r>
      <w:r w:rsidR="00510B5F">
        <w:rPr>
          <w:rFonts w:asciiTheme="minorHAnsi" w:hAnsiTheme="minorHAnsi"/>
          <w:sz w:val="24"/>
        </w:rPr>
        <w:t>.</w:t>
      </w:r>
    </w:p>
    <w:p w:rsidR="00E12930" w:rsidRPr="00E12930" w:rsidRDefault="00E12930" w:rsidP="00E12930">
      <w:pPr>
        <w:spacing w:after="0"/>
        <w:jc w:val="both"/>
        <w:rPr>
          <w:rFonts w:asciiTheme="minorHAnsi" w:hAnsiTheme="minorHAnsi"/>
          <w:sz w:val="24"/>
          <w:szCs w:val="24"/>
        </w:rPr>
      </w:pPr>
    </w:p>
    <w:p w:rsidR="00355AFB" w:rsidRPr="00BE15B8" w:rsidRDefault="00355AFB" w:rsidP="00355AFB">
      <w:pPr>
        <w:spacing w:after="0"/>
        <w:jc w:val="both"/>
        <w:rPr>
          <w:rFonts w:asciiTheme="minorHAnsi" w:hAnsiTheme="minorHAnsi"/>
          <w:sz w:val="24"/>
          <w:szCs w:val="24"/>
        </w:rPr>
      </w:pPr>
    </w:p>
    <w:p w:rsidR="00355AFB" w:rsidRDefault="00355AFB" w:rsidP="00A913CD">
      <w:pPr>
        <w:pStyle w:val="Default"/>
        <w:spacing w:before="240" w:line="276" w:lineRule="auto"/>
        <w:jc w:val="both"/>
        <w:rPr>
          <w:rFonts w:asciiTheme="minorHAnsi" w:hAnsiTheme="minorHAnsi" w:cs="Times New Roman"/>
          <w:b/>
          <w:i/>
        </w:rPr>
      </w:pPr>
      <w:r w:rsidRPr="00BE15B8">
        <w:rPr>
          <w:rFonts w:asciiTheme="minorHAnsi" w:hAnsiTheme="minorHAnsi" w:cs="Times New Roman"/>
          <w:b/>
          <w:i/>
        </w:rPr>
        <w:t>Belgium</w:t>
      </w:r>
    </w:p>
    <w:p w:rsidR="00932020" w:rsidRPr="00F22986" w:rsidRDefault="00932020" w:rsidP="00D5567C">
      <w:pPr>
        <w:autoSpaceDE w:val="0"/>
        <w:autoSpaceDN w:val="0"/>
        <w:adjustRightInd w:val="0"/>
        <w:spacing w:after="0" w:line="240" w:lineRule="auto"/>
        <w:jc w:val="both"/>
        <w:rPr>
          <w:rFonts w:asciiTheme="minorHAnsi" w:hAnsiTheme="minorHAnsi" w:cs="Cambria"/>
          <w:sz w:val="24"/>
        </w:rPr>
      </w:pPr>
      <w:r w:rsidRPr="00F22986">
        <w:rPr>
          <w:rFonts w:asciiTheme="minorHAnsi" w:hAnsiTheme="minorHAnsi" w:cs="Cambria"/>
          <w:sz w:val="24"/>
        </w:rPr>
        <w:t xml:space="preserve">The study </w:t>
      </w:r>
      <w:r>
        <w:rPr>
          <w:rFonts w:cs="Cambria"/>
          <w:sz w:val="24"/>
        </w:rPr>
        <w:t>“</w:t>
      </w:r>
      <w:r w:rsidRPr="00F22986">
        <w:rPr>
          <w:rFonts w:asciiTheme="minorHAnsi" w:hAnsiTheme="minorHAnsi" w:cs="Cambria"/>
          <w:sz w:val="24"/>
        </w:rPr>
        <w:t>Drugs in Figures III</w:t>
      </w:r>
      <w:r>
        <w:rPr>
          <w:rFonts w:cs="Cambria"/>
          <w:sz w:val="24"/>
        </w:rPr>
        <w:t>”</w:t>
      </w:r>
      <w:r w:rsidRPr="00F22986">
        <w:rPr>
          <w:rFonts w:asciiTheme="minorHAnsi" w:hAnsiTheme="minorHAnsi" w:cs="Cambria"/>
          <w:sz w:val="24"/>
        </w:rPr>
        <w:t xml:space="preserve"> measured how much the Belgian government spent on </w:t>
      </w:r>
      <w:r>
        <w:rPr>
          <w:rFonts w:cs="Cambria"/>
          <w:sz w:val="24"/>
        </w:rPr>
        <w:t>drug policy in 2008</w:t>
      </w:r>
      <w:r w:rsidR="00D5567C">
        <w:rPr>
          <w:rFonts w:cs="Cambria"/>
          <w:sz w:val="24"/>
        </w:rPr>
        <w:t xml:space="preserve"> </w:t>
      </w:r>
      <w:r w:rsidR="00D5567C" w:rsidRPr="00F22986">
        <w:rPr>
          <w:rFonts w:asciiTheme="minorHAnsi" w:hAnsiTheme="minorHAnsi" w:cs="Cambria"/>
          <w:sz w:val="24"/>
        </w:rPr>
        <w:t>(Vander Laenen, De Ruyver, Christiaens &amp; Lievens, 2011)</w:t>
      </w:r>
      <w:r>
        <w:rPr>
          <w:rFonts w:cs="Cambria"/>
          <w:sz w:val="24"/>
        </w:rPr>
        <w:t>. It advanced</w:t>
      </w:r>
      <w:r w:rsidRPr="00F22986">
        <w:rPr>
          <w:rFonts w:asciiTheme="minorHAnsi" w:hAnsiTheme="minorHAnsi" w:cs="Cambria"/>
          <w:sz w:val="24"/>
        </w:rPr>
        <w:t xml:space="preserve"> beyond</w:t>
      </w:r>
      <w:r>
        <w:rPr>
          <w:rFonts w:cs="Cambria"/>
          <w:sz w:val="24"/>
        </w:rPr>
        <w:t xml:space="preserve"> </w:t>
      </w:r>
      <w:r w:rsidRPr="00F22986">
        <w:rPr>
          <w:rFonts w:asciiTheme="minorHAnsi" w:hAnsiTheme="minorHAnsi" w:cs="Cambria"/>
          <w:sz w:val="24"/>
        </w:rPr>
        <w:t>two previous studies (De Ruyver et al. 2004, 2007) by carrying out a new</w:t>
      </w:r>
      <w:r>
        <w:rPr>
          <w:rFonts w:cs="Cambria"/>
          <w:sz w:val="24"/>
        </w:rPr>
        <w:t xml:space="preserve"> </w:t>
      </w:r>
      <w:r w:rsidRPr="00F22986">
        <w:rPr>
          <w:rFonts w:asciiTheme="minorHAnsi" w:hAnsiTheme="minorHAnsi" w:cs="Cambria"/>
          <w:sz w:val="24"/>
        </w:rPr>
        <w:t xml:space="preserve">and more refined estimation of public expenditures on </w:t>
      </w:r>
      <w:r w:rsidRPr="00F22986">
        <w:rPr>
          <w:rFonts w:asciiTheme="minorHAnsi" w:hAnsiTheme="minorHAnsi" w:cs="Cambria,Italic"/>
          <w:iCs/>
          <w:sz w:val="24"/>
        </w:rPr>
        <w:t>illegal</w:t>
      </w:r>
      <w:r w:rsidRPr="00F22986">
        <w:rPr>
          <w:rFonts w:asciiTheme="minorHAnsi" w:hAnsiTheme="minorHAnsi" w:cs="Cambria,Italic"/>
          <w:i/>
          <w:iCs/>
          <w:sz w:val="24"/>
        </w:rPr>
        <w:t xml:space="preserve"> </w:t>
      </w:r>
      <w:r w:rsidRPr="00F22986">
        <w:rPr>
          <w:rFonts w:asciiTheme="minorHAnsi" w:hAnsiTheme="minorHAnsi" w:cs="Cambria"/>
          <w:sz w:val="24"/>
        </w:rPr>
        <w:t>drugs</w:t>
      </w:r>
      <w:r>
        <w:rPr>
          <w:rFonts w:cs="Cambria"/>
          <w:sz w:val="24"/>
        </w:rPr>
        <w:t xml:space="preserve">. </w:t>
      </w:r>
      <w:r w:rsidRPr="00F22986">
        <w:rPr>
          <w:rFonts w:asciiTheme="minorHAnsi" w:hAnsiTheme="minorHAnsi" w:cs="Cambria"/>
          <w:sz w:val="24"/>
        </w:rPr>
        <w:t xml:space="preserve">The study combined </w:t>
      </w:r>
      <w:r>
        <w:rPr>
          <w:rFonts w:cs="Cambria"/>
          <w:sz w:val="24"/>
        </w:rPr>
        <w:t>a</w:t>
      </w:r>
      <w:r w:rsidRPr="00F22986">
        <w:rPr>
          <w:rFonts w:asciiTheme="minorHAnsi" w:hAnsiTheme="minorHAnsi" w:cs="Cambria"/>
          <w:sz w:val="24"/>
        </w:rPr>
        <w:t xml:space="preserve"> top-down and </w:t>
      </w:r>
      <w:r>
        <w:rPr>
          <w:rFonts w:cs="Cambria"/>
          <w:sz w:val="24"/>
        </w:rPr>
        <w:t>a</w:t>
      </w:r>
      <w:r w:rsidRPr="00F22986">
        <w:rPr>
          <w:rFonts w:asciiTheme="minorHAnsi" w:hAnsiTheme="minorHAnsi" w:cs="Cambria"/>
          <w:sz w:val="24"/>
        </w:rPr>
        <w:t xml:space="preserve"> bottom-up approach</w:t>
      </w:r>
      <w:r w:rsidRPr="00F22986">
        <w:rPr>
          <w:rFonts w:cs="Cambria"/>
          <w:sz w:val="24"/>
        </w:rPr>
        <w:t xml:space="preserve"> </w:t>
      </w:r>
      <w:r>
        <w:rPr>
          <w:rFonts w:cs="Cambria"/>
          <w:sz w:val="24"/>
        </w:rPr>
        <w:t>for estimating the</w:t>
      </w:r>
      <w:r w:rsidRPr="00F22986">
        <w:rPr>
          <w:rFonts w:asciiTheme="minorHAnsi" w:hAnsiTheme="minorHAnsi" w:cs="Cambria"/>
          <w:sz w:val="24"/>
        </w:rPr>
        <w:t xml:space="preserve"> public</w:t>
      </w:r>
      <w:r>
        <w:rPr>
          <w:rFonts w:cs="Cambria"/>
          <w:sz w:val="24"/>
        </w:rPr>
        <w:t xml:space="preserve"> </w:t>
      </w:r>
      <w:r w:rsidRPr="00F22986">
        <w:rPr>
          <w:rFonts w:asciiTheme="minorHAnsi" w:hAnsiTheme="minorHAnsi" w:cs="Cambria"/>
          <w:sz w:val="24"/>
        </w:rPr>
        <w:t>expenditures.</w:t>
      </w:r>
      <w:r w:rsidRPr="00F22986">
        <w:rPr>
          <w:rFonts w:cs="Cambria"/>
          <w:sz w:val="24"/>
        </w:rPr>
        <w:t xml:space="preserve"> </w:t>
      </w:r>
      <w:r>
        <w:rPr>
          <w:rFonts w:cs="Cambria"/>
          <w:sz w:val="24"/>
        </w:rPr>
        <w:t>The vast majority (</w:t>
      </w:r>
      <w:r w:rsidRPr="00F22986">
        <w:rPr>
          <w:rFonts w:asciiTheme="minorHAnsi" w:hAnsiTheme="minorHAnsi" w:cs="Cambria"/>
          <w:sz w:val="24"/>
        </w:rPr>
        <w:t>98.45%</w:t>
      </w:r>
      <w:r>
        <w:rPr>
          <w:rFonts w:cs="Cambria"/>
          <w:sz w:val="24"/>
        </w:rPr>
        <w:t>)</w:t>
      </w:r>
      <w:r w:rsidRPr="00F22986">
        <w:rPr>
          <w:rFonts w:asciiTheme="minorHAnsi" w:hAnsiTheme="minorHAnsi" w:cs="Cambria"/>
          <w:sz w:val="24"/>
        </w:rPr>
        <w:t xml:space="preserve"> </w:t>
      </w:r>
      <w:r>
        <w:rPr>
          <w:rFonts w:cs="Cambria"/>
          <w:sz w:val="24"/>
        </w:rPr>
        <w:t>of the identified expenditures we</w:t>
      </w:r>
      <w:r w:rsidRPr="00F22986">
        <w:rPr>
          <w:rFonts w:asciiTheme="minorHAnsi" w:hAnsiTheme="minorHAnsi" w:cs="Cambria"/>
          <w:sz w:val="24"/>
        </w:rPr>
        <w:t xml:space="preserve">re derived from the top-down approach. </w:t>
      </w:r>
      <w:r>
        <w:rPr>
          <w:rFonts w:cs="Cambria"/>
          <w:sz w:val="24"/>
        </w:rPr>
        <w:t>The</w:t>
      </w:r>
      <w:r w:rsidRPr="00F22986">
        <w:rPr>
          <w:rFonts w:asciiTheme="minorHAnsi" w:hAnsiTheme="minorHAnsi" w:cs="Cambria"/>
          <w:sz w:val="24"/>
        </w:rPr>
        <w:t xml:space="preserve"> public</w:t>
      </w:r>
      <w:r>
        <w:rPr>
          <w:rFonts w:cs="Cambria"/>
          <w:sz w:val="24"/>
        </w:rPr>
        <w:t xml:space="preserve"> </w:t>
      </w:r>
      <w:r w:rsidRPr="00F22986">
        <w:rPr>
          <w:rFonts w:asciiTheme="minorHAnsi" w:hAnsiTheme="minorHAnsi" w:cs="Cambria"/>
          <w:sz w:val="24"/>
        </w:rPr>
        <w:t xml:space="preserve">expenditures </w:t>
      </w:r>
      <w:r>
        <w:rPr>
          <w:rFonts w:cs="Cambria"/>
          <w:sz w:val="24"/>
        </w:rPr>
        <w:t xml:space="preserve">based on the bottom-up approach (1.55%) </w:t>
      </w:r>
      <w:r w:rsidRPr="00F22986">
        <w:rPr>
          <w:rFonts w:asciiTheme="minorHAnsi" w:hAnsiTheme="minorHAnsi" w:cs="Cambria"/>
          <w:sz w:val="24"/>
        </w:rPr>
        <w:t>c</w:t>
      </w:r>
      <w:r>
        <w:rPr>
          <w:rFonts w:cs="Cambria"/>
          <w:sz w:val="24"/>
        </w:rPr>
        <w:t>a</w:t>
      </w:r>
      <w:r w:rsidRPr="00F22986">
        <w:rPr>
          <w:rFonts w:asciiTheme="minorHAnsi" w:hAnsiTheme="minorHAnsi" w:cs="Cambria"/>
          <w:sz w:val="24"/>
        </w:rPr>
        <w:t>me from organisations that depend</w:t>
      </w:r>
      <w:r w:rsidR="00D5567C">
        <w:rPr>
          <w:rFonts w:asciiTheme="minorHAnsi" w:hAnsiTheme="minorHAnsi" w:cs="Cambria"/>
          <w:sz w:val="24"/>
        </w:rPr>
        <w:t>ed</w:t>
      </w:r>
      <w:r w:rsidRPr="00F22986">
        <w:rPr>
          <w:rFonts w:asciiTheme="minorHAnsi" w:hAnsiTheme="minorHAnsi" w:cs="Cambria"/>
          <w:sz w:val="24"/>
        </w:rPr>
        <w:t xml:space="preserve"> on the government for most of their funding.</w:t>
      </w:r>
    </w:p>
    <w:p w:rsidR="00932020" w:rsidRPr="00F22986" w:rsidRDefault="00932020" w:rsidP="00932020">
      <w:pPr>
        <w:autoSpaceDE w:val="0"/>
        <w:autoSpaceDN w:val="0"/>
        <w:adjustRightInd w:val="0"/>
        <w:spacing w:after="0" w:line="240" w:lineRule="auto"/>
        <w:rPr>
          <w:rFonts w:asciiTheme="minorHAnsi" w:hAnsiTheme="minorHAnsi" w:cs="Cambria"/>
          <w:sz w:val="24"/>
        </w:rPr>
      </w:pPr>
    </w:p>
    <w:p w:rsidR="00932020" w:rsidRDefault="00932020" w:rsidP="00932020">
      <w:pPr>
        <w:autoSpaceDE w:val="0"/>
        <w:autoSpaceDN w:val="0"/>
        <w:adjustRightInd w:val="0"/>
        <w:spacing w:after="0" w:line="240" w:lineRule="auto"/>
        <w:jc w:val="both"/>
        <w:rPr>
          <w:rFonts w:cs="Cambria"/>
          <w:sz w:val="24"/>
        </w:rPr>
      </w:pPr>
      <w:r>
        <w:rPr>
          <w:rFonts w:cs="Cambria"/>
          <w:sz w:val="24"/>
        </w:rPr>
        <w:t xml:space="preserve">The total drug-related </w:t>
      </w:r>
      <w:r w:rsidR="002F20EF">
        <w:rPr>
          <w:rFonts w:cs="Cambria"/>
          <w:sz w:val="24"/>
        </w:rPr>
        <w:t xml:space="preserve">expenditures were </w:t>
      </w:r>
      <w:r>
        <w:rPr>
          <w:rFonts w:cs="Cambria"/>
          <w:sz w:val="24"/>
        </w:rPr>
        <w:t xml:space="preserve">divided by the programs law enforcement, treatment, prevention, harm reduction and “other”. For 2008, public expenditure on law enforcement constituted 45% of the total. This was little less than the resources spent on treatment (49%) and substantially more than spent on prevention (4%), harm reduction (0.8%) and “other” (1.2%). When estimated by the same procedure in 2004 and 2008, the public expenditure on law enforcement showed a substantial increase, both nominally (from </w:t>
      </w:r>
      <w:r w:rsidRPr="00CC6580">
        <w:rPr>
          <w:rFonts w:asciiTheme="minorHAnsi" w:hAnsiTheme="minorHAnsi" w:cs="Cambria"/>
          <w:sz w:val="24"/>
          <w:szCs w:val="20"/>
        </w:rPr>
        <w:t xml:space="preserve">186,038,337 </w:t>
      </w:r>
      <w:r w:rsidR="00926B8A">
        <w:rPr>
          <w:rFonts w:asciiTheme="minorHAnsi" w:hAnsiTheme="minorHAnsi" w:cs="Cambria"/>
          <w:sz w:val="24"/>
          <w:szCs w:val="20"/>
        </w:rPr>
        <w:t xml:space="preserve">euros </w:t>
      </w:r>
      <w:r w:rsidRPr="00CC6580">
        <w:rPr>
          <w:rFonts w:asciiTheme="minorHAnsi" w:hAnsiTheme="minorHAnsi" w:cs="Cambria"/>
          <w:sz w:val="24"/>
          <w:szCs w:val="20"/>
        </w:rPr>
        <w:t>to 243,000,490 euros</w:t>
      </w:r>
      <w:r>
        <w:rPr>
          <w:rFonts w:cs="Cambria"/>
          <w:sz w:val="24"/>
        </w:rPr>
        <w:t>) and relatively</w:t>
      </w:r>
      <w:r w:rsidRPr="00CC6580">
        <w:rPr>
          <w:rFonts w:cs="Cambria"/>
          <w:sz w:val="24"/>
        </w:rPr>
        <w:t xml:space="preserve"> </w:t>
      </w:r>
      <w:r>
        <w:rPr>
          <w:rFonts w:cs="Cambria"/>
          <w:sz w:val="24"/>
        </w:rPr>
        <w:t xml:space="preserve">to the other programs (increased by 6 percentage points).  </w:t>
      </w:r>
    </w:p>
    <w:p w:rsidR="00932020" w:rsidRDefault="00932020" w:rsidP="00932020">
      <w:pPr>
        <w:autoSpaceDE w:val="0"/>
        <w:autoSpaceDN w:val="0"/>
        <w:adjustRightInd w:val="0"/>
        <w:spacing w:after="0" w:line="240" w:lineRule="auto"/>
        <w:rPr>
          <w:rFonts w:asciiTheme="minorHAnsi" w:hAnsiTheme="minorHAnsi"/>
          <w:b/>
          <w:i/>
          <w:iCs/>
          <w:sz w:val="24"/>
          <w:szCs w:val="24"/>
        </w:rPr>
      </w:pPr>
    </w:p>
    <w:p w:rsidR="00A913CD" w:rsidRDefault="00355AFB" w:rsidP="00932020">
      <w:pPr>
        <w:autoSpaceDE w:val="0"/>
        <w:autoSpaceDN w:val="0"/>
        <w:adjustRightInd w:val="0"/>
        <w:spacing w:after="0" w:line="240" w:lineRule="auto"/>
        <w:rPr>
          <w:rFonts w:asciiTheme="minorHAnsi" w:hAnsiTheme="minorHAnsi"/>
          <w:b/>
          <w:i/>
          <w:iCs/>
          <w:sz w:val="24"/>
          <w:szCs w:val="24"/>
        </w:rPr>
      </w:pPr>
      <w:r w:rsidRPr="00BE15B8">
        <w:rPr>
          <w:rFonts w:asciiTheme="minorHAnsi" w:hAnsiTheme="minorHAnsi"/>
          <w:b/>
          <w:i/>
          <w:iCs/>
          <w:sz w:val="24"/>
          <w:szCs w:val="24"/>
        </w:rPr>
        <w:t>Italy</w:t>
      </w:r>
    </w:p>
    <w:p w:rsidR="00355AFB" w:rsidRDefault="00355AFB" w:rsidP="00A913CD">
      <w:pPr>
        <w:spacing w:before="240" w:after="0"/>
        <w:jc w:val="both"/>
        <w:rPr>
          <w:rFonts w:asciiTheme="minorHAnsi" w:hAnsiTheme="minorHAnsi"/>
          <w:iCs/>
          <w:sz w:val="24"/>
          <w:szCs w:val="24"/>
        </w:rPr>
      </w:pPr>
      <w:r w:rsidRPr="00BE15B8">
        <w:rPr>
          <w:rFonts w:asciiTheme="minorHAnsi" w:hAnsiTheme="minorHAnsi"/>
          <w:iCs/>
          <w:sz w:val="24"/>
          <w:szCs w:val="24"/>
        </w:rPr>
        <w:t xml:space="preserve">In the process of estimating the Italian </w:t>
      </w:r>
      <w:r w:rsidRPr="00BE15B8">
        <w:rPr>
          <w:rFonts w:asciiTheme="minorHAnsi" w:eastAsia="Arial Unicode MS" w:hAnsiTheme="minorHAnsi"/>
          <w:sz w:val="24"/>
          <w:szCs w:val="24"/>
          <w:shd w:val="clear" w:color="auto" w:fill="FFFFFF"/>
        </w:rPr>
        <w:t xml:space="preserve">drug-related </w:t>
      </w:r>
      <w:r w:rsidRPr="00BE15B8">
        <w:rPr>
          <w:rFonts w:asciiTheme="minorHAnsi" w:hAnsiTheme="minorHAnsi"/>
          <w:iCs/>
          <w:sz w:val="24"/>
          <w:szCs w:val="24"/>
        </w:rPr>
        <w:t>public expenditure</w:t>
      </w:r>
      <w:r w:rsidRPr="00BE15B8">
        <w:rPr>
          <w:rFonts w:asciiTheme="minorHAnsi" w:eastAsia="Arial Unicode MS" w:hAnsiTheme="minorHAnsi"/>
          <w:sz w:val="24"/>
          <w:szCs w:val="24"/>
          <w:shd w:val="clear" w:color="auto" w:fill="FFFFFF"/>
        </w:rPr>
        <w:t xml:space="preserve"> (</w:t>
      </w:r>
      <w:r w:rsidRPr="00A913CD">
        <w:rPr>
          <w:rFonts w:asciiTheme="minorHAnsi" w:eastAsia="Arial Unicode MS" w:hAnsiTheme="minorHAnsi"/>
          <w:sz w:val="24"/>
          <w:szCs w:val="24"/>
          <w:highlight w:val="yellow"/>
          <w:shd w:val="clear" w:color="auto" w:fill="FFFFFF"/>
        </w:rPr>
        <w:t>Serpelloni</w:t>
      </w:r>
      <w:r w:rsidRPr="00A913CD">
        <w:rPr>
          <w:rFonts w:asciiTheme="minorHAnsi" w:hAnsiTheme="minorHAnsi"/>
          <w:sz w:val="24"/>
          <w:szCs w:val="24"/>
          <w:highlight w:val="yellow"/>
        </w:rPr>
        <w:t xml:space="preserve"> et al., 2013</w:t>
      </w:r>
      <w:r w:rsidRPr="00BE15B8">
        <w:rPr>
          <w:rFonts w:asciiTheme="minorHAnsi" w:hAnsiTheme="minorHAnsi"/>
          <w:sz w:val="24"/>
          <w:szCs w:val="24"/>
        </w:rPr>
        <w:t>)</w:t>
      </w:r>
      <w:r w:rsidRPr="00BE15B8">
        <w:rPr>
          <w:rFonts w:asciiTheme="minorHAnsi" w:eastAsia="Arial Unicode MS" w:hAnsiTheme="minorHAnsi"/>
          <w:sz w:val="24"/>
          <w:szCs w:val="24"/>
          <w:shd w:val="clear" w:color="auto" w:fill="FFFFFF"/>
        </w:rPr>
        <w:t xml:space="preserve"> a model </w:t>
      </w:r>
      <w:r w:rsidRPr="00BE15B8">
        <w:rPr>
          <w:rFonts w:asciiTheme="minorHAnsi" w:hAnsiTheme="minorHAnsi"/>
          <w:iCs/>
          <w:sz w:val="24"/>
          <w:szCs w:val="24"/>
        </w:rPr>
        <w:t>was developed for analysing the flow of informat</w:t>
      </w:r>
      <w:r w:rsidR="00A913CD">
        <w:rPr>
          <w:rFonts w:asciiTheme="minorHAnsi" w:hAnsiTheme="minorHAnsi"/>
          <w:iCs/>
          <w:sz w:val="24"/>
          <w:szCs w:val="24"/>
        </w:rPr>
        <w:t>ion sources. The</w:t>
      </w:r>
      <w:r w:rsidR="00E16BFF">
        <w:rPr>
          <w:rFonts w:asciiTheme="minorHAnsi" w:hAnsiTheme="minorHAnsi"/>
          <w:iCs/>
          <w:sz w:val="24"/>
          <w:szCs w:val="24"/>
        </w:rPr>
        <w:t xml:space="preserve"> model consisted</w:t>
      </w:r>
      <w:r w:rsidRPr="00BE15B8">
        <w:rPr>
          <w:rFonts w:asciiTheme="minorHAnsi" w:hAnsiTheme="minorHAnsi"/>
          <w:iCs/>
          <w:sz w:val="24"/>
          <w:szCs w:val="24"/>
        </w:rPr>
        <w:t xml:space="preserve"> of four components: private or indirect costs (individual costs and costs due to loss of productive capacity) and public expenditure or direct</w:t>
      </w:r>
      <w:r w:rsidR="00AC6F82" w:rsidRPr="00BE15B8">
        <w:rPr>
          <w:rFonts w:asciiTheme="minorHAnsi" w:hAnsiTheme="minorHAnsi"/>
          <w:iCs/>
          <w:sz w:val="24"/>
          <w:szCs w:val="24"/>
        </w:rPr>
        <w:t xml:space="preserve"> costs (costs of law enforcement</w:t>
      </w:r>
      <w:r w:rsidRPr="00BE15B8">
        <w:rPr>
          <w:rFonts w:asciiTheme="minorHAnsi" w:hAnsiTheme="minorHAnsi"/>
          <w:iCs/>
          <w:sz w:val="24"/>
          <w:szCs w:val="24"/>
        </w:rPr>
        <w:t>, social and health costs). To determine the costs of law enforcement, different sources of information were used: data about traffic control and traffic accidents, police data on people who were caught with drugs for personal use; data on the number of convictions for drug trafficking and; data on crimes related to drug trafficking.</w:t>
      </w:r>
    </w:p>
    <w:p w:rsidR="00536079" w:rsidRDefault="00536079" w:rsidP="00A913CD">
      <w:pPr>
        <w:spacing w:before="240" w:after="0"/>
        <w:jc w:val="both"/>
        <w:rPr>
          <w:rFonts w:asciiTheme="minorHAnsi" w:hAnsiTheme="minorHAnsi"/>
          <w:iCs/>
          <w:sz w:val="24"/>
          <w:szCs w:val="24"/>
        </w:rPr>
      </w:pPr>
      <w:r>
        <w:rPr>
          <w:rFonts w:asciiTheme="minorHAnsi" w:hAnsiTheme="minorHAnsi"/>
          <w:iCs/>
          <w:sz w:val="24"/>
          <w:szCs w:val="24"/>
        </w:rPr>
        <w:t>For the year 2011</w:t>
      </w:r>
      <w:r w:rsidR="00456EAA">
        <w:rPr>
          <w:rFonts w:asciiTheme="minorHAnsi" w:hAnsiTheme="minorHAnsi"/>
          <w:iCs/>
          <w:sz w:val="24"/>
          <w:szCs w:val="24"/>
        </w:rPr>
        <w:t>,</w:t>
      </w:r>
      <w:r>
        <w:rPr>
          <w:rFonts w:asciiTheme="minorHAnsi" w:hAnsiTheme="minorHAnsi"/>
          <w:iCs/>
          <w:sz w:val="24"/>
          <w:szCs w:val="24"/>
        </w:rPr>
        <w:t xml:space="preserve"> they estimated that the cost of drug-related law enforcement amounted to 1,600, 435, 296.60 euros, or roughly 40 euros per inhabitant aged 15-64 years. The largest </w:t>
      </w:r>
      <w:r w:rsidR="00456EAA">
        <w:rPr>
          <w:rFonts w:asciiTheme="minorHAnsi" w:hAnsiTheme="minorHAnsi"/>
          <w:iCs/>
          <w:sz w:val="24"/>
          <w:szCs w:val="24"/>
        </w:rPr>
        <w:t xml:space="preserve">cost </w:t>
      </w:r>
      <w:r>
        <w:rPr>
          <w:rFonts w:asciiTheme="minorHAnsi" w:hAnsiTheme="minorHAnsi"/>
          <w:iCs/>
          <w:sz w:val="24"/>
          <w:szCs w:val="24"/>
        </w:rPr>
        <w:t xml:space="preserve">component </w:t>
      </w:r>
      <w:r w:rsidR="00456EAA">
        <w:rPr>
          <w:rFonts w:asciiTheme="minorHAnsi" w:hAnsiTheme="minorHAnsi"/>
          <w:iCs/>
          <w:sz w:val="24"/>
          <w:szCs w:val="24"/>
        </w:rPr>
        <w:t>was prisons</w:t>
      </w:r>
      <w:r w:rsidR="00926B8A">
        <w:rPr>
          <w:rFonts w:asciiTheme="minorHAnsi" w:hAnsiTheme="minorHAnsi"/>
          <w:iCs/>
          <w:sz w:val="24"/>
          <w:szCs w:val="24"/>
        </w:rPr>
        <w:t xml:space="preserve"> and alternative measures </w:t>
      </w:r>
      <w:r w:rsidR="00926B8A">
        <w:rPr>
          <w:rFonts w:asciiTheme="minorHAnsi" w:hAnsiTheme="minorHAnsi"/>
          <w:iCs/>
          <w:sz w:val="24"/>
          <w:szCs w:val="24"/>
        </w:rPr>
        <w:t>(65%)</w:t>
      </w:r>
      <w:r w:rsidR="00456EAA">
        <w:rPr>
          <w:rFonts w:asciiTheme="minorHAnsi" w:hAnsiTheme="minorHAnsi"/>
          <w:iCs/>
          <w:sz w:val="24"/>
          <w:szCs w:val="24"/>
        </w:rPr>
        <w:t>, whereas trials and legal expenses; law enforcement activities; and administration spent 21.3%, 13% and 0.7%, respectively.</w:t>
      </w:r>
    </w:p>
    <w:p w:rsidR="00A913CD" w:rsidRPr="00A913CD" w:rsidRDefault="00A913CD" w:rsidP="00A913CD">
      <w:pPr>
        <w:spacing w:before="240" w:after="0"/>
        <w:jc w:val="both"/>
        <w:rPr>
          <w:rFonts w:asciiTheme="minorHAnsi" w:hAnsiTheme="minorHAnsi"/>
          <w:b/>
          <w:i/>
          <w:iCs/>
          <w:sz w:val="24"/>
          <w:szCs w:val="24"/>
        </w:rPr>
      </w:pPr>
    </w:p>
    <w:p w:rsidR="00355AFB" w:rsidRDefault="00355AFB" w:rsidP="00355AFB">
      <w:pPr>
        <w:spacing w:after="0"/>
        <w:jc w:val="both"/>
        <w:rPr>
          <w:rFonts w:asciiTheme="minorHAnsi" w:hAnsiTheme="minorHAnsi"/>
          <w:b/>
          <w:i/>
          <w:sz w:val="24"/>
          <w:szCs w:val="24"/>
        </w:rPr>
      </w:pPr>
      <w:r w:rsidRPr="00BE15B8">
        <w:rPr>
          <w:rFonts w:asciiTheme="minorHAnsi" w:hAnsiTheme="minorHAnsi"/>
          <w:b/>
          <w:i/>
          <w:sz w:val="24"/>
          <w:szCs w:val="24"/>
        </w:rPr>
        <w:t>France</w:t>
      </w:r>
    </w:p>
    <w:p w:rsidR="00355AFB" w:rsidRPr="00BE15B8" w:rsidRDefault="00355AFB" w:rsidP="00355AFB">
      <w:pPr>
        <w:spacing w:after="0"/>
        <w:jc w:val="both"/>
        <w:rPr>
          <w:rFonts w:asciiTheme="minorHAnsi" w:hAnsiTheme="minorHAnsi"/>
          <w:sz w:val="24"/>
          <w:szCs w:val="24"/>
        </w:rPr>
      </w:pPr>
      <w:r w:rsidRPr="00BE15B8">
        <w:rPr>
          <w:rFonts w:asciiTheme="minorHAnsi" w:hAnsiTheme="minorHAnsi"/>
          <w:sz w:val="24"/>
          <w:szCs w:val="24"/>
        </w:rPr>
        <w:t xml:space="preserve">In </w:t>
      </w:r>
      <w:r w:rsidR="00F459CF" w:rsidRPr="00BE15B8">
        <w:rPr>
          <w:rFonts w:asciiTheme="minorHAnsi" w:hAnsiTheme="minorHAnsi"/>
          <w:sz w:val="24"/>
          <w:szCs w:val="24"/>
        </w:rPr>
        <w:t>a French</w:t>
      </w:r>
      <w:r w:rsidRPr="00BE15B8">
        <w:rPr>
          <w:rFonts w:asciiTheme="minorHAnsi" w:hAnsiTheme="minorHAnsi"/>
          <w:sz w:val="24"/>
          <w:szCs w:val="24"/>
        </w:rPr>
        <w:t xml:space="preserve"> study</w:t>
      </w:r>
      <w:r w:rsidR="005151DE" w:rsidRPr="00BE15B8">
        <w:rPr>
          <w:rFonts w:asciiTheme="minorHAnsi" w:hAnsiTheme="minorHAnsi"/>
          <w:sz w:val="24"/>
          <w:szCs w:val="24"/>
        </w:rPr>
        <w:t xml:space="preserve"> </w:t>
      </w:r>
      <w:r w:rsidRPr="00BE15B8">
        <w:rPr>
          <w:rFonts w:asciiTheme="minorHAnsi" w:hAnsiTheme="minorHAnsi"/>
          <w:sz w:val="24"/>
          <w:szCs w:val="24"/>
        </w:rPr>
        <w:t>the applied method relied on analysing activity records wherever available in the concerned services</w:t>
      </w:r>
      <w:r w:rsidR="00AC6F82" w:rsidRPr="00BE15B8">
        <w:rPr>
          <w:rFonts w:asciiTheme="minorHAnsi" w:hAnsiTheme="minorHAnsi"/>
          <w:sz w:val="24"/>
          <w:szCs w:val="24"/>
        </w:rPr>
        <w:t xml:space="preserve"> (Kopp, 2015)</w:t>
      </w:r>
      <w:r w:rsidRPr="00BE15B8">
        <w:rPr>
          <w:rFonts w:asciiTheme="minorHAnsi" w:hAnsiTheme="minorHAnsi"/>
          <w:sz w:val="24"/>
          <w:szCs w:val="24"/>
        </w:rPr>
        <w:t xml:space="preserve">. The total expenditure for drug-related activities was then aggregated. The applied top-down approach in this case provided an indication of the proportion of expenditure for drug control related activities as compared to the overall expenditures of </w:t>
      </w:r>
      <w:r w:rsidR="00B536C2">
        <w:rPr>
          <w:rFonts w:asciiTheme="minorHAnsi" w:hAnsiTheme="minorHAnsi"/>
          <w:sz w:val="24"/>
          <w:szCs w:val="24"/>
        </w:rPr>
        <w:t xml:space="preserve">all </w:t>
      </w:r>
      <w:r w:rsidRPr="00BE15B8">
        <w:rPr>
          <w:rFonts w:asciiTheme="minorHAnsi" w:hAnsiTheme="minorHAnsi"/>
          <w:sz w:val="24"/>
          <w:szCs w:val="24"/>
        </w:rPr>
        <w:t xml:space="preserve">the institutions and services concerned. </w:t>
      </w:r>
      <w:r w:rsidR="00601304" w:rsidRPr="00BE15B8">
        <w:rPr>
          <w:rFonts w:asciiTheme="minorHAnsi" w:hAnsiTheme="minorHAnsi"/>
          <w:sz w:val="24"/>
          <w:szCs w:val="24"/>
        </w:rPr>
        <w:t>To obtain an</w:t>
      </w:r>
      <w:r w:rsidRPr="00BE15B8">
        <w:rPr>
          <w:rFonts w:asciiTheme="minorHAnsi" w:hAnsiTheme="minorHAnsi"/>
          <w:sz w:val="24"/>
          <w:szCs w:val="24"/>
        </w:rPr>
        <w:t xml:space="preserve"> estimate, a fraction was applied to the total cost of staff and regular functioning of the service concerned. For the year 2010, for example, 10% of police activities were attributable to </w:t>
      </w:r>
      <w:r w:rsidR="00152AC1">
        <w:rPr>
          <w:rFonts w:asciiTheme="minorHAnsi" w:hAnsiTheme="minorHAnsi"/>
          <w:sz w:val="24"/>
          <w:szCs w:val="24"/>
        </w:rPr>
        <w:t xml:space="preserve">drug </w:t>
      </w:r>
      <w:r w:rsidRPr="00BE15B8">
        <w:rPr>
          <w:rFonts w:asciiTheme="minorHAnsi" w:hAnsiTheme="minorHAnsi"/>
          <w:sz w:val="24"/>
          <w:szCs w:val="24"/>
        </w:rPr>
        <w:t xml:space="preserve">control activities, involving 60 police units accounting for several hundreds of thousands of hours/police officers. In this example, police expenditures attributable to drug-related activities have been calculated by multiplying the total expenditure of the police services by the fraction of 10%. </w:t>
      </w:r>
    </w:p>
    <w:p w:rsidR="00355AFB" w:rsidRPr="00BE15B8" w:rsidRDefault="00355AFB" w:rsidP="00355AFB">
      <w:pPr>
        <w:spacing w:after="0"/>
        <w:jc w:val="both"/>
        <w:rPr>
          <w:rFonts w:asciiTheme="minorHAnsi" w:hAnsiTheme="minorHAnsi"/>
          <w:sz w:val="24"/>
          <w:szCs w:val="24"/>
        </w:rPr>
      </w:pPr>
    </w:p>
    <w:p w:rsidR="00355AFB" w:rsidRPr="00BE15B8" w:rsidRDefault="00355AFB" w:rsidP="000C3617">
      <w:pPr>
        <w:spacing w:after="0"/>
        <w:jc w:val="both"/>
        <w:rPr>
          <w:rFonts w:asciiTheme="minorHAnsi" w:hAnsiTheme="minorHAnsi"/>
          <w:sz w:val="24"/>
          <w:szCs w:val="24"/>
        </w:rPr>
      </w:pPr>
      <w:r w:rsidRPr="00BE15B8">
        <w:rPr>
          <w:rFonts w:asciiTheme="minorHAnsi" w:hAnsiTheme="minorHAnsi"/>
          <w:sz w:val="24"/>
          <w:szCs w:val="24"/>
        </w:rPr>
        <w:t>The bottom up approach was also used based on the work time spent by staff in charge of supporting drug-related activities or the equipment used as recorded by the concerned services.</w:t>
      </w:r>
      <w:r w:rsidR="00601304" w:rsidRPr="00BE15B8">
        <w:rPr>
          <w:rFonts w:asciiTheme="minorHAnsi" w:hAnsiTheme="minorHAnsi"/>
          <w:sz w:val="24"/>
          <w:szCs w:val="24"/>
        </w:rPr>
        <w:t xml:space="preserve"> F</w:t>
      </w:r>
      <w:r w:rsidRPr="00BE15B8">
        <w:rPr>
          <w:rFonts w:asciiTheme="minorHAnsi" w:hAnsiTheme="minorHAnsi"/>
          <w:sz w:val="24"/>
          <w:szCs w:val="24"/>
        </w:rPr>
        <w:t>or example</w:t>
      </w:r>
      <w:r w:rsidR="00601304" w:rsidRPr="00BE15B8">
        <w:rPr>
          <w:rFonts w:asciiTheme="minorHAnsi" w:hAnsiTheme="minorHAnsi"/>
          <w:sz w:val="24"/>
          <w:szCs w:val="24"/>
        </w:rPr>
        <w:t>,</w:t>
      </w:r>
      <w:r w:rsidRPr="00BE15B8">
        <w:rPr>
          <w:rFonts w:asciiTheme="minorHAnsi" w:hAnsiTheme="minorHAnsi"/>
          <w:sz w:val="24"/>
          <w:szCs w:val="24"/>
        </w:rPr>
        <w:t xml:space="preserve"> the hours of prevention interventions in schools </w:t>
      </w:r>
      <w:r w:rsidR="00601304" w:rsidRPr="00BE15B8">
        <w:rPr>
          <w:rFonts w:asciiTheme="minorHAnsi" w:hAnsiTheme="minorHAnsi"/>
          <w:sz w:val="24"/>
          <w:szCs w:val="24"/>
        </w:rPr>
        <w:t>and</w:t>
      </w:r>
      <w:r w:rsidRPr="00BE15B8">
        <w:rPr>
          <w:rFonts w:asciiTheme="minorHAnsi" w:hAnsiTheme="minorHAnsi"/>
          <w:sz w:val="24"/>
          <w:szCs w:val="24"/>
        </w:rPr>
        <w:t xml:space="preserve"> </w:t>
      </w:r>
      <w:r w:rsidR="00601304" w:rsidRPr="00BE15B8">
        <w:rPr>
          <w:rFonts w:asciiTheme="minorHAnsi" w:hAnsiTheme="minorHAnsi"/>
          <w:sz w:val="24"/>
          <w:szCs w:val="24"/>
        </w:rPr>
        <w:t xml:space="preserve">the time spent by the police forces on </w:t>
      </w:r>
      <w:r w:rsidRPr="00BE15B8">
        <w:rPr>
          <w:rFonts w:asciiTheme="minorHAnsi" w:hAnsiTheme="minorHAnsi"/>
          <w:sz w:val="24"/>
          <w:szCs w:val="24"/>
        </w:rPr>
        <w:t xml:space="preserve">the alcohol tests </w:t>
      </w:r>
      <w:r w:rsidR="00601304" w:rsidRPr="00BE15B8">
        <w:rPr>
          <w:rFonts w:asciiTheme="minorHAnsi" w:hAnsiTheme="minorHAnsi"/>
          <w:sz w:val="24"/>
          <w:szCs w:val="24"/>
        </w:rPr>
        <w:t>were employed in calculations.</w:t>
      </w:r>
    </w:p>
    <w:p w:rsidR="006C6323" w:rsidRDefault="006C6323" w:rsidP="006C6323">
      <w:pPr>
        <w:pStyle w:val="NormalWeb"/>
        <w:spacing w:before="0" w:beforeAutospacing="0" w:after="0" w:afterAutospacing="0"/>
        <w:rPr>
          <w:rFonts w:asciiTheme="minorHAnsi" w:hAnsiTheme="minorHAnsi"/>
          <w:b/>
          <w:bCs/>
          <w:i/>
          <w:color w:val="000000"/>
          <w:lang w:val="en-GB"/>
        </w:rPr>
      </w:pPr>
    </w:p>
    <w:p w:rsidR="00F134FF" w:rsidRPr="00BE15B8" w:rsidRDefault="005A2BBF" w:rsidP="006C6323">
      <w:pPr>
        <w:pStyle w:val="NormalWeb"/>
        <w:spacing w:before="0" w:beforeAutospacing="0" w:after="0" w:afterAutospacing="0"/>
        <w:rPr>
          <w:rFonts w:asciiTheme="minorHAnsi" w:hAnsiTheme="minorHAnsi"/>
          <w:b/>
          <w:bCs/>
          <w:i/>
          <w:color w:val="000000"/>
          <w:lang w:val="en-GB"/>
        </w:rPr>
      </w:pPr>
      <w:r w:rsidRPr="00BE15B8">
        <w:rPr>
          <w:rFonts w:asciiTheme="minorHAnsi" w:hAnsiTheme="minorHAnsi"/>
          <w:b/>
          <w:bCs/>
          <w:i/>
          <w:color w:val="000000"/>
          <w:lang w:val="en-GB"/>
        </w:rPr>
        <w:t>Luxembourg</w:t>
      </w:r>
    </w:p>
    <w:p w:rsidR="002F55CD" w:rsidRDefault="00BF74F9" w:rsidP="006C6323">
      <w:pPr>
        <w:pStyle w:val="NormalWeb"/>
        <w:spacing w:before="0" w:beforeAutospacing="0" w:after="0" w:afterAutospacing="0" w:line="276" w:lineRule="auto"/>
        <w:jc w:val="both"/>
        <w:rPr>
          <w:rFonts w:asciiTheme="minorHAnsi" w:hAnsiTheme="minorHAnsi"/>
          <w:lang w:val="en-GB"/>
        </w:rPr>
      </w:pPr>
      <w:r w:rsidRPr="00BE15B8">
        <w:rPr>
          <w:rFonts w:asciiTheme="minorHAnsi" w:hAnsiTheme="minorHAnsi"/>
          <w:lang w:val="en-GB"/>
        </w:rPr>
        <w:t>Since</w:t>
      </w:r>
      <w:r w:rsidR="005179E0" w:rsidRPr="00BE15B8">
        <w:rPr>
          <w:rFonts w:asciiTheme="minorHAnsi" w:hAnsiTheme="minorHAnsi"/>
          <w:lang w:val="en-GB"/>
        </w:rPr>
        <w:t xml:space="preserve"> 1999</w:t>
      </w:r>
      <w:r w:rsidR="00950737" w:rsidRPr="00BE15B8">
        <w:rPr>
          <w:rFonts w:asciiTheme="minorHAnsi" w:hAnsiTheme="minorHAnsi"/>
          <w:lang w:val="en-GB"/>
        </w:rPr>
        <w:t>,</w:t>
      </w:r>
      <w:r w:rsidRPr="00BE15B8">
        <w:rPr>
          <w:rFonts w:asciiTheme="minorHAnsi" w:hAnsiTheme="minorHAnsi"/>
          <w:lang w:val="en-GB"/>
        </w:rPr>
        <w:t xml:space="preserve"> </w:t>
      </w:r>
      <w:r w:rsidR="00980302" w:rsidRPr="00BE15B8">
        <w:rPr>
          <w:rFonts w:asciiTheme="minorHAnsi" w:hAnsiTheme="minorHAnsi"/>
          <w:lang w:val="en-GB"/>
        </w:rPr>
        <w:t xml:space="preserve">the </w:t>
      </w:r>
      <w:r w:rsidR="005179E0" w:rsidRPr="00BE15B8">
        <w:rPr>
          <w:rFonts w:asciiTheme="minorHAnsi" w:eastAsia="Calibri" w:hAnsiTheme="minorHAnsi"/>
          <w:lang w:val="en-GB" w:eastAsia="en-US"/>
        </w:rPr>
        <w:t>social costs of drugs</w:t>
      </w:r>
      <w:r w:rsidR="00980302" w:rsidRPr="00BE15B8">
        <w:rPr>
          <w:rFonts w:asciiTheme="minorHAnsi" w:hAnsiTheme="minorHAnsi"/>
          <w:lang w:val="en-GB"/>
        </w:rPr>
        <w:t xml:space="preserve"> ha</w:t>
      </w:r>
      <w:r w:rsidR="00214E91" w:rsidRPr="00BE15B8">
        <w:rPr>
          <w:rFonts w:asciiTheme="minorHAnsi" w:hAnsiTheme="minorHAnsi"/>
          <w:lang w:val="en-GB"/>
        </w:rPr>
        <w:t xml:space="preserve">s </w:t>
      </w:r>
      <w:r w:rsidR="00980302" w:rsidRPr="00BE15B8">
        <w:rPr>
          <w:rFonts w:asciiTheme="minorHAnsi" w:hAnsiTheme="minorHAnsi"/>
          <w:lang w:val="en-GB"/>
        </w:rPr>
        <w:t xml:space="preserve">been estimated </w:t>
      </w:r>
      <w:r w:rsidR="00926B8A" w:rsidRPr="00BE15B8">
        <w:rPr>
          <w:rFonts w:asciiTheme="minorHAnsi" w:hAnsiTheme="minorHAnsi"/>
          <w:lang w:val="en-GB"/>
        </w:rPr>
        <w:t xml:space="preserve">annually </w:t>
      </w:r>
      <w:r w:rsidR="00950737" w:rsidRPr="00BE15B8">
        <w:rPr>
          <w:rFonts w:asciiTheme="minorHAnsi" w:hAnsiTheme="minorHAnsi"/>
          <w:lang w:val="en-GB"/>
        </w:rPr>
        <w:t>in</w:t>
      </w:r>
      <w:r w:rsidR="00926B8A">
        <w:rPr>
          <w:rFonts w:asciiTheme="minorHAnsi" w:hAnsiTheme="minorHAnsi"/>
          <w:lang w:val="en-GB"/>
        </w:rPr>
        <w:t xml:space="preserve"> Luxemburg</w:t>
      </w:r>
      <w:r w:rsidRPr="00BE15B8">
        <w:rPr>
          <w:rFonts w:asciiTheme="minorHAnsi" w:hAnsiTheme="minorHAnsi"/>
          <w:lang w:val="en-GB"/>
        </w:rPr>
        <w:t>.</w:t>
      </w:r>
      <w:r w:rsidR="005179E0" w:rsidRPr="00BE15B8">
        <w:rPr>
          <w:rFonts w:asciiTheme="minorHAnsi" w:eastAsia="Calibri" w:hAnsiTheme="minorHAnsi"/>
          <w:lang w:val="en-GB" w:eastAsia="en-US"/>
        </w:rPr>
        <w:t xml:space="preserve"> </w:t>
      </w:r>
      <w:r w:rsidR="00980302" w:rsidRPr="00BE15B8">
        <w:rPr>
          <w:rFonts w:asciiTheme="minorHAnsi" w:hAnsiTheme="minorHAnsi"/>
          <w:lang w:val="en-GB"/>
        </w:rPr>
        <w:t>Estimates</w:t>
      </w:r>
      <w:r w:rsidRPr="00BE15B8">
        <w:rPr>
          <w:rFonts w:asciiTheme="minorHAnsi" w:hAnsiTheme="minorHAnsi"/>
          <w:lang w:val="en-GB"/>
        </w:rPr>
        <w:t xml:space="preserve"> include</w:t>
      </w:r>
      <w:r w:rsidR="00950737" w:rsidRPr="00BE15B8">
        <w:rPr>
          <w:rFonts w:asciiTheme="minorHAnsi" w:hAnsiTheme="minorHAnsi"/>
          <w:lang w:val="en-GB"/>
        </w:rPr>
        <w:t xml:space="preserve"> the</w:t>
      </w:r>
      <w:r w:rsidRPr="00BE15B8">
        <w:rPr>
          <w:rFonts w:asciiTheme="minorHAnsi" w:hAnsiTheme="minorHAnsi"/>
          <w:lang w:val="en-GB"/>
        </w:rPr>
        <w:t xml:space="preserve"> </w:t>
      </w:r>
      <w:r w:rsidR="00214E91" w:rsidRPr="00BE15B8">
        <w:rPr>
          <w:rFonts w:asciiTheme="minorHAnsi" w:hAnsiTheme="minorHAnsi"/>
          <w:lang w:val="en-GB"/>
        </w:rPr>
        <w:t>total</w:t>
      </w:r>
      <w:r w:rsidRPr="00BE15B8">
        <w:rPr>
          <w:rFonts w:asciiTheme="minorHAnsi" w:hAnsiTheme="minorHAnsi"/>
          <w:lang w:val="en-GB"/>
        </w:rPr>
        <w:t xml:space="preserve"> </w:t>
      </w:r>
      <w:r w:rsidR="00214E91" w:rsidRPr="00BE15B8">
        <w:rPr>
          <w:rFonts w:asciiTheme="minorHAnsi" w:hAnsiTheme="minorHAnsi"/>
          <w:lang w:val="en-GB"/>
        </w:rPr>
        <w:t>costs</w:t>
      </w:r>
      <w:r w:rsidRPr="00BE15B8">
        <w:rPr>
          <w:rFonts w:asciiTheme="minorHAnsi" w:hAnsiTheme="minorHAnsi"/>
          <w:lang w:val="en-GB"/>
        </w:rPr>
        <w:t xml:space="preserve"> </w:t>
      </w:r>
      <w:r w:rsidR="00950737" w:rsidRPr="00BE15B8">
        <w:rPr>
          <w:rFonts w:asciiTheme="minorHAnsi" w:hAnsiTheme="minorHAnsi"/>
          <w:lang w:val="en-GB"/>
        </w:rPr>
        <w:t xml:space="preserve">for public and private agents </w:t>
      </w:r>
      <w:r w:rsidR="00214E91" w:rsidRPr="00BE15B8">
        <w:rPr>
          <w:rFonts w:asciiTheme="minorHAnsi" w:hAnsiTheme="minorHAnsi"/>
          <w:lang w:val="en-GB"/>
        </w:rPr>
        <w:t>of</w:t>
      </w:r>
      <w:r w:rsidRPr="00BE15B8">
        <w:rPr>
          <w:rFonts w:asciiTheme="minorHAnsi" w:hAnsiTheme="minorHAnsi"/>
          <w:lang w:val="en-GB"/>
        </w:rPr>
        <w:t xml:space="preserve"> </w:t>
      </w:r>
      <w:r w:rsidR="00950737" w:rsidRPr="00BE15B8">
        <w:rPr>
          <w:rFonts w:asciiTheme="minorHAnsi" w:hAnsiTheme="minorHAnsi"/>
          <w:lang w:val="en-GB"/>
        </w:rPr>
        <w:t xml:space="preserve">consequences of </w:t>
      </w:r>
      <w:r w:rsidRPr="00BE15B8">
        <w:rPr>
          <w:rFonts w:asciiTheme="minorHAnsi" w:hAnsiTheme="minorHAnsi"/>
          <w:lang w:val="en-GB"/>
        </w:rPr>
        <w:t xml:space="preserve">drug use and trafficking. Public spending has been accounted </w:t>
      </w:r>
      <w:r w:rsidR="00980302" w:rsidRPr="00BE15B8">
        <w:rPr>
          <w:rFonts w:asciiTheme="minorHAnsi" w:hAnsiTheme="minorHAnsi"/>
          <w:lang w:val="en-GB"/>
        </w:rPr>
        <w:t>with</w:t>
      </w:r>
      <w:r w:rsidR="0096003A" w:rsidRPr="00BE15B8">
        <w:rPr>
          <w:rFonts w:asciiTheme="minorHAnsi" w:hAnsiTheme="minorHAnsi"/>
          <w:lang w:val="en-GB"/>
        </w:rPr>
        <w:t>in</w:t>
      </w:r>
      <w:r w:rsidRPr="00BE15B8">
        <w:rPr>
          <w:rFonts w:asciiTheme="minorHAnsi" w:hAnsiTheme="minorHAnsi"/>
          <w:lang w:val="en-GB"/>
        </w:rPr>
        <w:t xml:space="preserve"> five different </w:t>
      </w:r>
      <w:r w:rsidR="00950737" w:rsidRPr="00BE15B8">
        <w:rPr>
          <w:rFonts w:asciiTheme="minorHAnsi" w:hAnsiTheme="minorHAnsi"/>
          <w:lang w:val="en-GB"/>
        </w:rPr>
        <w:t>sectors</w:t>
      </w:r>
      <w:r w:rsidRPr="00BE15B8">
        <w:rPr>
          <w:rFonts w:asciiTheme="minorHAnsi" w:hAnsiTheme="minorHAnsi"/>
          <w:lang w:val="en-GB"/>
        </w:rPr>
        <w:t>: prevention, treatment, harm reduction, law enforcement and research</w:t>
      </w:r>
      <w:r w:rsidR="00980302" w:rsidRPr="00BE15B8">
        <w:rPr>
          <w:rFonts w:asciiTheme="minorHAnsi" w:hAnsiTheme="minorHAnsi"/>
          <w:lang w:val="en-GB"/>
        </w:rPr>
        <w:t>.</w:t>
      </w:r>
      <w:r w:rsidRPr="00BE15B8">
        <w:rPr>
          <w:rFonts w:asciiTheme="minorHAnsi" w:hAnsiTheme="minorHAnsi"/>
          <w:lang w:val="en-GB"/>
        </w:rPr>
        <w:t xml:space="preserve"> </w:t>
      </w:r>
      <w:r w:rsidR="00214E91" w:rsidRPr="00BE15B8">
        <w:rPr>
          <w:rFonts w:asciiTheme="minorHAnsi" w:hAnsiTheme="minorHAnsi"/>
          <w:lang w:val="en-GB"/>
        </w:rPr>
        <w:t xml:space="preserve">In the law enforcement field, as in other fields, </w:t>
      </w:r>
      <w:r w:rsidR="00950737" w:rsidRPr="00BE15B8">
        <w:rPr>
          <w:rFonts w:asciiTheme="minorHAnsi" w:hAnsiTheme="minorHAnsi"/>
          <w:lang w:val="en-GB"/>
        </w:rPr>
        <w:t>analysts</w:t>
      </w:r>
      <w:r w:rsidRPr="00BE15B8">
        <w:rPr>
          <w:rFonts w:asciiTheme="minorHAnsi" w:hAnsiTheme="minorHAnsi"/>
          <w:lang w:val="en-GB"/>
        </w:rPr>
        <w:t xml:space="preserve"> faced </w:t>
      </w:r>
      <w:r w:rsidR="00214E91" w:rsidRPr="00BE15B8">
        <w:rPr>
          <w:rFonts w:asciiTheme="minorHAnsi" w:hAnsiTheme="minorHAnsi"/>
          <w:lang w:val="en-GB"/>
        </w:rPr>
        <w:t xml:space="preserve">both </w:t>
      </w:r>
      <w:r w:rsidR="0096003A" w:rsidRPr="00BE15B8">
        <w:rPr>
          <w:rFonts w:asciiTheme="minorHAnsi" w:hAnsiTheme="minorHAnsi"/>
          <w:lang w:val="en-GB"/>
        </w:rPr>
        <w:t xml:space="preserve">the challenge </w:t>
      </w:r>
      <w:r w:rsidR="00214E91" w:rsidRPr="00BE15B8">
        <w:rPr>
          <w:rFonts w:asciiTheme="minorHAnsi" w:hAnsiTheme="minorHAnsi"/>
          <w:lang w:val="en-GB"/>
        </w:rPr>
        <w:t>of accounting for</w:t>
      </w:r>
      <w:r w:rsidR="0096003A" w:rsidRPr="00BE15B8">
        <w:rPr>
          <w:rFonts w:asciiTheme="minorHAnsi" w:hAnsiTheme="minorHAnsi"/>
          <w:lang w:val="en-GB"/>
        </w:rPr>
        <w:t xml:space="preserve"> drug-related spending </w:t>
      </w:r>
      <w:r w:rsidR="00214E91" w:rsidRPr="00BE15B8">
        <w:rPr>
          <w:rFonts w:asciiTheme="minorHAnsi" w:hAnsiTheme="minorHAnsi"/>
          <w:lang w:val="en-GB"/>
        </w:rPr>
        <w:t>financed by</w:t>
      </w:r>
      <w:r w:rsidR="0096003A" w:rsidRPr="00BE15B8">
        <w:rPr>
          <w:rFonts w:asciiTheme="minorHAnsi" w:hAnsiTheme="minorHAnsi"/>
          <w:lang w:val="en-GB"/>
        </w:rPr>
        <w:t xml:space="preserve"> different levels of the general government and </w:t>
      </w:r>
      <w:r w:rsidR="00214E91" w:rsidRPr="00BE15B8">
        <w:rPr>
          <w:rFonts w:asciiTheme="minorHAnsi" w:hAnsiTheme="minorHAnsi"/>
          <w:lang w:val="en-GB"/>
        </w:rPr>
        <w:t>of</w:t>
      </w:r>
      <w:r w:rsidR="0096003A" w:rsidRPr="00BE15B8">
        <w:rPr>
          <w:rFonts w:asciiTheme="minorHAnsi" w:hAnsiTheme="minorHAnsi"/>
          <w:lang w:val="en-GB"/>
        </w:rPr>
        <w:t xml:space="preserve"> develop</w:t>
      </w:r>
      <w:r w:rsidR="00214E91" w:rsidRPr="00BE15B8">
        <w:rPr>
          <w:rFonts w:asciiTheme="minorHAnsi" w:hAnsiTheme="minorHAnsi"/>
          <w:lang w:val="en-GB"/>
        </w:rPr>
        <w:t>ing</w:t>
      </w:r>
      <w:r w:rsidR="0096003A" w:rsidRPr="00BE15B8">
        <w:rPr>
          <w:rFonts w:asciiTheme="minorHAnsi" w:hAnsiTheme="minorHAnsi"/>
          <w:lang w:val="en-GB"/>
        </w:rPr>
        <w:t xml:space="preserve"> models to extract </w:t>
      </w:r>
      <w:r w:rsidR="00214E91" w:rsidRPr="00BE15B8">
        <w:rPr>
          <w:rFonts w:asciiTheme="minorHAnsi" w:hAnsiTheme="minorHAnsi"/>
          <w:lang w:val="en-GB"/>
        </w:rPr>
        <w:t xml:space="preserve">unlabelled </w:t>
      </w:r>
      <w:r w:rsidR="0096003A" w:rsidRPr="00BE15B8">
        <w:rPr>
          <w:rFonts w:asciiTheme="minorHAnsi" w:hAnsiTheme="minorHAnsi"/>
          <w:lang w:val="en-GB"/>
        </w:rPr>
        <w:t xml:space="preserve">drug-related expenditure </w:t>
      </w:r>
      <w:r w:rsidR="00214E91" w:rsidRPr="00BE15B8">
        <w:rPr>
          <w:rFonts w:asciiTheme="minorHAnsi" w:hAnsiTheme="minorHAnsi"/>
          <w:lang w:val="en-GB"/>
        </w:rPr>
        <w:t xml:space="preserve">from broader budgets (Origer, 2002). </w:t>
      </w:r>
      <w:r w:rsidR="0096003A" w:rsidRPr="00BE15B8">
        <w:rPr>
          <w:rFonts w:asciiTheme="minorHAnsi" w:hAnsiTheme="minorHAnsi"/>
          <w:lang w:val="en-GB"/>
        </w:rPr>
        <w:t xml:space="preserve"> </w:t>
      </w:r>
    </w:p>
    <w:p w:rsidR="00B536C2" w:rsidRDefault="00BB2CED" w:rsidP="00950737">
      <w:pPr>
        <w:pStyle w:val="NormalWeb"/>
        <w:spacing w:line="276" w:lineRule="auto"/>
        <w:jc w:val="both"/>
        <w:rPr>
          <w:rFonts w:asciiTheme="minorHAnsi" w:hAnsiTheme="minorHAnsi"/>
          <w:lang w:val="en-GB"/>
        </w:rPr>
      </w:pPr>
      <w:r>
        <w:rPr>
          <w:rFonts w:asciiTheme="minorHAnsi" w:hAnsiTheme="minorHAnsi"/>
          <w:lang w:val="en-GB"/>
        </w:rPr>
        <w:t xml:space="preserve">Law enforcement </w:t>
      </w:r>
      <w:r w:rsidR="00926B8A">
        <w:rPr>
          <w:rFonts w:asciiTheme="minorHAnsi" w:hAnsiTheme="minorHAnsi"/>
          <w:lang w:val="en-GB"/>
        </w:rPr>
        <w:t xml:space="preserve">was estimated to </w:t>
      </w:r>
      <w:r>
        <w:rPr>
          <w:rFonts w:asciiTheme="minorHAnsi" w:hAnsiTheme="minorHAnsi"/>
          <w:lang w:val="en-GB"/>
        </w:rPr>
        <w:t>account for 39% of total drug-related public expenditure</w:t>
      </w:r>
      <w:r w:rsidR="006C6323">
        <w:rPr>
          <w:rFonts w:asciiTheme="minorHAnsi" w:hAnsiTheme="minorHAnsi"/>
          <w:lang w:val="en-GB"/>
        </w:rPr>
        <w:t>; prevention, treatment and harm reduction expenditure amounted to 59%, whereas research and “other” spent 2%.</w:t>
      </w:r>
    </w:p>
    <w:p w:rsidR="006C6323" w:rsidRPr="00BE15B8" w:rsidRDefault="006C6323" w:rsidP="00950737">
      <w:pPr>
        <w:pStyle w:val="NormalWeb"/>
        <w:spacing w:line="276" w:lineRule="auto"/>
        <w:jc w:val="both"/>
        <w:rPr>
          <w:rFonts w:asciiTheme="minorHAnsi" w:hAnsiTheme="minorHAnsi"/>
          <w:lang w:val="en-GB"/>
        </w:rPr>
      </w:pPr>
    </w:p>
    <w:p w:rsidR="00AA55E3" w:rsidRPr="00BE15B8" w:rsidRDefault="00AA55E3" w:rsidP="006C6323">
      <w:pPr>
        <w:pStyle w:val="NormalWeb"/>
        <w:spacing w:before="0" w:beforeAutospacing="0" w:after="0" w:afterAutospacing="0"/>
        <w:rPr>
          <w:rFonts w:asciiTheme="minorHAnsi" w:hAnsiTheme="minorHAnsi"/>
          <w:i/>
          <w:lang w:val="en-GB"/>
        </w:rPr>
      </w:pPr>
      <w:r w:rsidRPr="00BE15B8">
        <w:rPr>
          <w:rFonts w:asciiTheme="minorHAnsi" w:hAnsiTheme="minorHAnsi"/>
          <w:b/>
          <w:bCs/>
          <w:i/>
          <w:color w:val="000000"/>
          <w:lang w:val="en-GB"/>
        </w:rPr>
        <w:t>Russia</w:t>
      </w:r>
    </w:p>
    <w:p w:rsidR="00B46AC4" w:rsidRDefault="00B026DA" w:rsidP="006C6323">
      <w:pPr>
        <w:pStyle w:val="NormalWeb"/>
        <w:spacing w:before="0" w:beforeAutospacing="0" w:after="0" w:afterAutospacing="0" w:line="276" w:lineRule="auto"/>
        <w:jc w:val="both"/>
        <w:rPr>
          <w:rFonts w:asciiTheme="minorHAnsi" w:hAnsiTheme="minorHAnsi"/>
          <w:color w:val="000000"/>
          <w:lang w:val="en-GB"/>
        </w:rPr>
      </w:pPr>
      <w:r>
        <w:rPr>
          <w:rFonts w:asciiTheme="minorHAnsi" w:hAnsiTheme="minorHAnsi"/>
          <w:color w:val="000000"/>
          <w:lang w:val="en-GB"/>
        </w:rPr>
        <w:t xml:space="preserve">For Russia, </w:t>
      </w:r>
      <w:r w:rsidR="00AA55E3" w:rsidRPr="00BE15B8">
        <w:rPr>
          <w:rFonts w:asciiTheme="minorHAnsi" w:hAnsiTheme="minorHAnsi"/>
          <w:color w:val="000000"/>
          <w:lang w:val="en-GB"/>
        </w:rPr>
        <w:t>public expenditures</w:t>
      </w:r>
      <w:r>
        <w:rPr>
          <w:rFonts w:asciiTheme="minorHAnsi" w:hAnsiTheme="minorHAnsi"/>
          <w:color w:val="000000"/>
          <w:lang w:val="en-GB"/>
        </w:rPr>
        <w:t xml:space="preserve"> on law enforcement </w:t>
      </w:r>
      <w:r w:rsidR="00CF182F">
        <w:rPr>
          <w:rFonts w:asciiTheme="minorHAnsi" w:hAnsiTheme="minorHAnsi"/>
          <w:color w:val="000000"/>
          <w:lang w:val="en-GB"/>
        </w:rPr>
        <w:t xml:space="preserve">agencies </w:t>
      </w:r>
      <w:r>
        <w:rPr>
          <w:rFonts w:asciiTheme="minorHAnsi" w:hAnsiTheme="minorHAnsi"/>
          <w:color w:val="000000"/>
          <w:lang w:val="en-GB"/>
        </w:rPr>
        <w:t xml:space="preserve">and the </w:t>
      </w:r>
      <w:r w:rsidR="00CF182F">
        <w:rPr>
          <w:rFonts w:asciiTheme="minorHAnsi" w:hAnsiTheme="minorHAnsi"/>
          <w:color w:val="000000"/>
          <w:lang w:val="en-GB"/>
        </w:rPr>
        <w:t>judicial system</w:t>
      </w:r>
      <w:r>
        <w:rPr>
          <w:rFonts w:asciiTheme="minorHAnsi" w:hAnsiTheme="minorHAnsi"/>
          <w:color w:val="000000"/>
          <w:lang w:val="en-GB"/>
        </w:rPr>
        <w:t xml:space="preserve">, was estimated as part of a </w:t>
      </w:r>
      <w:r w:rsidR="00FC48B8">
        <w:rPr>
          <w:rFonts w:asciiTheme="minorHAnsi" w:hAnsiTheme="minorHAnsi"/>
          <w:color w:val="000000"/>
          <w:lang w:val="en-GB"/>
        </w:rPr>
        <w:t xml:space="preserve">social </w:t>
      </w:r>
      <w:r>
        <w:rPr>
          <w:rFonts w:asciiTheme="minorHAnsi" w:hAnsiTheme="minorHAnsi"/>
          <w:color w:val="000000"/>
          <w:lang w:val="en-GB"/>
        </w:rPr>
        <w:t>study</w:t>
      </w:r>
      <w:r w:rsidR="00AA55E3" w:rsidRPr="00BE15B8">
        <w:rPr>
          <w:rFonts w:asciiTheme="minorHAnsi" w:hAnsiTheme="minorHAnsi"/>
          <w:color w:val="000000"/>
          <w:lang w:val="en-GB"/>
        </w:rPr>
        <w:t xml:space="preserve"> </w:t>
      </w:r>
      <w:r w:rsidR="00950737" w:rsidRPr="00BE15B8">
        <w:rPr>
          <w:rFonts w:asciiTheme="minorHAnsi" w:hAnsiTheme="minorHAnsi"/>
          <w:color w:val="000000"/>
          <w:lang w:val="en-GB"/>
        </w:rPr>
        <w:t>(Potapchik and Popovich, 2014)</w:t>
      </w:r>
      <w:r w:rsidR="00AA55E3" w:rsidRPr="00BE15B8">
        <w:rPr>
          <w:rFonts w:asciiTheme="minorHAnsi" w:hAnsiTheme="minorHAnsi"/>
          <w:color w:val="000000"/>
          <w:lang w:val="en-GB"/>
        </w:rPr>
        <w:t>. Th</w:t>
      </w:r>
      <w:r w:rsidR="00950737" w:rsidRPr="00BE15B8">
        <w:rPr>
          <w:rFonts w:asciiTheme="minorHAnsi" w:hAnsiTheme="minorHAnsi"/>
          <w:color w:val="000000"/>
          <w:lang w:val="en-GB"/>
        </w:rPr>
        <w:t xml:space="preserve">e </w:t>
      </w:r>
      <w:r>
        <w:rPr>
          <w:rFonts w:asciiTheme="minorHAnsi" w:hAnsiTheme="minorHAnsi"/>
          <w:color w:val="000000"/>
          <w:lang w:val="en-GB"/>
        </w:rPr>
        <w:t>comprehensive model including</w:t>
      </w:r>
      <w:r w:rsidR="00AA55E3" w:rsidRPr="00BE15B8">
        <w:rPr>
          <w:rFonts w:asciiTheme="minorHAnsi" w:hAnsiTheme="minorHAnsi"/>
          <w:color w:val="000000"/>
          <w:lang w:val="en-GB"/>
        </w:rPr>
        <w:t xml:space="preserve"> private and indirect costs (the cost of the individual and the costs due to l</w:t>
      </w:r>
      <w:r w:rsidR="00F56056" w:rsidRPr="00BE15B8">
        <w:rPr>
          <w:rFonts w:asciiTheme="minorHAnsi" w:hAnsiTheme="minorHAnsi"/>
          <w:color w:val="000000"/>
          <w:lang w:val="en-GB"/>
        </w:rPr>
        <w:t xml:space="preserve">oss of production capacity) and public spending, including direct spending </w:t>
      </w:r>
      <w:r w:rsidR="006F33F2" w:rsidRPr="00BE15B8">
        <w:rPr>
          <w:rFonts w:asciiTheme="minorHAnsi" w:hAnsiTheme="minorHAnsi"/>
          <w:color w:val="000000"/>
          <w:lang w:val="en-GB"/>
        </w:rPr>
        <w:t xml:space="preserve">on supply reduction </w:t>
      </w:r>
      <w:r w:rsidR="00F56056" w:rsidRPr="00BE15B8">
        <w:rPr>
          <w:rFonts w:asciiTheme="minorHAnsi" w:hAnsiTheme="minorHAnsi"/>
          <w:color w:val="000000"/>
          <w:lang w:val="en-GB"/>
        </w:rPr>
        <w:t>services</w:t>
      </w:r>
      <w:r w:rsidR="006F33F2" w:rsidRPr="00BE15B8">
        <w:rPr>
          <w:rFonts w:asciiTheme="minorHAnsi" w:hAnsiTheme="minorHAnsi"/>
          <w:color w:val="000000"/>
          <w:lang w:val="en-GB"/>
        </w:rPr>
        <w:t xml:space="preserve">. These </w:t>
      </w:r>
      <w:r w:rsidR="00F56056" w:rsidRPr="00BE15B8">
        <w:rPr>
          <w:rFonts w:asciiTheme="minorHAnsi" w:hAnsiTheme="minorHAnsi"/>
          <w:color w:val="000000"/>
          <w:lang w:val="en-GB"/>
        </w:rPr>
        <w:t xml:space="preserve">were </w:t>
      </w:r>
      <w:r w:rsidR="000A13D5" w:rsidRPr="00BE15B8">
        <w:rPr>
          <w:rFonts w:asciiTheme="minorHAnsi" w:hAnsiTheme="minorHAnsi"/>
          <w:color w:val="000000"/>
          <w:lang w:val="en-GB"/>
        </w:rPr>
        <w:t>di</w:t>
      </w:r>
      <w:r w:rsidR="000A13D5">
        <w:rPr>
          <w:rFonts w:asciiTheme="minorHAnsi" w:hAnsiTheme="minorHAnsi"/>
          <w:color w:val="000000"/>
          <w:lang w:val="en-GB"/>
        </w:rPr>
        <w:t>sa</w:t>
      </w:r>
      <w:r w:rsidR="000A13D5" w:rsidRPr="00BE15B8">
        <w:rPr>
          <w:rFonts w:asciiTheme="minorHAnsi" w:hAnsiTheme="minorHAnsi"/>
          <w:color w:val="000000"/>
          <w:lang w:val="en-GB"/>
        </w:rPr>
        <w:t>gg</w:t>
      </w:r>
      <w:r w:rsidR="000A13D5">
        <w:rPr>
          <w:rFonts w:asciiTheme="minorHAnsi" w:hAnsiTheme="minorHAnsi"/>
          <w:color w:val="000000"/>
          <w:lang w:val="en-GB"/>
        </w:rPr>
        <w:t>r</w:t>
      </w:r>
      <w:r w:rsidR="000A13D5" w:rsidRPr="00BE15B8">
        <w:rPr>
          <w:rFonts w:asciiTheme="minorHAnsi" w:hAnsiTheme="minorHAnsi"/>
          <w:color w:val="000000"/>
          <w:lang w:val="en-GB"/>
        </w:rPr>
        <w:t>egated</w:t>
      </w:r>
      <w:r w:rsidR="006F33F2" w:rsidRPr="00BE15B8">
        <w:rPr>
          <w:rFonts w:asciiTheme="minorHAnsi" w:hAnsiTheme="minorHAnsi"/>
          <w:color w:val="000000"/>
          <w:lang w:val="en-GB"/>
        </w:rPr>
        <w:t xml:space="preserve"> by spending</w:t>
      </w:r>
      <w:r w:rsidR="00AA55E3" w:rsidRPr="00BE15B8">
        <w:rPr>
          <w:rFonts w:asciiTheme="minorHAnsi" w:hAnsiTheme="minorHAnsi"/>
          <w:color w:val="000000"/>
          <w:lang w:val="en-GB"/>
        </w:rPr>
        <w:t xml:space="preserve"> o</w:t>
      </w:r>
      <w:r w:rsidR="006F33F2" w:rsidRPr="00BE15B8">
        <w:rPr>
          <w:rFonts w:asciiTheme="minorHAnsi" w:hAnsiTheme="minorHAnsi"/>
          <w:color w:val="000000"/>
          <w:lang w:val="en-GB"/>
        </w:rPr>
        <w:t>n</w:t>
      </w:r>
      <w:r w:rsidR="00AA55E3" w:rsidRPr="00BE15B8">
        <w:rPr>
          <w:rFonts w:asciiTheme="minorHAnsi" w:hAnsiTheme="minorHAnsi"/>
          <w:color w:val="000000"/>
          <w:lang w:val="en-GB"/>
        </w:rPr>
        <w:t xml:space="preserve"> </w:t>
      </w:r>
      <w:r w:rsidR="006F33F2" w:rsidRPr="00BE15B8">
        <w:rPr>
          <w:rFonts w:asciiTheme="minorHAnsi" w:hAnsiTheme="minorHAnsi"/>
          <w:color w:val="000000"/>
          <w:lang w:val="en-GB"/>
        </w:rPr>
        <w:t>law enforcement and the criminal justice</w:t>
      </w:r>
      <w:r w:rsidR="00F56056" w:rsidRPr="00BE15B8">
        <w:rPr>
          <w:rFonts w:asciiTheme="minorHAnsi" w:hAnsiTheme="minorHAnsi"/>
          <w:color w:val="000000"/>
          <w:lang w:val="en-GB"/>
        </w:rPr>
        <w:t>,</w:t>
      </w:r>
      <w:r w:rsidR="006F33F2" w:rsidRPr="00BE15B8">
        <w:rPr>
          <w:rFonts w:asciiTheme="minorHAnsi" w:hAnsiTheme="minorHAnsi"/>
          <w:color w:val="000000"/>
          <w:lang w:val="en-GB"/>
        </w:rPr>
        <w:t xml:space="preserve"> which in</w:t>
      </w:r>
      <w:r w:rsidR="000A13D5">
        <w:rPr>
          <w:rFonts w:asciiTheme="minorHAnsi" w:hAnsiTheme="minorHAnsi"/>
          <w:color w:val="000000"/>
          <w:lang w:val="en-GB"/>
        </w:rPr>
        <w:t>clu</w:t>
      </w:r>
      <w:r w:rsidR="006F33F2" w:rsidRPr="00BE15B8">
        <w:rPr>
          <w:rFonts w:asciiTheme="minorHAnsi" w:hAnsiTheme="minorHAnsi"/>
          <w:color w:val="000000"/>
          <w:lang w:val="en-GB"/>
        </w:rPr>
        <w:t xml:space="preserve">ded </w:t>
      </w:r>
      <w:r w:rsidR="009C5DF5">
        <w:rPr>
          <w:rFonts w:asciiTheme="minorHAnsi" w:hAnsiTheme="minorHAnsi"/>
          <w:color w:val="000000"/>
          <w:lang w:val="en-GB"/>
        </w:rPr>
        <w:t xml:space="preserve">factors such as </w:t>
      </w:r>
      <w:r w:rsidR="006F33F2" w:rsidRPr="00BE15B8">
        <w:rPr>
          <w:rFonts w:asciiTheme="minorHAnsi" w:hAnsiTheme="minorHAnsi"/>
          <w:color w:val="000000"/>
          <w:lang w:val="en-GB"/>
        </w:rPr>
        <w:t>law enforcement agencies</w:t>
      </w:r>
      <w:r w:rsidR="009C5DF5">
        <w:rPr>
          <w:rFonts w:asciiTheme="minorHAnsi" w:hAnsiTheme="minorHAnsi"/>
          <w:color w:val="000000"/>
          <w:lang w:val="en-GB"/>
        </w:rPr>
        <w:t xml:space="preserve"> and</w:t>
      </w:r>
      <w:r w:rsidR="006F33F2" w:rsidRPr="00BE15B8">
        <w:rPr>
          <w:rFonts w:asciiTheme="minorHAnsi" w:hAnsiTheme="minorHAnsi"/>
          <w:color w:val="000000"/>
          <w:lang w:val="en-GB"/>
        </w:rPr>
        <w:t xml:space="preserve"> the federal drug control service</w:t>
      </w:r>
      <w:r w:rsidR="00AA55E3" w:rsidRPr="00BE15B8">
        <w:rPr>
          <w:rFonts w:asciiTheme="minorHAnsi" w:hAnsiTheme="minorHAnsi"/>
          <w:color w:val="000000"/>
          <w:lang w:val="en-GB"/>
        </w:rPr>
        <w:t xml:space="preserve">. </w:t>
      </w:r>
    </w:p>
    <w:p w:rsidR="00B46AC4" w:rsidRDefault="00B46AC4" w:rsidP="006C6323">
      <w:pPr>
        <w:pStyle w:val="NormalWeb"/>
        <w:spacing w:before="0" w:beforeAutospacing="0" w:after="0" w:afterAutospacing="0" w:line="276" w:lineRule="auto"/>
        <w:jc w:val="both"/>
        <w:rPr>
          <w:rFonts w:asciiTheme="minorHAnsi" w:hAnsiTheme="minorHAnsi"/>
          <w:color w:val="000000"/>
          <w:lang w:val="en-GB"/>
        </w:rPr>
      </w:pPr>
    </w:p>
    <w:p w:rsidR="006C6323" w:rsidRDefault="009C5DF5" w:rsidP="006C6323">
      <w:pPr>
        <w:pStyle w:val="NormalWeb"/>
        <w:spacing w:before="0" w:beforeAutospacing="0" w:after="0" w:afterAutospacing="0" w:line="276" w:lineRule="auto"/>
        <w:jc w:val="both"/>
        <w:rPr>
          <w:rFonts w:asciiTheme="minorHAnsi" w:hAnsiTheme="minorHAnsi"/>
          <w:color w:val="000000"/>
          <w:lang w:val="en-GB"/>
        </w:rPr>
      </w:pPr>
      <w:r>
        <w:rPr>
          <w:rFonts w:asciiTheme="minorHAnsi" w:hAnsiTheme="minorHAnsi"/>
          <w:color w:val="000000"/>
          <w:lang w:val="en-GB"/>
        </w:rPr>
        <w:t>Public expenditure on supply reduction services were estimated using a top-down approach</w:t>
      </w:r>
      <w:r w:rsidR="00B12320">
        <w:rPr>
          <w:rFonts w:asciiTheme="minorHAnsi" w:hAnsiTheme="minorHAnsi"/>
          <w:color w:val="000000"/>
          <w:lang w:val="en-GB"/>
        </w:rPr>
        <w:t xml:space="preserve"> and</w:t>
      </w:r>
      <w:r>
        <w:rPr>
          <w:rFonts w:asciiTheme="minorHAnsi" w:hAnsiTheme="minorHAnsi"/>
          <w:color w:val="000000"/>
          <w:lang w:val="en-GB"/>
        </w:rPr>
        <w:t xml:space="preserve"> </w:t>
      </w:r>
      <w:r w:rsidR="00AA55E3" w:rsidRPr="00BE15B8">
        <w:rPr>
          <w:rFonts w:asciiTheme="minorHAnsi" w:hAnsiTheme="minorHAnsi"/>
          <w:color w:val="000000"/>
          <w:lang w:val="en-GB"/>
        </w:rPr>
        <w:t xml:space="preserve">various sources of information were used: police data on persons who were caught with drugs for personal use; data on the number of sentences for drug trafficking and; </w:t>
      </w:r>
      <w:r w:rsidR="006F33F2" w:rsidRPr="00BE15B8">
        <w:rPr>
          <w:rFonts w:asciiTheme="minorHAnsi" w:hAnsiTheme="minorHAnsi"/>
          <w:color w:val="000000"/>
          <w:lang w:val="en-GB"/>
        </w:rPr>
        <w:t xml:space="preserve">data </w:t>
      </w:r>
      <w:r w:rsidR="00AA55E3" w:rsidRPr="00BE15B8">
        <w:rPr>
          <w:rFonts w:asciiTheme="minorHAnsi" w:hAnsiTheme="minorHAnsi"/>
          <w:color w:val="000000"/>
          <w:lang w:val="en-GB"/>
        </w:rPr>
        <w:t xml:space="preserve">on crimes related to drug trafficking. </w:t>
      </w:r>
      <w:r w:rsidR="00B12320">
        <w:rPr>
          <w:rFonts w:asciiTheme="minorHAnsi" w:hAnsiTheme="minorHAnsi"/>
          <w:color w:val="000000"/>
          <w:lang w:val="en-GB"/>
        </w:rPr>
        <w:t xml:space="preserve">As there were no published attributable </w:t>
      </w:r>
      <w:r w:rsidR="00B46AC4">
        <w:rPr>
          <w:rFonts w:asciiTheme="minorHAnsi" w:hAnsiTheme="minorHAnsi"/>
          <w:color w:val="000000"/>
          <w:lang w:val="en-GB"/>
        </w:rPr>
        <w:t xml:space="preserve">fraction </w:t>
      </w:r>
      <w:r w:rsidR="00B12320">
        <w:rPr>
          <w:rFonts w:asciiTheme="minorHAnsi" w:hAnsiTheme="minorHAnsi"/>
          <w:color w:val="000000"/>
          <w:lang w:val="en-GB"/>
        </w:rPr>
        <w:t>on drug-related crime in Russia, the fraction estimated in a study by the</w:t>
      </w:r>
      <w:r w:rsidR="00F116E8">
        <w:rPr>
          <w:rFonts w:asciiTheme="minorHAnsi" w:hAnsiTheme="minorHAnsi"/>
          <w:color w:val="000000"/>
          <w:lang w:val="en-GB"/>
        </w:rPr>
        <w:t xml:space="preserve"> US</w:t>
      </w:r>
      <w:r w:rsidR="00B12320">
        <w:rPr>
          <w:rFonts w:asciiTheme="minorHAnsi" w:hAnsiTheme="minorHAnsi"/>
          <w:color w:val="000000"/>
          <w:lang w:val="en-GB"/>
        </w:rPr>
        <w:t xml:space="preserve"> Office of National Drug Control</w:t>
      </w:r>
      <w:r w:rsidR="00F116E8">
        <w:rPr>
          <w:rFonts w:asciiTheme="minorHAnsi" w:hAnsiTheme="minorHAnsi"/>
          <w:color w:val="000000"/>
          <w:lang w:val="en-GB"/>
        </w:rPr>
        <w:t xml:space="preserve"> (</w:t>
      </w:r>
      <w:r w:rsidR="00F116E8">
        <w:rPr>
          <w:rFonts w:asciiTheme="minorHAnsi" w:hAnsiTheme="minorHAnsi"/>
          <w:color w:val="000000"/>
          <w:lang w:val="en-GB"/>
        </w:rPr>
        <w:t>22%</w:t>
      </w:r>
      <w:r w:rsidR="00F116E8">
        <w:rPr>
          <w:rFonts w:asciiTheme="minorHAnsi" w:hAnsiTheme="minorHAnsi"/>
          <w:color w:val="000000"/>
          <w:lang w:val="en-GB"/>
        </w:rPr>
        <w:t>) was employed in the estimation</w:t>
      </w:r>
      <w:r w:rsidR="00CF182F">
        <w:rPr>
          <w:rFonts w:asciiTheme="minorHAnsi" w:hAnsiTheme="minorHAnsi"/>
          <w:color w:val="000000"/>
          <w:lang w:val="en-GB"/>
        </w:rPr>
        <w:t xml:space="preserve"> of law enforcement and judicial system expenditures</w:t>
      </w:r>
      <w:r w:rsidR="00F116E8">
        <w:rPr>
          <w:rFonts w:asciiTheme="minorHAnsi" w:hAnsiTheme="minorHAnsi"/>
          <w:color w:val="000000"/>
          <w:lang w:val="en-GB"/>
        </w:rPr>
        <w:t xml:space="preserve">. This compares to the attributable fraction </w:t>
      </w:r>
    </w:p>
    <w:p w:rsidR="00F607F2" w:rsidRDefault="00F607F2" w:rsidP="006C6323">
      <w:pPr>
        <w:pStyle w:val="NormalWeb"/>
        <w:spacing w:before="0" w:beforeAutospacing="0" w:after="0" w:afterAutospacing="0" w:line="276" w:lineRule="auto"/>
        <w:jc w:val="both"/>
        <w:rPr>
          <w:rFonts w:asciiTheme="minorHAnsi" w:hAnsiTheme="minorHAnsi"/>
          <w:color w:val="000000"/>
          <w:lang w:val="en-GB"/>
        </w:rPr>
      </w:pPr>
    </w:p>
    <w:p w:rsidR="007941AF" w:rsidRPr="00BE15B8" w:rsidRDefault="007941AF" w:rsidP="007941AF">
      <w:pPr>
        <w:pStyle w:val="HTML-forhndsformatert"/>
        <w:shd w:val="clear" w:color="auto" w:fill="FFFFFF"/>
        <w:spacing w:line="276" w:lineRule="auto"/>
        <w:jc w:val="both"/>
        <w:rPr>
          <w:rFonts w:asciiTheme="minorHAnsi" w:hAnsiTheme="minorHAnsi" w:cs="Times New Roman"/>
          <w:i/>
          <w:iCs/>
          <w:sz w:val="24"/>
          <w:szCs w:val="24"/>
          <w:lang w:val="en-GB"/>
        </w:rPr>
      </w:pPr>
      <w:r w:rsidRPr="00BE15B8">
        <w:rPr>
          <w:rFonts w:asciiTheme="minorHAnsi" w:hAnsiTheme="minorHAnsi" w:cs="Times New Roman"/>
          <w:b/>
          <w:i/>
          <w:iCs/>
          <w:sz w:val="24"/>
          <w:szCs w:val="24"/>
          <w:lang w:val="en-GB"/>
        </w:rPr>
        <w:t>Portugal</w:t>
      </w:r>
    </w:p>
    <w:p w:rsidR="007941AF" w:rsidRDefault="007941AF" w:rsidP="007941AF">
      <w:pPr>
        <w:pStyle w:val="HTML-forhndsformatert"/>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There are few examples of attempts to estimate the impact of changes in the legal system on drug-related public expenditures and drug-related budgets. Gonçalves et al. (2014) represent an exception as they conducted a comprehensive </w:t>
      </w:r>
      <w:r w:rsidR="009C7881">
        <w:rPr>
          <w:rFonts w:asciiTheme="minorHAnsi" w:hAnsiTheme="minorHAnsi" w:cs="Times New Roman"/>
          <w:iCs/>
          <w:sz w:val="24"/>
          <w:szCs w:val="24"/>
          <w:lang w:val="en-GB"/>
        </w:rPr>
        <w:t xml:space="preserve">social cost </w:t>
      </w:r>
      <w:r w:rsidRPr="00BE15B8">
        <w:rPr>
          <w:rFonts w:asciiTheme="minorHAnsi" w:hAnsiTheme="minorHAnsi" w:cs="Times New Roman"/>
          <w:iCs/>
          <w:sz w:val="24"/>
          <w:szCs w:val="24"/>
          <w:lang w:val="en-GB"/>
        </w:rPr>
        <w:t>analysis of the situation before and after the decriminalization in Portugal. The authors found a significant reduction in non-health related costs of drug policy between 2000 and 2004, in particular in the legal system (direct) costs. Whilst these observations highlight significant changes, prudence is still to be exercised in concluding causal relationships related to the new Portuguese National Strategy for the Fight against Drugs</w:t>
      </w:r>
      <w:r w:rsidRPr="00BE15B8">
        <w:rPr>
          <w:rFonts w:asciiTheme="minorHAnsi" w:hAnsiTheme="minorHAnsi" w:cs="Times New Roman"/>
          <w:sz w:val="24"/>
          <w:szCs w:val="24"/>
          <w:lang w:val="en-GB"/>
        </w:rPr>
        <w:t xml:space="preserve"> </w:t>
      </w:r>
      <w:r w:rsidRPr="00BE15B8">
        <w:rPr>
          <w:rFonts w:asciiTheme="minorHAnsi" w:hAnsiTheme="minorHAnsi" w:cs="Times New Roman"/>
          <w:iCs/>
          <w:sz w:val="24"/>
          <w:szCs w:val="24"/>
          <w:lang w:val="en-GB"/>
        </w:rPr>
        <w:t>(NSFAD).</w:t>
      </w:r>
    </w:p>
    <w:p w:rsidR="00DA0D06" w:rsidRDefault="00DA0D06" w:rsidP="007941AF">
      <w:pPr>
        <w:pStyle w:val="HTML-forhndsformatert"/>
        <w:shd w:val="clear" w:color="auto" w:fill="FFFFFF"/>
        <w:spacing w:line="276" w:lineRule="auto"/>
        <w:jc w:val="both"/>
        <w:rPr>
          <w:rFonts w:asciiTheme="minorHAnsi" w:hAnsiTheme="minorHAnsi" w:cs="Times New Roman"/>
          <w:iCs/>
          <w:sz w:val="24"/>
          <w:szCs w:val="24"/>
          <w:lang w:val="en-GB"/>
        </w:rPr>
      </w:pPr>
    </w:p>
    <w:p w:rsidR="00DA0D06" w:rsidRPr="00DA0D06" w:rsidRDefault="00DA0D06" w:rsidP="007941AF">
      <w:pPr>
        <w:pStyle w:val="HTML-forhndsformatert"/>
        <w:shd w:val="clear" w:color="auto" w:fill="FFFFFF"/>
        <w:spacing w:line="276" w:lineRule="auto"/>
        <w:jc w:val="both"/>
        <w:rPr>
          <w:rFonts w:asciiTheme="minorHAnsi" w:hAnsiTheme="minorHAnsi" w:cs="Times New Roman"/>
          <w:b/>
          <w:i/>
          <w:iCs/>
          <w:sz w:val="24"/>
          <w:szCs w:val="24"/>
          <w:lang w:val="en-GB"/>
        </w:rPr>
      </w:pPr>
      <w:r w:rsidRPr="00DA0D06">
        <w:rPr>
          <w:rFonts w:asciiTheme="minorHAnsi" w:hAnsiTheme="minorHAnsi" w:cs="Times New Roman"/>
          <w:b/>
          <w:i/>
          <w:iCs/>
          <w:sz w:val="24"/>
          <w:szCs w:val="24"/>
          <w:lang w:val="en-GB"/>
        </w:rPr>
        <w:t xml:space="preserve">Other </w:t>
      </w:r>
      <w:r>
        <w:rPr>
          <w:rFonts w:asciiTheme="minorHAnsi" w:hAnsiTheme="minorHAnsi" w:cs="Times New Roman"/>
          <w:b/>
          <w:i/>
          <w:iCs/>
          <w:sz w:val="24"/>
          <w:szCs w:val="24"/>
          <w:lang w:val="en-GB"/>
        </w:rPr>
        <w:t xml:space="preserve">national </w:t>
      </w:r>
      <w:r w:rsidRPr="00DA0D06">
        <w:rPr>
          <w:rFonts w:asciiTheme="minorHAnsi" w:hAnsiTheme="minorHAnsi" w:cs="Times New Roman"/>
          <w:b/>
          <w:i/>
          <w:iCs/>
          <w:sz w:val="24"/>
          <w:szCs w:val="24"/>
          <w:lang w:val="en-GB"/>
        </w:rPr>
        <w:t>studies</w:t>
      </w:r>
    </w:p>
    <w:p w:rsidR="00DA0D06" w:rsidRPr="00BE15B8" w:rsidRDefault="00DA0D06" w:rsidP="007941AF">
      <w:pPr>
        <w:pStyle w:val="HTML-forhndsformatert"/>
        <w:shd w:val="clear" w:color="auto" w:fill="FFFFFF"/>
        <w:spacing w:line="276" w:lineRule="auto"/>
        <w:jc w:val="both"/>
        <w:rPr>
          <w:rFonts w:asciiTheme="minorHAnsi" w:hAnsiTheme="minorHAnsi" w:cs="Times New Roman"/>
          <w:iCs/>
          <w:sz w:val="24"/>
          <w:szCs w:val="24"/>
          <w:lang w:val="en-GB"/>
        </w:rPr>
      </w:pPr>
      <w:r>
        <w:rPr>
          <w:rFonts w:asciiTheme="minorHAnsi" w:hAnsiTheme="minorHAnsi" w:cs="Times New Roman"/>
          <w:iCs/>
          <w:sz w:val="24"/>
          <w:szCs w:val="24"/>
          <w:lang w:val="en-GB"/>
        </w:rPr>
        <w:t xml:space="preserve">There are </w:t>
      </w:r>
      <w:r w:rsidR="000E643C">
        <w:rPr>
          <w:rFonts w:asciiTheme="minorHAnsi" w:hAnsiTheme="minorHAnsi" w:cs="Times New Roman"/>
          <w:iCs/>
          <w:sz w:val="24"/>
          <w:szCs w:val="24"/>
          <w:lang w:val="en-GB"/>
        </w:rPr>
        <w:t>additional</w:t>
      </w:r>
      <w:r>
        <w:rPr>
          <w:rFonts w:asciiTheme="minorHAnsi" w:hAnsiTheme="minorHAnsi" w:cs="Times New Roman"/>
          <w:iCs/>
          <w:sz w:val="24"/>
          <w:szCs w:val="24"/>
          <w:lang w:val="en-GB"/>
        </w:rPr>
        <w:t xml:space="preserve"> examples of public expenditures studies than the ones mentioned above. For instance, Mostardt and colleagues (2010) estimated public expenditure in 2006 for Germany using</w:t>
      </w:r>
      <w:r w:rsidR="00591B40">
        <w:rPr>
          <w:rFonts w:asciiTheme="minorHAnsi" w:hAnsiTheme="minorHAnsi" w:cs="Times New Roman"/>
          <w:iCs/>
          <w:sz w:val="24"/>
          <w:szCs w:val="24"/>
          <w:lang w:val="en-GB"/>
        </w:rPr>
        <w:t xml:space="preserve"> data from EUROSTAT and</w:t>
      </w:r>
      <w:r>
        <w:rPr>
          <w:rFonts w:asciiTheme="minorHAnsi" w:hAnsiTheme="minorHAnsi" w:cs="Times New Roman"/>
          <w:iCs/>
          <w:sz w:val="24"/>
          <w:szCs w:val="24"/>
          <w:lang w:val="en-GB"/>
        </w:rPr>
        <w:t xml:space="preserve"> the COFOG</w:t>
      </w:r>
      <w:r w:rsidR="00591B40">
        <w:rPr>
          <w:rFonts w:asciiTheme="minorHAnsi" w:hAnsiTheme="minorHAnsi" w:cs="Times New Roman"/>
          <w:iCs/>
          <w:sz w:val="24"/>
          <w:szCs w:val="24"/>
          <w:lang w:val="en-GB"/>
        </w:rPr>
        <w:t xml:space="preserve"> system</w:t>
      </w:r>
      <w:r>
        <w:rPr>
          <w:rFonts w:asciiTheme="minorHAnsi" w:hAnsiTheme="minorHAnsi" w:cs="Times New Roman"/>
          <w:iCs/>
          <w:sz w:val="24"/>
          <w:szCs w:val="24"/>
          <w:lang w:val="en-GB"/>
        </w:rPr>
        <w:t>, Rigter (200</w:t>
      </w:r>
      <w:r w:rsidR="003766A9">
        <w:rPr>
          <w:rFonts w:asciiTheme="minorHAnsi" w:hAnsiTheme="minorHAnsi" w:cs="Times New Roman"/>
          <w:iCs/>
          <w:sz w:val="24"/>
          <w:szCs w:val="24"/>
          <w:lang w:val="en-GB"/>
        </w:rPr>
        <w:t>6</w:t>
      </w:r>
      <w:r>
        <w:rPr>
          <w:rFonts w:asciiTheme="minorHAnsi" w:hAnsiTheme="minorHAnsi" w:cs="Times New Roman"/>
          <w:iCs/>
          <w:sz w:val="24"/>
          <w:szCs w:val="24"/>
          <w:lang w:val="en-GB"/>
        </w:rPr>
        <w:t xml:space="preserve">) estimated </w:t>
      </w:r>
      <w:r w:rsidR="00C90CDE">
        <w:rPr>
          <w:rFonts w:asciiTheme="minorHAnsi" w:hAnsiTheme="minorHAnsi" w:cs="Times New Roman"/>
          <w:iCs/>
          <w:sz w:val="24"/>
          <w:szCs w:val="24"/>
          <w:lang w:val="en-GB"/>
        </w:rPr>
        <w:t>that 76% of public expenditure were spent on law enforcement in</w:t>
      </w:r>
      <w:r>
        <w:rPr>
          <w:rFonts w:asciiTheme="minorHAnsi" w:hAnsiTheme="minorHAnsi" w:cs="Times New Roman"/>
          <w:iCs/>
          <w:sz w:val="24"/>
          <w:szCs w:val="24"/>
          <w:lang w:val="en-GB"/>
        </w:rPr>
        <w:t xml:space="preserve"> the Netherlands, Ramstedt (200</w:t>
      </w:r>
      <w:r w:rsidR="003766A9">
        <w:rPr>
          <w:rFonts w:asciiTheme="minorHAnsi" w:hAnsiTheme="minorHAnsi" w:cs="Times New Roman"/>
          <w:iCs/>
          <w:sz w:val="24"/>
          <w:szCs w:val="24"/>
          <w:lang w:val="en-GB"/>
        </w:rPr>
        <w:t>6</w:t>
      </w:r>
      <w:r>
        <w:rPr>
          <w:rFonts w:asciiTheme="minorHAnsi" w:hAnsiTheme="minorHAnsi" w:cs="Times New Roman"/>
          <w:iCs/>
          <w:sz w:val="24"/>
          <w:szCs w:val="24"/>
          <w:lang w:val="en-GB"/>
        </w:rPr>
        <w:t xml:space="preserve">) </w:t>
      </w:r>
      <w:r w:rsidR="000E643C">
        <w:rPr>
          <w:rFonts w:asciiTheme="minorHAnsi" w:hAnsiTheme="minorHAnsi" w:cs="Times New Roman"/>
          <w:iCs/>
          <w:sz w:val="24"/>
          <w:szCs w:val="24"/>
          <w:lang w:val="en-GB"/>
        </w:rPr>
        <w:t xml:space="preserve">presented public expenditure estimates </w:t>
      </w:r>
      <w:r>
        <w:rPr>
          <w:rFonts w:asciiTheme="minorHAnsi" w:hAnsiTheme="minorHAnsi" w:cs="Times New Roman"/>
          <w:iCs/>
          <w:sz w:val="24"/>
          <w:szCs w:val="24"/>
          <w:lang w:val="en-GB"/>
        </w:rPr>
        <w:t xml:space="preserve">for Sweden and Livens et al (2016) published </w:t>
      </w:r>
      <w:r w:rsidR="00591B40">
        <w:rPr>
          <w:rFonts w:asciiTheme="minorHAnsi" w:hAnsiTheme="minorHAnsi" w:cs="Times New Roman"/>
          <w:iCs/>
          <w:sz w:val="24"/>
          <w:szCs w:val="24"/>
          <w:lang w:val="en-GB"/>
        </w:rPr>
        <w:t>a social cost study, including estimates of public expenditures, of legal and illegal drugs in Belgium. The</w:t>
      </w:r>
      <w:r w:rsidR="00C90CDE">
        <w:rPr>
          <w:rFonts w:asciiTheme="minorHAnsi" w:hAnsiTheme="minorHAnsi" w:cs="Times New Roman"/>
          <w:iCs/>
          <w:sz w:val="24"/>
          <w:szCs w:val="24"/>
          <w:lang w:val="en-GB"/>
        </w:rPr>
        <w:t xml:space="preserve">re are also </w:t>
      </w:r>
      <w:r w:rsidR="00591B40">
        <w:rPr>
          <w:rFonts w:asciiTheme="minorHAnsi" w:hAnsiTheme="minorHAnsi" w:cs="Times New Roman"/>
          <w:iCs/>
          <w:sz w:val="24"/>
          <w:szCs w:val="24"/>
          <w:lang w:val="en-GB"/>
        </w:rPr>
        <w:t>US (</w:t>
      </w:r>
      <w:r w:rsidR="003766A9" w:rsidRPr="003766A9">
        <w:rPr>
          <w:rFonts w:asciiTheme="minorHAnsi" w:eastAsiaTheme="minorHAnsi" w:hAnsiTheme="minorHAnsi" w:cs="Cambria"/>
          <w:sz w:val="24"/>
          <w:lang w:val="en-GB"/>
        </w:rPr>
        <w:t>ONDCP, 1989-201</w:t>
      </w:r>
      <w:r w:rsidR="003766A9">
        <w:rPr>
          <w:rFonts w:asciiTheme="minorHAnsi" w:eastAsiaTheme="minorHAnsi" w:hAnsiTheme="minorHAnsi" w:cs="Cambria"/>
          <w:sz w:val="24"/>
          <w:lang w:val="en-GB"/>
        </w:rPr>
        <w:t>5</w:t>
      </w:r>
      <w:r w:rsidR="00591B40">
        <w:rPr>
          <w:rFonts w:asciiTheme="minorHAnsi" w:hAnsiTheme="minorHAnsi" w:cs="Times New Roman"/>
          <w:iCs/>
          <w:sz w:val="24"/>
          <w:szCs w:val="24"/>
          <w:lang w:val="en-GB"/>
        </w:rPr>
        <w:t>) and Australia</w:t>
      </w:r>
      <w:r w:rsidR="00C90CDE">
        <w:rPr>
          <w:rFonts w:asciiTheme="minorHAnsi" w:hAnsiTheme="minorHAnsi" w:cs="Times New Roman"/>
          <w:iCs/>
          <w:sz w:val="24"/>
          <w:szCs w:val="24"/>
          <w:lang w:val="en-GB"/>
        </w:rPr>
        <w:t>n</w:t>
      </w:r>
      <w:r w:rsidR="00591B40">
        <w:rPr>
          <w:rFonts w:asciiTheme="minorHAnsi" w:hAnsiTheme="minorHAnsi" w:cs="Times New Roman"/>
          <w:iCs/>
          <w:sz w:val="24"/>
          <w:szCs w:val="24"/>
          <w:lang w:val="en-GB"/>
        </w:rPr>
        <w:t xml:space="preserve"> (Moore, 200</w:t>
      </w:r>
      <w:r w:rsidR="003766A9">
        <w:rPr>
          <w:rFonts w:asciiTheme="minorHAnsi" w:hAnsiTheme="minorHAnsi" w:cs="Times New Roman"/>
          <w:iCs/>
          <w:sz w:val="24"/>
          <w:szCs w:val="24"/>
          <w:lang w:val="en-GB"/>
        </w:rPr>
        <w:t>8</w:t>
      </w:r>
      <w:r w:rsidR="00591B40">
        <w:rPr>
          <w:rFonts w:asciiTheme="minorHAnsi" w:hAnsiTheme="minorHAnsi" w:cs="Times New Roman"/>
          <w:iCs/>
          <w:sz w:val="24"/>
          <w:szCs w:val="24"/>
          <w:lang w:val="en-GB"/>
        </w:rPr>
        <w:t xml:space="preserve">) estimates. </w:t>
      </w:r>
      <w:r w:rsidR="00C90CDE">
        <w:rPr>
          <w:rFonts w:asciiTheme="minorHAnsi" w:hAnsiTheme="minorHAnsi" w:cs="Times New Roman"/>
          <w:iCs/>
          <w:sz w:val="24"/>
          <w:szCs w:val="24"/>
          <w:lang w:val="en-GB"/>
        </w:rPr>
        <w:t xml:space="preserve">Despite substantial differences, however, the studies may </w:t>
      </w:r>
      <w:r w:rsidR="000E643C">
        <w:rPr>
          <w:rFonts w:asciiTheme="minorHAnsi" w:hAnsiTheme="minorHAnsi" w:cs="Times New Roman"/>
          <w:iCs/>
          <w:sz w:val="24"/>
          <w:szCs w:val="24"/>
          <w:lang w:val="en-GB"/>
        </w:rPr>
        <w:t>all be viewed as necessary first steps</w:t>
      </w:r>
      <w:r w:rsidR="00C90CDE">
        <w:rPr>
          <w:rFonts w:asciiTheme="minorHAnsi" w:hAnsiTheme="minorHAnsi" w:cs="Times New Roman"/>
          <w:iCs/>
          <w:sz w:val="24"/>
          <w:szCs w:val="24"/>
          <w:lang w:val="en-GB"/>
        </w:rPr>
        <w:t xml:space="preserve"> </w:t>
      </w:r>
      <w:r w:rsidR="000E643C">
        <w:rPr>
          <w:rFonts w:asciiTheme="minorHAnsi" w:hAnsiTheme="minorHAnsi" w:cs="Times New Roman"/>
          <w:iCs/>
          <w:sz w:val="24"/>
          <w:szCs w:val="24"/>
          <w:lang w:val="en-GB"/>
        </w:rPr>
        <w:t>in</w:t>
      </w:r>
      <w:r w:rsidR="00C90CDE">
        <w:rPr>
          <w:rFonts w:asciiTheme="minorHAnsi" w:hAnsiTheme="minorHAnsi" w:cs="Times New Roman"/>
          <w:iCs/>
          <w:sz w:val="24"/>
          <w:szCs w:val="24"/>
          <w:lang w:val="en-GB"/>
        </w:rPr>
        <w:t xml:space="preserve"> </w:t>
      </w:r>
      <w:r w:rsidR="000E643C">
        <w:rPr>
          <w:rFonts w:asciiTheme="minorHAnsi" w:hAnsiTheme="minorHAnsi" w:cs="Times New Roman"/>
          <w:iCs/>
          <w:sz w:val="24"/>
          <w:szCs w:val="24"/>
          <w:lang w:val="en-GB"/>
        </w:rPr>
        <w:t xml:space="preserve">national </w:t>
      </w:r>
      <w:r w:rsidR="00C90CDE">
        <w:rPr>
          <w:rFonts w:asciiTheme="minorHAnsi" w:hAnsiTheme="minorHAnsi" w:cs="Times New Roman"/>
          <w:iCs/>
          <w:sz w:val="24"/>
          <w:szCs w:val="24"/>
          <w:lang w:val="en-GB"/>
        </w:rPr>
        <w:t xml:space="preserve">drug policy evaluations. </w:t>
      </w:r>
    </w:p>
    <w:p w:rsidR="0092522F" w:rsidRPr="00BE15B8" w:rsidRDefault="0092522F" w:rsidP="007C5937">
      <w:pPr>
        <w:spacing w:after="0"/>
        <w:jc w:val="both"/>
        <w:rPr>
          <w:rFonts w:asciiTheme="minorHAnsi" w:hAnsiTheme="minorHAnsi"/>
          <w:b/>
          <w:i/>
          <w:sz w:val="28"/>
          <w:szCs w:val="24"/>
          <w:shd w:val="clear" w:color="auto" w:fill="FFFFFF"/>
        </w:rPr>
      </w:pPr>
    </w:p>
    <w:p w:rsidR="007C5937" w:rsidRPr="00BE15B8" w:rsidRDefault="00834375" w:rsidP="007D44A2">
      <w:pPr>
        <w:pStyle w:val="Overskrift1"/>
        <w:rPr>
          <w:shd w:val="clear" w:color="auto" w:fill="FFFFFF"/>
        </w:rPr>
      </w:pPr>
      <w:r>
        <w:rPr>
          <w:shd w:val="clear" w:color="auto" w:fill="FFFFFF"/>
        </w:rPr>
        <w:t>International d</w:t>
      </w:r>
      <w:r w:rsidR="007C5937" w:rsidRPr="00BE15B8">
        <w:rPr>
          <w:shd w:val="clear" w:color="auto" w:fill="FFFFFF"/>
        </w:rPr>
        <w:t xml:space="preserve">atabases </w:t>
      </w:r>
      <w:r>
        <w:rPr>
          <w:shd w:val="clear" w:color="auto" w:fill="FFFFFF"/>
        </w:rPr>
        <w:t>used to model</w:t>
      </w:r>
      <w:r w:rsidRPr="00BE15B8">
        <w:rPr>
          <w:shd w:val="clear" w:color="auto" w:fill="FFFFFF"/>
        </w:rPr>
        <w:t xml:space="preserve"> </w:t>
      </w:r>
      <w:r w:rsidR="007C5937" w:rsidRPr="00BE15B8">
        <w:rPr>
          <w:shd w:val="clear" w:color="auto" w:fill="FFFFFF"/>
        </w:rPr>
        <w:t>drug-related public expenditures</w:t>
      </w:r>
    </w:p>
    <w:p w:rsidR="007C5937" w:rsidRPr="00BE15B8" w:rsidRDefault="007C5937" w:rsidP="007C5937">
      <w:pPr>
        <w:spacing w:after="0"/>
        <w:jc w:val="both"/>
        <w:rPr>
          <w:rFonts w:asciiTheme="minorHAnsi" w:hAnsiTheme="minorHAnsi"/>
          <w:sz w:val="24"/>
          <w:szCs w:val="24"/>
        </w:rPr>
      </w:pPr>
      <w:r w:rsidRPr="00BE15B8">
        <w:rPr>
          <w:rFonts w:asciiTheme="minorHAnsi" w:hAnsiTheme="minorHAnsi"/>
          <w:sz w:val="24"/>
          <w:szCs w:val="24"/>
        </w:rPr>
        <w:t xml:space="preserve">The only available international compilation of up-dated estimates for drug-related public expenditure on supply reduction is published </w:t>
      </w:r>
      <w:r w:rsidR="003103BC">
        <w:rPr>
          <w:rFonts w:asciiTheme="minorHAnsi" w:hAnsiTheme="minorHAnsi"/>
          <w:sz w:val="24"/>
          <w:szCs w:val="24"/>
        </w:rPr>
        <w:t xml:space="preserve">for EU member states </w:t>
      </w:r>
      <w:r w:rsidRPr="00BE15B8">
        <w:rPr>
          <w:rFonts w:asciiTheme="minorHAnsi" w:hAnsiTheme="minorHAnsi"/>
          <w:sz w:val="24"/>
          <w:szCs w:val="24"/>
        </w:rPr>
        <w:t>by the EMCDDA</w:t>
      </w:r>
      <w:r w:rsidRPr="00BE15B8">
        <w:rPr>
          <w:rStyle w:val="Fotnotereferanse"/>
          <w:rFonts w:asciiTheme="minorHAnsi" w:hAnsiTheme="minorHAnsi"/>
          <w:sz w:val="24"/>
          <w:szCs w:val="24"/>
        </w:rPr>
        <w:footnoteReference w:id="4"/>
      </w:r>
      <w:r w:rsidRPr="00BE15B8">
        <w:rPr>
          <w:rFonts w:asciiTheme="minorHAnsi" w:hAnsiTheme="minorHAnsi"/>
          <w:sz w:val="24"/>
          <w:szCs w:val="24"/>
        </w:rPr>
        <w:t xml:space="preserve">. Here, available national estimates of total drug-related spending, and spending </w:t>
      </w:r>
      <w:r w:rsidR="00B7373E">
        <w:rPr>
          <w:rFonts w:asciiTheme="minorHAnsi" w:hAnsiTheme="minorHAnsi"/>
          <w:sz w:val="24"/>
          <w:szCs w:val="24"/>
        </w:rPr>
        <w:t>separated by</w:t>
      </w:r>
      <w:r w:rsidRPr="00BE15B8">
        <w:rPr>
          <w:rFonts w:asciiTheme="minorHAnsi" w:hAnsiTheme="minorHAnsi"/>
          <w:sz w:val="24"/>
          <w:szCs w:val="24"/>
        </w:rPr>
        <w:t xml:space="preserve"> supply and demand reduction initiatives, are reported. </w:t>
      </w:r>
      <w:r w:rsidR="0092522F" w:rsidRPr="00BE15B8">
        <w:rPr>
          <w:rFonts w:asciiTheme="minorHAnsi" w:hAnsiTheme="minorHAnsi"/>
          <w:sz w:val="24"/>
          <w:szCs w:val="24"/>
        </w:rPr>
        <w:t>Still</w:t>
      </w:r>
      <w:r w:rsidRPr="00BE15B8">
        <w:rPr>
          <w:rFonts w:asciiTheme="minorHAnsi" w:hAnsiTheme="minorHAnsi"/>
          <w:sz w:val="24"/>
          <w:szCs w:val="24"/>
        </w:rPr>
        <w:t xml:space="preserve">, the scope for cross-country comparisons </w:t>
      </w:r>
      <w:r w:rsidR="00A261F3">
        <w:rPr>
          <w:rFonts w:asciiTheme="minorHAnsi" w:hAnsiTheme="minorHAnsi"/>
          <w:sz w:val="24"/>
          <w:szCs w:val="24"/>
        </w:rPr>
        <w:t>is</w:t>
      </w:r>
      <w:r w:rsidR="00A261F3" w:rsidRPr="00BE15B8">
        <w:rPr>
          <w:rFonts w:asciiTheme="minorHAnsi" w:hAnsiTheme="minorHAnsi"/>
          <w:sz w:val="24"/>
          <w:szCs w:val="24"/>
        </w:rPr>
        <w:t xml:space="preserve"> </w:t>
      </w:r>
      <w:r w:rsidRPr="00BE15B8">
        <w:rPr>
          <w:rFonts w:asciiTheme="minorHAnsi" w:hAnsiTheme="minorHAnsi"/>
          <w:sz w:val="24"/>
          <w:szCs w:val="24"/>
        </w:rPr>
        <w:t>limited because the estimates often do not use comparable definitions, datasets or methodologies.</w:t>
      </w:r>
    </w:p>
    <w:p w:rsidR="007C5937" w:rsidRPr="00BE15B8" w:rsidRDefault="007C5937" w:rsidP="007C5937">
      <w:pPr>
        <w:spacing w:after="0"/>
        <w:jc w:val="both"/>
        <w:rPr>
          <w:rFonts w:asciiTheme="minorHAnsi" w:hAnsiTheme="minorHAnsi"/>
          <w:sz w:val="24"/>
          <w:szCs w:val="24"/>
        </w:rPr>
      </w:pPr>
    </w:p>
    <w:p w:rsidR="007C5937" w:rsidRPr="00BE15B8" w:rsidRDefault="007C5937" w:rsidP="007C5937">
      <w:pPr>
        <w:spacing w:after="0"/>
        <w:jc w:val="both"/>
        <w:rPr>
          <w:rFonts w:asciiTheme="minorHAnsi" w:hAnsiTheme="minorHAnsi"/>
          <w:sz w:val="24"/>
          <w:szCs w:val="24"/>
        </w:rPr>
      </w:pPr>
      <w:r w:rsidRPr="00BE15B8">
        <w:rPr>
          <w:rFonts w:asciiTheme="minorHAnsi" w:hAnsiTheme="minorHAnsi"/>
          <w:sz w:val="24"/>
          <w:szCs w:val="24"/>
        </w:rPr>
        <w:t xml:space="preserve">Another database of particular relevance is </w:t>
      </w:r>
      <w:r w:rsidR="00A6132B" w:rsidRPr="00BE15B8">
        <w:rPr>
          <w:rFonts w:asciiTheme="minorHAnsi" w:hAnsiTheme="minorHAnsi"/>
          <w:sz w:val="24"/>
          <w:szCs w:val="24"/>
        </w:rPr>
        <w:t>EUROSTAT</w:t>
      </w:r>
      <w:r w:rsidRPr="00BE15B8">
        <w:rPr>
          <w:rFonts w:asciiTheme="minorHAnsi" w:hAnsiTheme="minorHAnsi"/>
          <w:sz w:val="24"/>
          <w:szCs w:val="24"/>
        </w:rPr>
        <w:t xml:space="preserve">. This is partly because </w:t>
      </w:r>
      <w:r w:rsidR="009B5FC7" w:rsidRPr="00BE15B8">
        <w:rPr>
          <w:rFonts w:asciiTheme="minorHAnsi" w:hAnsiTheme="minorHAnsi"/>
          <w:sz w:val="24"/>
          <w:szCs w:val="24"/>
        </w:rPr>
        <w:t>it is based on</w:t>
      </w:r>
      <w:r w:rsidRPr="00BE15B8">
        <w:rPr>
          <w:rFonts w:asciiTheme="minorHAnsi" w:hAnsiTheme="minorHAnsi"/>
          <w:sz w:val="24"/>
          <w:szCs w:val="24"/>
        </w:rPr>
        <w:t xml:space="preserve"> a consistent categorisation system</w:t>
      </w:r>
      <w:r w:rsidR="009B5FC7" w:rsidRPr="00BE15B8">
        <w:rPr>
          <w:rFonts w:asciiTheme="minorHAnsi" w:hAnsiTheme="minorHAnsi"/>
          <w:sz w:val="24"/>
          <w:szCs w:val="24"/>
        </w:rPr>
        <w:t xml:space="preserve"> and on </w:t>
      </w:r>
      <w:r w:rsidRPr="00BE15B8">
        <w:rPr>
          <w:rFonts w:asciiTheme="minorHAnsi" w:hAnsiTheme="minorHAnsi"/>
          <w:sz w:val="24"/>
          <w:szCs w:val="24"/>
        </w:rPr>
        <w:t xml:space="preserve">international agreed definitions, </w:t>
      </w:r>
      <w:r w:rsidR="009B5FC7" w:rsidRPr="00BE15B8">
        <w:rPr>
          <w:rFonts w:asciiTheme="minorHAnsi" w:hAnsiTheme="minorHAnsi"/>
          <w:sz w:val="24"/>
          <w:szCs w:val="24"/>
        </w:rPr>
        <w:t xml:space="preserve">which are </w:t>
      </w:r>
      <w:r w:rsidR="00146B3E">
        <w:rPr>
          <w:rFonts w:asciiTheme="minorHAnsi" w:hAnsiTheme="minorHAnsi"/>
          <w:sz w:val="24"/>
          <w:szCs w:val="24"/>
        </w:rPr>
        <w:t>required</w:t>
      </w:r>
      <w:r w:rsidRPr="00BE15B8">
        <w:rPr>
          <w:rFonts w:asciiTheme="minorHAnsi" w:hAnsiTheme="minorHAnsi"/>
          <w:sz w:val="24"/>
          <w:szCs w:val="24"/>
        </w:rPr>
        <w:t xml:space="preserve"> feature</w:t>
      </w:r>
      <w:r w:rsidR="009B5FC7" w:rsidRPr="00BE15B8">
        <w:rPr>
          <w:rFonts w:asciiTheme="minorHAnsi" w:hAnsiTheme="minorHAnsi"/>
          <w:sz w:val="24"/>
          <w:szCs w:val="24"/>
        </w:rPr>
        <w:t>s</w:t>
      </w:r>
      <w:r w:rsidRPr="00BE15B8">
        <w:rPr>
          <w:rFonts w:asciiTheme="minorHAnsi" w:hAnsiTheme="minorHAnsi"/>
          <w:sz w:val="24"/>
          <w:szCs w:val="24"/>
        </w:rPr>
        <w:t xml:space="preserve"> for </w:t>
      </w:r>
      <w:r w:rsidR="00146B3E">
        <w:rPr>
          <w:rFonts w:asciiTheme="minorHAnsi" w:hAnsiTheme="minorHAnsi"/>
          <w:sz w:val="24"/>
          <w:szCs w:val="24"/>
        </w:rPr>
        <w:t>international comparison</w:t>
      </w:r>
      <w:r w:rsidRPr="00BE15B8">
        <w:rPr>
          <w:rFonts w:asciiTheme="minorHAnsi" w:hAnsiTheme="minorHAnsi"/>
          <w:sz w:val="24"/>
          <w:szCs w:val="24"/>
        </w:rPr>
        <w:t xml:space="preserve">. </w:t>
      </w:r>
      <w:r w:rsidR="00A6132B" w:rsidRPr="00BE15B8">
        <w:rPr>
          <w:rFonts w:asciiTheme="minorHAnsi" w:hAnsiTheme="minorHAnsi"/>
          <w:sz w:val="24"/>
          <w:szCs w:val="24"/>
        </w:rPr>
        <w:t>T</w:t>
      </w:r>
      <w:r w:rsidRPr="00BE15B8">
        <w:rPr>
          <w:rFonts w:asciiTheme="minorHAnsi" w:hAnsiTheme="minorHAnsi"/>
          <w:sz w:val="24"/>
          <w:szCs w:val="24"/>
        </w:rPr>
        <w:t>he Classification of the Functions of Government (COFOG) is a detailed classification system for the functions or socioeconomic objectives that general government units aim to achieve through a range of outlays</w:t>
      </w:r>
      <w:r w:rsidR="009B5FC7" w:rsidRPr="00BE15B8">
        <w:rPr>
          <w:rFonts w:asciiTheme="minorHAnsi" w:hAnsiTheme="minorHAnsi"/>
          <w:sz w:val="24"/>
          <w:szCs w:val="24"/>
        </w:rPr>
        <w:t xml:space="preserve">. </w:t>
      </w:r>
      <w:r w:rsidRPr="00BE15B8">
        <w:rPr>
          <w:rFonts w:asciiTheme="minorHAnsi" w:hAnsiTheme="minorHAnsi"/>
          <w:sz w:val="24"/>
          <w:szCs w:val="24"/>
        </w:rPr>
        <w:t>EUROSTAT has published annual data according to the COFOG classification for European countries since early 1990’s. This data source has proved to be relevant and amenable to a wide variety of analytic applications. However, th</w:t>
      </w:r>
      <w:r w:rsidR="00146B3E">
        <w:rPr>
          <w:rFonts w:asciiTheme="minorHAnsi" w:hAnsiTheme="minorHAnsi"/>
          <w:sz w:val="24"/>
          <w:szCs w:val="24"/>
        </w:rPr>
        <w:t>e</w:t>
      </w:r>
      <w:r w:rsidRPr="00BE15B8">
        <w:rPr>
          <w:rFonts w:asciiTheme="minorHAnsi" w:hAnsiTheme="minorHAnsi"/>
          <w:sz w:val="24"/>
          <w:szCs w:val="24"/>
        </w:rPr>
        <w:t xml:space="preserve"> dataset does not publish data on specific spending on drug-related public initiatives.</w:t>
      </w:r>
      <w:r w:rsidR="00593A69">
        <w:rPr>
          <w:rFonts w:asciiTheme="minorHAnsi" w:hAnsiTheme="minorHAnsi"/>
          <w:sz w:val="24"/>
          <w:szCs w:val="24"/>
        </w:rPr>
        <w:t xml:space="preserve"> In order to disentangle </w:t>
      </w:r>
      <w:r w:rsidR="00146B3E">
        <w:rPr>
          <w:rFonts w:asciiTheme="minorHAnsi" w:hAnsiTheme="minorHAnsi"/>
          <w:sz w:val="24"/>
          <w:szCs w:val="24"/>
        </w:rPr>
        <w:t xml:space="preserve">drug-related expenditure </w:t>
      </w:r>
      <w:r w:rsidR="00593A69">
        <w:rPr>
          <w:rFonts w:asciiTheme="minorHAnsi" w:hAnsiTheme="minorHAnsi"/>
          <w:sz w:val="24"/>
          <w:szCs w:val="24"/>
        </w:rPr>
        <w:t>from</w:t>
      </w:r>
      <w:r w:rsidR="00146B3E">
        <w:rPr>
          <w:rFonts w:asciiTheme="minorHAnsi" w:hAnsiTheme="minorHAnsi"/>
          <w:sz w:val="24"/>
          <w:szCs w:val="24"/>
        </w:rPr>
        <w:t xml:space="preserve"> the</w:t>
      </w:r>
      <w:r w:rsidR="00593A69">
        <w:rPr>
          <w:rFonts w:asciiTheme="minorHAnsi" w:hAnsiTheme="minorHAnsi"/>
          <w:sz w:val="24"/>
          <w:szCs w:val="24"/>
        </w:rPr>
        <w:t xml:space="preserve"> broad classes</w:t>
      </w:r>
      <w:r w:rsidR="009A3784">
        <w:rPr>
          <w:rFonts w:asciiTheme="minorHAnsi" w:hAnsiTheme="minorHAnsi"/>
          <w:sz w:val="24"/>
          <w:szCs w:val="24"/>
        </w:rPr>
        <w:t xml:space="preserve"> of public spending</w:t>
      </w:r>
      <w:r w:rsidR="00146B3E">
        <w:rPr>
          <w:rFonts w:asciiTheme="minorHAnsi" w:hAnsiTheme="minorHAnsi"/>
          <w:sz w:val="24"/>
          <w:szCs w:val="24"/>
        </w:rPr>
        <w:t>,</w:t>
      </w:r>
      <w:r w:rsidR="00593A69">
        <w:rPr>
          <w:rFonts w:asciiTheme="minorHAnsi" w:hAnsiTheme="minorHAnsi"/>
          <w:sz w:val="24"/>
          <w:szCs w:val="24"/>
        </w:rPr>
        <w:t xml:space="preserve"> </w:t>
      </w:r>
      <w:r w:rsidR="00DA056F">
        <w:rPr>
          <w:rFonts w:asciiTheme="minorHAnsi" w:hAnsiTheme="minorHAnsi"/>
          <w:sz w:val="24"/>
          <w:szCs w:val="24"/>
        </w:rPr>
        <w:t xml:space="preserve">modelling approaches are adopted </w:t>
      </w:r>
      <w:r w:rsidR="009A3784">
        <w:rPr>
          <w:rFonts w:asciiTheme="minorHAnsi" w:hAnsiTheme="minorHAnsi"/>
          <w:sz w:val="24"/>
          <w:szCs w:val="24"/>
        </w:rPr>
        <w:t>by sector of intervention</w:t>
      </w:r>
      <w:r w:rsidR="00DA056F">
        <w:rPr>
          <w:rFonts w:asciiTheme="minorHAnsi" w:hAnsiTheme="minorHAnsi"/>
          <w:sz w:val="24"/>
          <w:szCs w:val="24"/>
        </w:rPr>
        <w:t xml:space="preserve">. </w:t>
      </w:r>
    </w:p>
    <w:p w:rsidR="007C5937" w:rsidRPr="00BE15B8" w:rsidRDefault="007C5937" w:rsidP="007C5937">
      <w:pPr>
        <w:spacing w:after="0"/>
        <w:jc w:val="both"/>
        <w:rPr>
          <w:rFonts w:asciiTheme="minorHAnsi" w:hAnsiTheme="minorHAnsi"/>
          <w:sz w:val="24"/>
          <w:szCs w:val="24"/>
        </w:rPr>
      </w:pPr>
    </w:p>
    <w:p w:rsidR="009A3784" w:rsidRPr="00BE15B8" w:rsidRDefault="00A6132B" w:rsidP="00A6132B">
      <w:pPr>
        <w:spacing w:after="0"/>
        <w:jc w:val="both"/>
        <w:rPr>
          <w:rFonts w:asciiTheme="minorHAnsi" w:hAnsiTheme="minorHAnsi"/>
          <w:sz w:val="24"/>
          <w:szCs w:val="24"/>
        </w:rPr>
      </w:pPr>
      <w:r w:rsidRPr="00BE15B8">
        <w:rPr>
          <w:rFonts w:asciiTheme="minorHAnsi" w:hAnsiTheme="minorHAnsi"/>
          <w:sz w:val="24"/>
          <w:szCs w:val="24"/>
        </w:rPr>
        <w:t>Appendix 1 provides a list of relevant data sources. In addition to the two data sources already mentioned, there is information on the international reporting on supply reduction factors like:</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t xml:space="preserve">drug related crime (EMCDDA and European Institute for Crime Prevention and Control); </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t>prison activity and costs (the Council of Europe);</w:t>
      </w:r>
    </w:p>
    <w:p w:rsidR="00A6132B" w:rsidRPr="00BE15B8" w:rsidRDefault="00A6132B" w:rsidP="00A6132B">
      <w:pPr>
        <w:pStyle w:val="Listeavsnitt"/>
        <w:numPr>
          <w:ilvl w:val="0"/>
          <w:numId w:val="13"/>
        </w:numPr>
        <w:autoSpaceDE w:val="0"/>
        <w:autoSpaceDN w:val="0"/>
        <w:adjustRightInd w:val="0"/>
        <w:spacing w:after="0"/>
        <w:jc w:val="both"/>
        <w:rPr>
          <w:rFonts w:asciiTheme="minorHAnsi" w:eastAsia="Times New Roman" w:hAnsiTheme="minorHAnsi"/>
          <w:iCs/>
          <w:sz w:val="24"/>
          <w:szCs w:val="24"/>
          <w:lang w:eastAsia="hr-HR"/>
        </w:rPr>
      </w:pPr>
      <w:r w:rsidRPr="00BE15B8">
        <w:rPr>
          <w:rFonts w:asciiTheme="minorHAnsi" w:eastAsia="Times New Roman" w:hAnsiTheme="minorHAnsi"/>
          <w:iCs/>
          <w:sz w:val="24"/>
          <w:szCs w:val="24"/>
          <w:lang w:eastAsia="hr-HR"/>
        </w:rPr>
        <w:t>crime and criminal justice systems (EUROSTAT and the European Institute for Crime Prevention and Control).</w:t>
      </w:r>
    </w:p>
    <w:p w:rsidR="009A7B47" w:rsidRDefault="009A7B47" w:rsidP="009A7B47">
      <w:pPr>
        <w:pStyle w:val="HTML-forhndsformatert"/>
        <w:shd w:val="clear" w:color="auto" w:fill="FFFFFF"/>
        <w:spacing w:after="120" w:line="276" w:lineRule="auto"/>
        <w:jc w:val="both"/>
        <w:rPr>
          <w:rFonts w:asciiTheme="minorHAnsi" w:hAnsiTheme="minorHAnsi" w:cs="Times New Roman"/>
          <w:b/>
          <w:iCs/>
          <w:sz w:val="28"/>
          <w:szCs w:val="28"/>
          <w:lang w:val="en-GB"/>
        </w:rPr>
      </w:pPr>
    </w:p>
    <w:p w:rsidR="00146B3E" w:rsidRDefault="00146B3E">
      <w:pPr>
        <w:rPr>
          <w:rFonts w:asciiTheme="majorHAnsi" w:eastAsiaTheme="majorEastAsia" w:hAnsiTheme="majorHAnsi" w:cstheme="majorBidi"/>
          <w:color w:val="365F91" w:themeColor="accent1" w:themeShade="BF"/>
          <w:sz w:val="32"/>
          <w:szCs w:val="32"/>
        </w:rPr>
      </w:pPr>
      <w:r>
        <w:br w:type="page"/>
      </w:r>
    </w:p>
    <w:p w:rsidR="00DD3D94" w:rsidRDefault="00DD3D94" w:rsidP="007D44A2">
      <w:pPr>
        <w:pStyle w:val="Overskrift1"/>
      </w:pPr>
      <w:r w:rsidRPr="009A7B47">
        <w:t>Conclusions</w:t>
      </w:r>
    </w:p>
    <w:p w:rsidR="007F24C7" w:rsidRPr="007F24C7" w:rsidRDefault="007F24C7" w:rsidP="007F24C7"/>
    <w:p w:rsidR="0052326E" w:rsidRPr="00BE15B8" w:rsidRDefault="00B11880" w:rsidP="00E53E98">
      <w:pPr>
        <w:pStyle w:val="Merknadstekst"/>
        <w:numPr>
          <w:ilvl w:val="0"/>
          <w:numId w:val="5"/>
        </w:numPr>
        <w:shd w:val="clear" w:color="auto" w:fill="FFFFFF"/>
        <w:spacing w:line="276" w:lineRule="auto"/>
        <w:jc w:val="both"/>
        <w:rPr>
          <w:rFonts w:asciiTheme="minorHAnsi" w:hAnsiTheme="minorHAnsi"/>
          <w:iCs/>
          <w:sz w:val="24"/>
          <w:szCs w:val="24"/>
        </w:rPr>
      </w:pPr>
      <w:r w:rsidRPr="00BE15B8">
        <w:rPr>
          <w:rFonts w:asciiTheme="minorHAnsi" w:hAnsiTheme="minorHAnsi"/>
          <w:iCs/>
          <w:sz w:val="24"/>
          <w:szCs w:val="24"/>
        </w:rPr>
        <w:t xml:space="preserve">Every European country </w:t>
      </w:r>
      <w:r w:rsidR="00DD3D94" w:rsidRPr="00BE15B8">
        <w:rPr>
          <w:rFonts w:asciiTheme="minorHAnsi" w:hAnsiTheme="minorHAnsi"/>
          <w:iCs/>
          <w:sz w:val="24"/>
          <w:szCs w:val="24"/>
        </w:rPr>
        <w:t>allocate</w:t>
      </w:r>
      <w:r w:rsidRPr="00BE15B8">
        <w:rPr>
          <w:rFonts w:asciiTheme="minorHAnsi" w:hAnsiTheme="minorHAnsi"/>
          <w:iCs/>
          <w:sz w:val="24"/>
          <w:szCs w:val="24"/>
        </w:rPr>
        <w:t>s</w:t>
      </w:r>
      <w:r w:rsidR="00DD3D94" w:rsidRPr="00BE15B8">
        <w:rPr>
          <w:rFonts w:asciiTheme="minorHAnsi" w:hAnsiTheme="minorHAnsi"/>
          <w:iCs/>
          <w:sz w:val="24"/>
          <w:szCs w:val="24"/>
        </w:rPr>
        <w:t xml:space="preserve"> </w:t>
      </w:r>
      <w:r w:rsidR="0029508B" w:rsidRPr="00BE15B8">
        <w:rPr>
          <w:rFonts w:asciiTheme="minorHAnsi" w:hAnsiTheme="minorHAnsi"/>
          <w:iCs/>
          <w:sz w:val="24"/>
          <w:szCs w:val="24"/>
        </w:rPr>
        <w:t xml:space="preserve">significant public </w:t>
      </w:r>
      <w:r w:rsidR="00DD3D94" w:rsidRPr="00BE15B8">
        <w:rPr>
          <w:rFonts w:asciiTheme="minorHAnsi" w:hAnsiTheme="minorHAnsi"/>
          <w:iCs/>
          <w:sz w:val="24"/>
          <w:szCs w:val="24"/>
        </w:rPr>
        <w:t xml:space="preserve">resources to </w:t>
      </w:r>
      <w:r w:rsidRPr="00BE15B8">
        <w:rPr>
          <w:rFonts w:asciiTheme="minorHAnsi" w:hAnsiTheme="minorHAnsi"/>
          <w:iCs/>
          <w:sz w:val="24"/>
          <w:szCs w:val="24"/>
        </w:rPr>
        <w:t>the drug policy field</w:t>
      </w:r>
      <w:r w:rsidR="00DD3D94" w:rsidRPr="00BE15B8">
        <w:rPr>
          <w:rFonts w:asciiTheme="minorHAnsi" w:hAnsiTheme="minorHAnsi"/>
          <w:iCs/>
          <w:sz w:val="24"/>
          <w:szCs w:val="24"/>
        </w:rPr>
        <w:t xml:space="preserve">. </w:t>
      </w:r>
      <w:r w:rsidRPr="00BE15B8">
        <w:rPr>
          <w:rFonts w:asciiTheme="minorHAnsi" w:hAnsiTheme="minorHAnsi"/>
          <w:iCs/>
          <w:sz w:val="24"/>
          <w:szCs w:val="24"/>
        </w:rPr>
        <w:t>P</w:t>
      </w:r>
      <w:r w:rsidR="0052326E" w:rsidRPr="00BE15B8">
        <w:rPr>
          <w:rFonts w:asciiTheme="minorHAnsi" w:hAnsiTheme="minorHAnsi"/>
          <w:sz w:val="24"/>
          <w:szCs w:val="24"/>
        </w:rPr>
        <w:t xml:space="preserve">ublic expenditure studies </w:t>
      </w:r>
      <w:r w:rsidR="00A001AB" w:rsidRPr="00BE15B8">
        <w:rPr>
          <w:rFonts w:asciiTheme="minorHAnsi" w:hAnsiTheme="minorHAnsi"/>
          <w:sz w:val="24"/>
          <w:szCs w:val="24"/>
        </w:rPr>
        <w:t xml:space="preserve">can reveal </w:t>
      </w:r>
      <w:r w:rsidR="0052326E" w:rsidRPr="00BE15B8">
        <w:rPr>
          <w:rFonts w:asciiTheme="minorHAnsi" w:hAnsiTheme="minorHAnsi"/>
          <w:sz w:val="24"/>
          <w:szCs w:val="24"/>
        </w:rPr>
        <w:t xml:space="preserve">how much public authorities are spending on drug policy and for which ends such expenditure is used. </w:t>
      </w:r>
      <w:r w:rsidR="00A73EEB" w:rsidRPr="00BE15B8">
        <w:rPr>
          <w:rFonts w:asciiTheme="minorHAnsi" w:hAnsiTheme="minorHAnsi"/>
          <w:sz w:val="24"/>
          <w:szCs w:val="24"/>
        </w:rPr>
        <w:t xml:space="preserve">Further, </w:t>
      </w:r>
      <w:r w:rsidR="007D44A2">
        <w:rPr>
          <w:rFonts w:asciiTheme="minorHAnsi" w:hAnsiTheme="minorHAnsi"/>
          <w:sz w:val="24"/>
          <w:szCs w:val="24"/>
        </w:rPr>
        <w:t>public expenditure estimates</w:t>
      </w:r>
      <w:r w:rsidR="00B42095" w:rsidRPr="00BE15B8">
        <w:rPr>
          <w:rFonts w:asciiTheme="minorHAnsi" w:hAnsiTheme="minorHAnsi"/>
          <w:sz w:val="24"/>
          <w:szCs w:val="24"/>
        </w:rPr>
        <w:t xml:space="preserve"> can be used as a </w:t>
      </w:r>
      <w:r w:rsidR="00D15E85" w:rsidRPr="00BE15B8">
        <w:rPr>
          <w:rFonts w:asciiTheme="minorHAnsi" w:hAnsiTheme="minorHAnsi"/>
          <w:sz w:val="24"/>
          <w:szCs w:val="24"/>
        </w:rPr>
        <w:t xml:space="preserve">tool for assessing </w:t>
      </w:r>
      <w:r w:rsidR="0052326E" w:rsidRPr="00BE15B8">
        <w:rPr>
          <w:rFonts w:asciiTheme="minorHAnsi" w:hAnsiTheme="minorHAnsi"/>
          <w:sz w:val="24"/>
          <w:szCs w:val="24"/>
        </w:rPr>
        <w:t xml:space="preserve">whether policy intentions are actually reflected in </w:t>
      </w:r>
      <w:r w:rsidR="00D15E85" w:rsidRPr="00BE15B8">
        <w:rPr>
          <w:rFonts w:asciiTheme="minorHAnsi" w:hAnsiTheme="minorHAnsi"/>
          <w:sz w:val="24"/>
          <w:szCs w:val="24"/>
        </w:rPr>
        <w:t>action</w:t>
      </w:r>
      <w:r w:rsidR="00D1049C" w:rsidRPr="00BE15B8">
        <w:rPr>
          <w:rFonts w:asciiTheme="minorHAnsi" w:hAnsiTheme="minorHAnsi"/>
          <w:sz w:val="24"/>
          <w:szCs w:val="24"/>
        </w:rPr>
        <w:t>,</w:t>
      </w:r>
      <w:r w:rsidR="00D15E85" w:rsidRPr="00BE15B8">
        <w:rPr>
          <w:rFonts w:asciiTheme="minorHAnsi" w:hAnsiTheme="minorHAnsi"/>
          <w:sz w:val="24"/>
          <w:szCs w:val="24"/>
        </w:rPr>
        <w:t xml:space="preserve"> and </w:t>
      </w:r>
      <w:r w:rsidR="00FB1061" w:rsidRPr="00BE15B8">
        <w:rPr>
          <w:rFonts w:asciiTheme="minorHAnsi" w:hAnsiTheme="minorHAnsi"/>
          <w:sz w:val="24"/>
          <w:szCs w:val="24"/>
        </w:rPr>
        <w:t>they constitute</w:t>
      </w:r>
      <w:r w:rsidR="00D15E85" w:rsidRPr="00BE15B8">
        <w:rPr>
          <w:rFonts w:asciiTheme="minorHAnsi" w:hAnsiTheme="minorHAnsi"/>
          <w:sz w:val="24"/>
          <w:szCs w:val="24"/>
        </w:rPr>
        <w:t xml:space="preserve"> a necessary tool for implementing </w:t>
      </w:r>
      <w:r w:rsidR="00F459CF" w:rsidRPr="00BE15B8">
        <w:rPr>
          <w:rFonts w:asciiTheme="minorHAnsi" w:hAnsiTheme="minorHAnsi"/>
          <w:sz w:val="24"/>
          <w:szCs w:val="24"/>
        </w:rPr>
        <w:t>thoroug</w:t>
      </w:r>
      <w:r w:rsidR="000004E0" w:rsidRPr="00BE15B8">
        <w:rPr>
          <w:rFonts w:asciiTheme="minorHAnsi" w:hAnsiTheme="minorHAnsi"/>
          <w:sz w:val="24"/>
          <w:szCs w:val="24"/>
        </w:rPr>
        <w:t>h</w:t>
      </w:r>
      <w:r w:rsidR="00D15E85" w:rsidRPr="00BE15B8">
        <w:rPr>
          <w:rFonts w:asciiTheme="minorHAnsi" w:hAnsiTheme="minorHAnsi"/>
          <w:sz w:val="24"/>
          <w:szCs w:val="24"/>
        </w:rPr>
        <w:t xml:space="preserve"> policy evaluations</w:t>
      </w:r>
      <w:r w:rsidR="0052326E" w:rsidRPr="00BE15B8">
        <w:rPr>
          <w:rFonts w:asciiTheme="minorHAnsi" w:hAnsiTheme="minorHAnsi"/>
          <w:sz w:val="24"/>
          <w:szCs w:val="24"/>
        </w:rPr>
        <w:t>.</w:t>
      </w:r>
      <w:r w:rsidR="003A0861" w:rsidRPr="00BE15B8">
        <w:rPr>
          <w:rFonts w:asciiTheme="minorHAnsi" w:hAnsiTheme="minorHAnsi"/>
          <w:sz w:val="24"/>
          <w:szCs w:val="24"/>
        </w:rPr>
        <w:t xml:space="preserve"> Public expenditure studies should mirror all relevant activities and policy approaches</w:t>
      </w:r>
      <w:r w:rsidR="00B56B2B" w:rsidRPr="00BE15B8">
        <w:rPr>
          <w:rFonts w:asciiTheme="minorHAnsi" w:hAnsiTheme="minorHAnsi"/>
          <w:sz w:val="24"/>
          <w:szCs w:val="24"/>
        </w:rPr>
        <w:t xml:space="preserve"> and may particularly be needed in times of austerity</w:t>
      </w:r>
      <w:r w:rsidR="003A0861" w:rsidRPr="00BE15B8">
        <w:rPr>
          <w:rFonts w:asciiTheme="minorHAnsi" w:hAnsiTheme="minorHAnsi"/>
          <w:sz w:val="24"/>
          <w:szCs w:val="24"/>
        </w:rPr>
        <w:t>.</w:t>
      </w:r>
    </w:p>
    <w:p w:rsidR="00BE3D5A" w:rsidRPr="00BE15B8" w:rsidRDefault="008479DE" w:rsidP="00BE3D5A">
      <w:pPr>
        <w:pStyle w:val="Merknadstekst"/>
        <w:numPr>
          <w:ilvl w:val="0"/>
          <w:numId w:val="5"/>
        </w:numPr>
        <w:shd w:val="clear" w:color="auto" w:fill="FFFFFF"/>
        <w:spacing w:line="276" w:lineRule="auto"/>
        <w:jc w:val="both"/>
        <w:rPr>
          <w:rFonts w:asciiTheme="minorHAnsi" w:hAnsiTheme="minorHAnsi"/>
          <w:iCs/>
          <w:sz w:val="24"/>
          <w:szCs w:val="24"/>
        </w:rPr>
      </w:pPr>
      <w:r w:rsidRPr="00BE15B8">
        <w:rPr>
          <w:rFonts w:asciiTheme="minorHAnsi" w:hAnsiTheme="minorHAnsi"/>
          <w:sz w:val="24"/>
          <w:szCs w:val="24"/>
        </w:rPr>
        <w:t xml:space="preserve">Estimates from </w:t>
      </w:r>
      <w:r w:rsidR="00DD3D94" w:rsidRPr="00BE15B8">
        <w:rPr>
          <w:rFonts w:asciiTheme="minorHAnsi" w:hAnsiTheme="minorHAnsi"/>
          <w:sz w:val="24"/>
          <w:szCs w:val="24"/>
        </w:rPr>
        <w:t>16 EU countries</w:t>
      </w:r>
      <w:r w:rsidR="00FB1061" w:rsidRPr="00BE15B8">
        <w:rPr>
          <w:rFonts w:asciiTheme="minorHAnsi" w:hAnsiTheme="minorHAnsi"/>
          <w:sz w:val="24"/>
          <w:szCs w:val="24"/>
        </w:rPr>
        <w:t xml:space="preserve"> </w:t>
      </w:r>
      <w:r w:rsidR="00B7373E" w:rsidRPr="00BE15B8">
        <w:rPr>
          <w:rFonts w:asciiTheme="minorHAnsi" w:hAnsiTheme="minorHAnsi"/>
          <w:iCs/>
          <w:sz w:val="24"/>
          <w:szCs w:val="24"/>
        </w:rPr>
        <w:t>(EMCDDA, 2014b)</w:t>
      </w:r>
      <w:r w:rsidR="00B7373E">
        <w:rPr>
          <w:rFonts w:asciiTheme="minorHAnsi" w:hAnsiTheme="minorHAnsi"/>
          <w:iCs/>
          <w:sz w:val="24"/>
          <w:szCs w:val="24"/>
        </w:rPr>
        <w:t xml:space="preserve"> </w:t>
      </w:r>
      <w:r w:rsidRPr="00BE15B8">
        <w:rPr>
          <w:rFonts w:asciiTheme="minorHAnsi" w:hAnsiTheme="minorHAnsi"/>
          <w:iCs/>
          <w:sz w:val="24"/>
          <w:szCs w:val="24"/>
        </w:rPr>
        <w:t>suggest</w:t>
      </w:r>
      <w:r w:rsidR="00D1049C" w:rsidRPr="00BE15B8">
        <w:rPr>
          <w:rFonts w:asciiTheme="minorHAnsi" w:hAnsiTheme="minorHAnsi"/>
          <w:iCs/>
          <w:sz w:val="24"/>
          <w:szCs w:val="24"/>
        </w:rPr>
        <w:t>ed</w:t>
      </w:r>
      <w:r w:rsidRPr="00BE15B8">
        <w:rPr>
          <w:rFonts w:asciiTheme="minorHAnsi" w:hAnsiTheme="minorHAnsi"/>
          <w:iCs/>
          <w:sz w:val="24"/>
          <w:szCs w:val="24"/>
        </w:rPr>
        <w:t xml:space="preserve"> that drug-related expenditure ranged from 0.01 % to 0.5 % of the gross domestic product (GDP), and </w:t>
      </w:r>
      <w:r w:rsidR="00FB1061" w:rsidRPr="00BE15B8">
        <w:rPr>
          <w:rFonts w:asciiTheme="minorHAnsi" w:hAnsiTheme="minorHAnsi"/>
          <w:sz w:val="24"/>
          <w:szCs w:val="24"/>
        </w:rPr>
        <w:t xml:space="preserve">revealed that </w:t>
      </w:r>
      <w:r w:rsidR="00DD3D94" w:rsidRPr="00BE15B8">
        <w:rPr>
          <w:rFonts w:asciiTheme="minorHAnsi" w:hAnsiTheme="minorHAnsi"/>
          <w:sz w:val="24"/>
          <w:szCs w:val="24"/>
        </w:rPr>
        <w:t xml:space="preserve">the largest share of drug-related public expenditure </w:t>
      </w:r>
      <w:r w:rsidR="00FB1061" w:rsidRPr="00BE15B8">
        <w:rPr>
          <w:rFonts w:asciiTheme="minorHAnsi" w:hAnsiTheme="minorHAnsi"/>
          <w:sz w:val="24"/>
          <w:szCs w:val="24"/>
        </w:rPr>
        <w:t>was</w:t>
      </w:r>
      <w:r w:rsidR="00F728C5" w:rsidRPr="00BE15B8">
        <w:rPr>
          <w:rFonts w:asciiTheme="minorHAnsi" w:hAnsiTheme="minorHAnsi"/>
          <w:sz w:val="24"/>
          <w:szCs w:val="24"/>
        </w:rPr>
        <w:t xml:space="preserve"> </w:t>
      </w:r>
      <w:r w:rsidR="00DD3D94" w:rsidRPr="00BE15B8">
        <w:rPr>
          <w:rFonts w:asciiTheme="minorHAnsi" w:hAnsiTheme="minorHAnsi"/>
          <w:sz w:val="24"/>
          <w:szCs w:val="24"/>
        </w:rPr>
        <w:t>allocated to supply reduction activities</w:t>
      </w:r>
      <w:r w:rsidR="00BE3D5A" w:rsidRPr="00BE15B8">
        <w:rPr>
          <w:rFonts w:asciiTheme="minorHAnsi" w:hAnsiTheme="minorHAnsi"/>
          <w:sz w:val="24"/>
          <w:szCs w:val="24"/>
        </w:rPr>
        <w:t>.</w:t>
      </w:r>
      <w:r w:rsidR="00B024ED" w:rsidRPr="00BE15B8">
        <w:rPr>
          <w:rFonts w:asciiTheme="minorHAnsi" w:hAnsiTheme="minorHAnsi"/>
          <w:iCs/>
          <w:sz w:val="24"/>
          <w:szCs w:val="24"/>
        </w:rPr>
        <w:t xml:space="preserve"> </w:t>
      </w:r>
    </w:p>
    <w:p w:rsidR="00A73EEB" w:rsidRPr="00BE15B8" w:rsidRDefault="004515BB" w:rsidP="00A73EE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Data availability is one of the main limitations in this field. International databases are </w:t>
      </w:r>
      <w:r w:rsidR="000004E0" w:rsidRPr="00BE15B8">
        <w:rPr>
          <w:rFonts w:asciiTheme="minorHAnsi" w:hAnsiTheme="minorHAnsi" w:cs="Times New Roman"/>
          <w:iCs/>
          <w:sz w:val="24"/>
          <w:szCs w:val="24"/>
          <w:lang w:val="en-GB"/>
        </w:rPr>
        <w:t xml:space="preserve">recommended </w:t>
      </w:r>
      <w:r w:rsidRPr="00BE15B8">
        <w:rPr>
          <w:rFonts w:asciiTheme="minorHAnsi" w:hAnsiTheme="minorHAnsi" w:cs="Times New Roman"/>
          <w:iCs/>
          <w:sz w:val="24"/>
          <w:szCs w:val="24"/>
          <w:lang w:val="en-GB"/>
        </w:rPr>
        <w:t xml:space="preserve">because they </w:t>
      </w:r>
      <w:r w:rsidR="00B11880" w:rsidRPr="00BE15B8">
        <w:rPr>
          <w:rFonts w:asciiTheme="minorHAnsi" w:hAnsiTheme="minorHAnsi" w:cs="Times New Roman"/>
          <w:iCs/>
          <w:sz w:val="24"/>
          <w:szCs w:val="24"/>
          <w:lang w:val="en-GB"/>
        </w:rPr>
        <w:t>employ</w:t>
      </w:r>
      <w:r w:rsidRPr="00BE15B8">
        <w:rPr>
          <w:rFonts w:asciiTheme="minorHAnsi" w:hAnsiTheme="minorHAnsi" w:cs="Times New Roman"/>
          <w:iCs/>
          <w:sz w:val="24"/>
          <w:szCs w:val="24"/>
          <w:lang w:val="en-GB"/>
        </w:rPr>
        <w:t xml:space="preserve"> broadly accepted concepts and definitions</w:t>
      </w:r>
      <w:r w:rsidR="00B11880" w:rsidRPr="00BE15B8">
        <w:rPr>
          <w:rFonts w:asciiTheme="minorHAnsi" w:hAnsiTheme="minorHAnsi" w:cs="Times New Roman"/>
          <w:iCs/>
          <w:sz w:val="24"/>
          <w:szCs w:val="24"/>
          <w:lang w:val="en-GB"/>
        </w:rPr>
        <w:t xml:space="preserve"> and</w:t>
      </w:r>
      <w:r w:rsidRPr="00BE15B8">
        <w:rPr>
          <w:rFonts w:asciiTheme="minorHAnsi" w:hAnsiTheme="minorHAnsi" w:cs="Times New Roman"/>
          <w:iCs/>
          <w:sz w:val="24"/>
          <w:szCs w:val="24"/>
          <w:lang w:val="en-GB"/>
        </w:rPr>
        <w:t xml:space="preserve"> </w:t>
      </w:r>
      <w:r w:rsidR="00A73EEB" w:rsidRPr="00BE15B8">
        <w:rPr>
          <w:rFonts w:asciiTheme="minorHAnsi" w:hAnsiTheme="minorHAnsi" w:cs="Times New Roman"/>
          <w:iCs/>
          <w:sz w:val="24"/>
          <w:szCs w:val="24"/>
          <w:lang w:val="en-GB"/>
        </w:rPr>
        <w:t xml:space="preserve">provide </w:t>
      </w:r>
      <w:r w:rsidR="008479DE" w:rsidRPr="00BE15B8">
        <w:rPr>
          <w:rFonts w:asciiTheme="minorHAnsi" w:hAnsiTheme="minorHAnsi" w:cs="Times New Roman"/>
          <w:iCs/>
          <w:sz w:val="24"/>
          <w:szCs w:val="24"/>
          <w:lang w:val="en-GB"/>
        </w:rPr>
        <w:t xml:space="preserve">better comparable </w:t>
      </w:r>
      <w:r w:rsidR="00F728C5" w:rsidRPr="00BE15B8">
        <w:rPr>
          <w:rFonts w:asciiTheme="minorHAnsi" w:hAnsiTheme="minorHAnsi" w:cs="Times New Roman"/>
          <w:iCs/>
          <w:sz w:val="24"/>
          <w:szCs w:val="24"/>
          <w:lang w:val="en-GB"/>
        </w:rPr>
        <w:t>data</w:t>
      </w:r>
      <w:r w:rsidRPr="00BE15B8">
        <w:rPr>
          <w:rFonts w:asciiTheme="minorHAnsi" w:hAnsiTheme="minorHAnsi" w:cs="Times New Roman"/>
          <w:iCs/>
          <w:sz w:val="24"/>
          <w:szCs w:val="24"/>
          <w:lang w:val="en-GB"/>
        </w:rPr>
        <w:t xml:space="preserve">. Sometimes, </w:t>
      </w:r>
      <w:r w:rsidR="003A0861" w:rsidRPr="00BE15B8">
        <w:rPr>
          <w:rFonts w:asciiTheme="minorHAnsi" w:hAnsiTheme="minorHAnsi" w:cs="Times New Roman"/>
          <w:iCs/>
          <w:sz w:val="24"/>
          <w:szCs w:val="24"/>
          <w:lang w:val="en-GB"/>
        </w:rPr>
        <w:t xml:space="preserve">however, </w:t>
      </w:r>
      <w:r w:rsidRPr="00BE15B8">
        <w:rPr>
          <w:rFonts w:asciiTheme="minorHAnsi" w:hAnsiTheme="minorHAnsi" w:cs="Times New Roman"/>
          <w:iCs/>
          <w:sz w:val="24"/>
          <w:szCs w:val="24"/>
          <w:lang w:val="en-GB"/>
        </w:rPr>
        <w:t>national dataset can have more detailed or reliable information.</w:t>
      </w:r>
      <w:r w:rsidR="003A0861" w:rsidRPr="00BE15B8">
        <w:rPr>
          <w:rFonts w:asciiTheme="minorHAnsi" w:hAnsiTheme="minorHAnsi" w:cs="Times New Roman"/>
          <w:iCs/>
          <w:sz w:val="24"/>
          <w:szCs w:val="24"/>
          <w:lang w:val="en-GB"/>
        </w:rPr>
        <w:t xml:space="preserve"> </w:t>
      </w:r>
    </w:p>
    <w:p w:rsidR="00A73EEB" w:rsidRPr="00BE15B8" w:rsidRDefault="00A73EEB" w:rsidP="00A73EEB">
      <w:pPr>
        <w:pStyle w:val="HTML-forhndsformatert"/>
        <w:shd w:val="clear" w:color="auto" w:fill="FFFFFF"/>
        <w:spacing w:line="276" w:lineRule="auto"/>
        <w:ind w:left="720"/>
        <w:jc w:val="both"/>
        <w:rPr>
          <w:rFonts w:asciiTheme="minorHAnsi" w:hAnsiTheme="minorHAnsi" w:cs="Times New Roman"/>
          <w:iCs/>
          <w:sz w:val="24"/>
          <w:szCs w:val="24"/>
          <w:lang w:val="en-GB"/>
        </w:rPr>
      </w:pPr>
    </w:p>
    <w:p w:rsidR="00A73EEB" w:rsidRPr="00BE15B8" w:rsidRDefault="00A73EE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The total budget for supply reduction services is the sum of labelled and unlabelled expenditures. Labelled expenditures are clearly identified in </w:t>
      </w:r>
      <w:r w:rsidR="00D1049C" w:rsidRPr="00BE15B8">
        <w:rPr>
          <w:rFonts w:asciiTheme="minorHAnsi" w:hAnsiTheme="minorHAnsi" w:cs="Times New Roman"/>
          <w:iCs/>
          <w:sz w:val="24"/>
          <w:szCs w:val="24"/>
          <w:lang w:val="en-GB"/>
        </w:rPr>
        <w:t xml:space="preserve">public </w:t>
      </w:r>
      <w:r w:rsidRPr="00BE15B8">
        <w:rPr>
          <w:rFonts w:asciiTheme="minorHAnsi" w:hAnsiTheme="minorHAnsi" w:cs="Times New Roman"/>
          <w:iCs/>
          <w:sz w:val="24"/>
          <w:szCs w:val="24"/>
          <w:lang w:val="en-GB"/>
        </w:rPr>
        <w:t>budget</w:t>
      </w:r>
      <w:r w:rsidR="008C507D">
        <w:rPr>
          <w:rFonts w:asciiTheme="minorHAnsi" w:hAnsiTheme="minorHAnsi" w:cs="Times New Roman"/>
          <w:iCs/>
          <w:sz w:val="24"/>
          <w:szCs w:val="24"/>
          <w:lang w:val="en-GB"/>
        </w:rPr>
        <w:t>s</w:t>
      </w:r>
      <w:r w:rsidR="00D1049C" w:rsidRPr="00BE15B8">
        <w:rPr>
          <w:rFonts w:asciiTheme="minorHAnsi" w:hAnsiTheme="minorHAnsi" w:cs="Times New Roman"/>
          <w:iCs/>
          <w:sz w:val="24"/>
          <w:szCs w:val="24"/>
          <w:lang w:val="en-GB"/>
        </w:rPr>
        <w:t>,</w:t>
      </w:r>
      <w:r w:rsidRPr="00BE15B8">
        <w:rPr>
          <w:rFonts w:asciiTheme="minorHAnsi" w:hAnsiTheme="minorHAnsi" w:cs="Times New Roman"/>
          <w:iCs/>
          <w:sz w:val="24"/>
          <w:szCs w:val="24"/>
          <w:lang w:val="en-GB"/>
        </w:rPr>
        <w:t xml:space="preserve"> whereas </w:t>
      </w:r>
      <w:r w:rsidR="00D1049C" w:rsidRPr="00BE15B8">
        <w:rPr>
          <w:rFonts w:asciiTheme="minorHAnsi" w:hAnsiTheme="minorHAnsi" w:cs="Times New Roman"/>
          <w:iCs/>
          <w:sz w:val="24"/>
          <w:szCs w:val="24"/>
          <w:lang w:val="en-GB"/>
        </w:rPr>
        <w:t xml:space="preserve">a modelling procedure is required for estimating </w:t>
      </w:r>
      <w:r w:rsidRPr="00BE15B8">
        <w:rPr>
          <w:rFonts w:asciiTheme="minorHAnsi" w:hAnsiTheme="minorHAnsi" w:cs="Times New Roman"/>
          <w:iCs/>
          <w:sz w:val="24"/>
          <w:szCs w:val="24"/>
          <w:lang w:val="en-GB"/>
        </w:rPr>
        <w:t>unla</w:t>
      </w:r>
      <w:r w:rsidR="00D1049C" w:rsidRPr="00BE15B8">
        <w:rPr>
          <w:rFonts w:asciiTheme="minorHAnsi" w:hAnsiTheme="minorHAnsi" w:cs="Times New Roman"/>
          <w:iCs/>
          <w:sz w:val="24"/>
          <w:szCs w:val="24"/>
          <w:lang w:val="en-GB"/>
        </w:rPr>
        <w:t xml:space="preserve">belled ones. The modelling is either based on a top-down or a bottom-up approach. </w:t>
      </w:r>
      <w:r w:rsidR="007A7BBB" w:rsidRPr="00BE15B8">
        <w:rPr>
          <w:rFonts w:asciiTheme="minorHAnsi" w:hAnsiTheme="minorHAnsi" w:cs="Times New Roman"/>
          <w:iCs/>
          <w:sz w:val="24"/>
          <w:szCs w:val="24"/>
          <w:lang w:val="en-GB"/>
        </w:rPr>
        <w:t xml:space="preserve">A list of advantages and limitations for both alternatives is provided, in addition to empirical expenditure studies for supply reduction sectors and some European countries. </w:t>
      </w:r>
    </w:p>
    <w:p w:rsidR="00A73EEB" w:rsidRPr="00BE15B8" w:rsidRDefault="00A73EEB" w:rsidP="00A73EEB">
      <w:pPr>
        <w:pStyle w:val="Listeavsnitt"/>
        <w:rPr>
          <w:rFonts w:asciiTheme="minorHAnsi" w:hAnsiTheme="minorHAnsi"/>
          <w:iCs/>
          <w:sz w:val="24"/>
          <w:szCs w:val="24"/>
        </w:rPr>
      </w:pPr>
    </w:p>
    <w:p w:rsidR="000C17CB" w:rsidRPr="00BE15B8" w:rsidRDefault="000C17CB" w:rsidP="004515BB">
      <w:pPr>
        <w:pStyle w:val="HTML-forhndsformatert"/>
        <w:numPr>
          <w:ilvl w:val="0"/>
          <w:numId w:val="5"/>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sz w:val="24"/>
          <w:szCs w:val="24"/>
          <w:lang w:val="en-GB"/>
        </w:rPr>
        <w:t xml:space="preserve">Improving estimation methods, agreeing on best practices and finding reliable standardized data will increase and expand the utility of public expenditure estimates, as analysis over time and across policy areas and countries can be made. Improved data quality and further methodological developments are needed to achieve this. </w:t>
      </w:r>
    </w:p>
    <w:p w:rsidR="00B024ED" w:rsidRPr="00BE15B8" w:rsidRDefault="00B024ED" w:rsidP="00B024ED">
      <w:pPr>
        <w:pStyle w:val="Listeavsnitt"/>
        <w:rPr>
          <w:rFonts w:asciiTheme="minorHAnsi" w:hAnsiTheme="minorHAnsi"/>
          <w:iCs/>
          <w:sz w:val="24"/>
          <w:szCs w:val="24"/>
        </w:rPr>
      </w:pPr>
    </w:p>
    <w:p w:rsidR="00146B3E" w:rsidRDefault="00146B3E">
      <w:pPr>
        <w:rPr>
          <w:rFonts w:asciiTheme="majorHAnsi" w:eastAsiaTheme="majorEastAsia" w:hAnsiTheme="majorHAnsi" w:cstheme="majorBidi"/>
          <w:color w:val="365F91" w:themeColor="accent1" w:themeShade="BF"/>
          <w:sz w:val="32"/>
          <w:szCs w:val="32"/>
        </w:rPr>
      </w:pPr>
      <w:r>
        <w:br w:type="page"/>
      </w:r>
    </w:p>
    <w:p w:rsidR="00B024ED" w:rsidRDefault="00B024ED" w:rsidP="007D44A2">
      <w:pPr>
        <w:pStyle w:val="Overskrift1"/>
      </w:pPr>
      <w:r w:rsidRPr="00BE15B8">
        <w:t>Recommendations</w:t>
      </w:r>
    </w:p>
    <w:p w:rsidR="00B5738B" w:rsidRPr="00B5738B" w:rsidRDefault="00B5738B" w:rsidP="00B5738B"/>
    <w:p w:rsidR="00B024ED" w:rsidRPr="00BE15B8" w:rsidRDefault="000C17CB" w:rsidP="0052326E">
      <w:pPr>
        <w:pStyle w:val="HTML-forhndsformatert"/>
        <w:numPr>
          <w:ilvl w:val="0"/>
          <w:numId w:val="7"/>
        </w:numPr>
        <w:shd w:val="clear" w:color="auto" w:fill="FFFFFF"/>
        <w:spacing w:line="276" w:lineRule="auto"/>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 xml:space="preserve">In order to conduct </w:t>
      </w:r>
      <w:r w:rsidR="008F4C26" w:rsidRPr="00BE15B8">
        <w:rPr>
          <w:rFonts w:asciiTheme="minorHAnsi" w:hAnsiTheme="minorHAnsi" w:cs="Times New Roman"/>
          <w:iCs/>
          <w:sz w:val="24"/>
          <w:szCs w:val="24"/>
          <w:lang w:val="en-GB"/>
        </w:rPr>
        <w:t>meaningful estimation</w:t>
      </w:r>
      <w:r w:rsidRPr="00BE15B8">
        <w:rPr>
          <w:rFonts w:asciiTheme="minorHAnsi" w:hAnsiTheme="minorHAnsi" w:cs="Times New Roman"/>
          <w:iCs/>
          <w:sz w:val="24"/>
          <w:szCs w:val="24"/>
          <w:lang w:val="en-GB"/>
        </w:rPr>
        <w:t>s</w:t>
      </w:r>
      <w:r w:rsidR="008F4C26" w:rsidRPr="00BE15B8">
        <w:rPr>
          <w:rFonts w:asciiTheme="minorHAnsi" w:hAnsiTheme="minorHAnsi" w:cs="Times New Roman"/>
          <w:iCs/>
          <w:sz w:val="24"/>
          <w:szCs w:val="24"/>
          <w:lang w:val="en-GB"/>
        </w:rPr>
        <w:t xml:space="preserve"> of resources spent on </w:t>
      </w:r>
      <w:r w:rsidR="0052326E" w:rsidRPr="00BE15B8">
        <w:rPr>
          <w:rFonts w:asciiTheme="minorHAnsi" w:hAnsiTheme="minorHAnsi" w:cs="Times New Roman"/>
          <w:iCs/>
          <w:sz w:val="24"/>
          <w:szCs w:val="24"/>
          <w:lang w:val="en-GB"/>
        </w:rPr>
        <w:t>drug control measures and</w:t>
      </w:r>
      <w:r w:rsidR="008F4C26" w:rsidRPr="00BE15B8">
        <w:rPr>
          <w:rFonts w:asciiTheme="minorHAnsi" w:hAnsiTheme="minorHAnsi" w:cs="Times New Roman"/>
          <w:iCs/>
          <w:sz w:val="24"/>
          <w:szCs w:val="24"/>
          <w:lang w:val="en-GB"/>
        </w:rPr>
        <w:t xml:space="preserve"> </w:t>
      </w:r>
      <w:r w:rsidRPr="00BE15B8">
        <w:rPr>
          <w:rFonts w:asciiTheme="minorHAnsi" w:hAnsiTheme="minorHAnsi" w:cs="Times New Roman"/>
          <w:iCs/>
          <w:sz w:val="24"/>
          <w:szCs w:val="24"/>
          <w:lang w:val="en-GB"/>
        </w:rPr>
        <w:t xml:space="preserve">to </w:t>
      </w:r>
      <w:r w:rsidR="008F4C26" w:rsidRPr="00BE15B8">
        <w:rPr>
          <w:rFonts w:asciiTheme="minorHAnsi" w:hAnsiTheme="minorHAnsi" w:cs="Times New Roman"/>
          <w:iCs/>
          <w:sz w:val="24"/>
          <w:szCs w:val="24"/>
          <w:lang w:val="en-GB"/>
        </w:rPr>
        <w:t>measur</w:t>
      </w:r>
      <w:r w:rsidRPr="00BE15B8">
        <w:rPr>
          <w:rFonts w:asciiTheme="minorHAnsi" w:hAnsiTheme="minorHAnsi" w:cs="Times New Roman"/>
          <w:iCs/>
          <w:sz w:val="24"/>
          <w:szCs w:val="24"/>
          <w:lang w:val="en-GB"/>
        </w:rPr>
        <w:t>e</w:t>
      </w:r>
      <w:r w:rsidR="008F4C26" w:rsidRPr="00BE15B8">
        <w:rPr>
          <w:rFonts w:asciiTheme="minorHAnsi" w:hAnsiTheme="minorHAnsi" w:cs="Times New Roman"/>
          <w:iCs/>
          <w:sz w:val="24"/>
          <w:szCs w:val="24"/>
          <w:lang w:val="en-GB"/>
        </w:rPr>
        <w:t xml:space="preserve"> the impact of drug control policies</w:t>
      </w:r>
      <w:r w:rsidR="0052326E" w:rsidRPr="00BE15B8">
        <w:rPr>
          <w:rFonts w:asciiTheme="minorHAnsi" w:hAnsiTheme="minorHAnsi" w:cs="Times New Roman"/>
          <w:iCs/>
          <w:sz w:val="24"/>
          <w:szCs w:val="24"/>
          <w:lang w:val="en-GB"/>
        </w:rPr>
        <w:t>,</w:t>
      </w:r>
      <w:r w:rsidR="008F4C26" w:rsidRPr="00BE15B8">
        <w:rPr>
          <w:rFonts w:asciiTheme="minorHAnsi" w:hAnsiTheme="minorHAnsi" w:cs="Times New Roman"/>
          <w:iCs/>
          <w:sz w:val="24"/>
          <w:szCs w:val="24"/>
          <w:lang w:val="en-GB"/>
        </w:rPr>
        <w:t xml:space="preserve"> it </w:t>
      </w:r>
      <w:r w:rsidR="00A75CC1">
        <w:rPr>
          <w:rFonts w:asciiTheme="minorHAnsi" w:hAnsiTheme="minorHAnsi" w:cs="Times New Roman"/>
          <w:iCs/>
          <w:sz w:val="24"/>
          <w:szCs w:val="24"/>
          <w:lang w:val="en-GB"/>
        </w:rPr>
        <w:t>is</w:t>
      </w:r>
      <w:r w:rsidR="008F4C26" w:rsidRPr="00BE15B8">
        <w:rPr>
          <w:rFonts w:asciiTheme="minorHAnsi" w:hAnsiTheme="minorHAnsi" w:cs="Times New Roman"/>
          <w:iCs/>
          <w:sz w:val="24"/>
          <w:szCs w:val="24"/>
          <w:lang w:val="en-GB"/>
        </w:rPr>
        <w:t xml:space="preserve"> </w:t>
      </w:r>
      <w:r w:rsidR="00D717C8" w:rsidRPr="00BE15B8">
        <w:rPr>
          <w:rFonts w:asciiTheme="minorHAnsi" w:hAnsiTheme="minorHAnsi" w:cs="Times New Roman"/>
          <w:iCs/>
          <w:sz w:val="24"/>
          <w:szCs w:val="24"/>
          <w:lang w:val="en-GB"/>
        </w:rPr>
        <w:t>useful</w:t>
      </w:r>
      <w:r w:rsidR="008F4C26" w:rsidRPr="00BE15B8">
        <w:rPr>
          <w:rFonts w:asciiTheme="minorHAnsi" w:hAnsiTheme="minorHAnsi" w:cs="Times New Roman"/>
          <w:iCs/>
          <w:sz w:val="24"/>
          <w:szCs w:val="24"/>
          <w:lang w:val="en-GB"/>
        </w:rPr>
        <w:t xml:space="preserve"> to </w:t>
      </w:r>
      <w:r w:rsidRPr="00BE15B8">
        <w:rPr>
          <w:rFonts w:asciiTheme="minorHAnsi" w:hAnsiTheme="minorHAnsi" w:cs="Times New Roman"/>
          <w:iCs/>
          <w:sz w:val="24"/>
          <w:szCs w:val="24"/>
          <w:lang w:val="en-GB"/>
        </w:rPr>
        <w:t xml:space="preserve">improve </w:t>
      </w:r>
      <w:r w:rsidR="00BF7247" w:rsidRPr="00BE15B8">
        <w:rPr>
          <w:rFonts w:asciiTheme="minorHAnsi" w:hAnsiTheme="minorHAnsi" w:cs="Times New Roman"/>
          <w:iCs/>
          <w:sz w:val="24"/>
          <w:szCs w:val="24"/>
          <w:lang w:val="en-GB"/>
        </w:rPr>
        <w:t xml:space="preserve">relevant </w:t>
      </w:r>
      <w:r w:rsidR="00B13082" w:rsidRPr="00BE15B8">
        <w:rPr>
          <w:rFonts w:asciiTheme="minorHAnsi" w:hAnsiTheme="minorHAnsi" w:cs="Times New Roman"/>
          <w:iCs/>
          <w:sz w:val="24"/>
          <w:szCs w:val="24"/>
          <w:lang w:val="en-GB"/>
        </w:rPr>
        <w:t>data</w:t>
      </w:r>
      <w:r w:rsidRPr="00BE15B8">
        <w:rPr>
          <w:rFonts w:asciiTheme="minorHAnsi" w:hAnsiTheme="minorHAnsi" w:cs="Times New Roman"/>
          <w:iCs/>
          <w:sz w:val="24"/>
          <w:szCs w:val="24"/>
          <w:lang w:val="en-GB"/>
        </w:rPr>
        <w:t xml:space="preserve"> sources.</w:t>
      </w:r>
      <w:r w:rsidR="00B13082" w:rsidRPr="00BE15B8">
        <w:rPr>
          <w:rFonts w:asciiTheme="minorHAnsi" w:hAnsiTheme="minorHAnsi" w:cs="Times New Roman"/>
          <w:iCs/>
          <w:sz w:val="24"/>
          <w:szCs w:val="24"/>
          <w:lang w:val="en-GB"/>
        </w:rPr>
        <w:t xml:space="preserve"> </w:t>
      </w:r>
      <w:r w:rsidR="00BF7247" w:rsidRPr="00BE15B8">
        <w:rPr>
          <w:rFonts w:asciiTheme="minorHAnsi" w:hAnsiTheme="minorHAnsi" w:cs="Times New Roman"/>
          <w:iCs/>
          <w:sz w:val="24"/>
          <w:szCs w:val="24"/>
          <w:lang w:val="en-GB"/>
        </w:rPr>
        <w:t>One option is to</w:t>
      </w:r>
      <w:r w:rsidR="00B13082" w:rsidRPr="00BE15B8">
        <w:rPr>
          <w:rFonts w:asciiTheme="minorHAnsi" w:hAnsiTheme="minorHAnsi" w:cs="Times New Roman"/>
          <w:iCs/>
          <w:sz w:val="24"/>
          <w:szCs w:val="24"/>
          <w:lang w:val="en-GB"/>
        </w:rPr>
        <w:t xml:space="preserve"> </w:t>
      </w:r>
      <w:r w:rsidR="00BF7247" w:rsidRPr="00BE15B8">
        <w:rPr>
          <w:rFonts w:asciiTheme="minorHAnsi" w:hAnsiTheme="minorHAnsi" w:cs="Times New Roman"/>
          <w:iCs/>
          <w:sz w:val="24"/>
          <w:szCs w:val="24"/>
          <w:lang w:val="en-GB"/>
        </w:rPr>
        <w:t>develop</w:t>
      </w:r>
      <w:r w:rsidR="00B13082" w:rsidRPr="00BE15B8">
        <w:rPr>
          <w:rFonts w:asciiTheme="minorHAnsi" w:hAnsiTheme="minorHAnsi" w:cs="Times New Roman"/>
          <w:iCs/>
          <w:sz w:val="24"/>
          <w:szCs w:val="24"/>
          <w:lang w:val="en-GB"/>
        </w:rPr>
        <w:t xml:space="preserve"> </w:t>
      </w:r>
      <w:r w:rsidR="00B024ED" w:rsidRPr="00BE15B8">
        <w:rPr>
          <w:rFonts w:asciiTheme="minorHAnsi" w:hAnsiTheme="minorHAnsi" w:cs="Times New Roman"/>
          <w:iCs/>
          <w:sz w:val="24"/>
          <w:szCs w:val="24"/>
          <w:lang w:val="en-GB"/>
        </w:rPr>
        <w:t>guidelines</w:t>
      </w:r>
      <w:r w:rsidR="008F4C26" w:rsidRPr="00BE15B8">
        <w:rPr>
          <w:rFonts w:asciiTheme="minorHAnsi" w:hAnsiTheme="minorHAnsi" w:cs="Times New Roman"/>
          <w:iCs/>
          <w:sz w:val="24"/>
          <w:szCs w:val="24"/>
          <w:lang w:val="en-GB"/>
        </w:rPr>
        <w:t xml:space="preserve"> for </w:t>
      </w:r>
      <w:r w:rsidR="00B13082" w:rsidRPr="00BE15B8">
        <w:rPr>
          <w:rFonts w:asciiTheme="minorHAnsi" w:hAnsiTheme="minorHAnsi" w:cs="Times New Roman"/>
          <w:iCs/>
          <w:sz w:val="24"/>
          <w:szCs w:val="24"/>
          <w:lang w:val="en-GB"/>
        </w:rPr>
        <w:t xml:space="preserve">data collection and </w:t>
      </w:r>
      <w:r w:rsidR="00B024ED" w:rsidRPr="00BE15B8">
        <w:rPr>
          <w:rFonts w:asciiTheme="minorHAnsi" w:hAnsiTheme="minorHAnsi" w:cs="Times New Roman"/>
          <w:iCs/>
          <w:sz w:val="24"/>
          <w:szCs w:val="24"/>
          <w:lang w:val="en-GB"/>
        </w:rPr>
        <w:t xml:space="preserve">economic </w:t>
      </w:r>
      <w:r w:rsidR="00B13082" w:rsidRPr="00BE15B8">
        <w:rPr>
          <w:rFonts w:asciiTheme="minorHAnsi" w:hAnsiTheme="minorHAnsi" w:cs="Times New Roman"/>
          <w:iCs/>
          <w:sz w:val="24"/>
          <w:szCs w:val="24"/>
          <w:lang w:val="en-GB"/>
        </w:rPr>
        <w:t>modelling of evaluations</w:t>
      </w:r>
      <w:r w:rsidR="0058061F" w:rsidRPr="00BE15B8">
        <w:rPr>
          <w:rFonts w:asciiTheme="minorHAnsi" w:hAnsiTheme="minorHAnsi" w:cs="Times New Roman"/>
          <w:iCs/>
          <w:sz w:val="24"/>
          <w:szCs w:val="24"/>
          <w:lang w:val="en-GB"/>
        </w:rPr>
        <w:t>.</w:t>
      </w:r>
    </w:p>
    <w:p w:rsidR="008F4C26" w:rsidRPr="00BE15B8" w:rsidRDefault="008F4C26" w:rsidP="0052326E">
      <w:pPr>
        <w:pStyle w:val="HTML-forhndsformatert"/>
        <w:shd w:val="clear" w:color="auto" w:fill="FFFFFF"/>
        <w:spacing w:line="276" w:lineRule="auto"/>
        <w:jc w:val="both"/>
        <w:rPr>
          <w:rFonts w:asciiTheme="minorHAnsi" w:hAnsiTheme="minorHAnsi" w:cs="Times New Roman"/>
          <w:iCs/>
          <w:sz w:val="24"/>
          <w:szCs w:val="24"/>
          <w:lang w:val="en-GB"/>
        </w:rPr>
      </w:pPr>
    </w:p>
    <w:p w:rsidR="000365A6" w:rsidRPr="00BE15B8" w:rsidRDefault="00DB5C37" w:rsidP="000365A6">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I</w:t>
      </w:r>
      <w:r w:rsidR="000365A6" w:rsidRPr="00BE15B8">
        <w:rPr>
          <w:rFonts w:asciiTheme="minorHAnsi" w:hAnsiTheme="minorHAnsi"/>
          <w:sz w:val="24"/>
          <w:szCs w:val="24"/>
        </w:rPr>
        <w:t xml:space="preserve">t is essential to classify public expenditure based </w:t>
      </w:r>
      <w:r w:rsidR="00BF7247" w:rsidRPr="00BE15B8">
        <w:rPr>
          <w:rFonts w:asciiTheme="minorHAnsi" w:hAnsiTheme="minorHAnsi"/>
          <w:sz w:val="24"/>
          <w:szCs w:val="24"/>
        </w:rPr>
        <w:t>o</w:t>
      </w:r>
      <w:r w:rsidR="000365A6" w:rsidRPr="00BE15B8">
        <w:rPr>
          <w:rFonts w:asciiTheme="minorHAnsi" w:hAnsiTheme="minorHAnsi"/>
          <w:sz w:val="24"/>
          <w:szCs w:val="24"/>
        </w:rPr>
        <w:t xml:space="preserve">n the purpose which the expenditure is intended for. It therefore </w:t>
      </w:r>
      <w:r w:rsidR="00B13082" w:rsidRPr="00BE15B8">
        <w:rPr>
          <w:rFonts w:asciiTheme="minorHAnsi" w:hAnsiTheme="minorHAnsi"/>
          <w:sz w:val="24"/>
          <w:szCs w:val="24"/>
        </w:rPr>
        <w:t xml:space="preserve">useful </w:t>
      </w:r>
      <w:r w:rsidR="000365A6" w:rsidRPr="00BE15B8">
        <w:rPr>
          <w:rFonts w:asciiTheme="minorHAnsi" w:hAnsiTheme="minorHAnsi"/>
          <w:sz w:val="24"/>
          <w:szCs w:val="24"/>
        </w:rPr>
        <w:t>to use a consistent categorisation system</w:t>
      </w:r>
      <w:r w:rsidR="00B13082" w:rsidRPr="00BE15B8">
        <w:rPr>
          <w:rFonts w:asciiTheme="minorHAnsi" w:hAnsiTheme="minorHAnsi"/>
          <w:sz w:val="24"/>
          <w:szCs w:val="24"/>
        </w:rPr>
        <w:t>, as the</w:t>
      </w:r>
      <w:r w:rsidR="000365A6" w:rsidRPr="00BE15B8">
        <w:rPr>
          <w:rFonts w:asciiTheme="minorHAnsi" w:hAnsiTheme="minorHAnsi"/>
          <w:sz w:val="24"/>
          <w:szCs w:val="24"/>
        </w:rPr>
        <w:t xml:space="preserve"> international Classification of the Functions of Government (COFOG).</w:t>
      </w:r>
    </w:p>
    <w:p w:rsidR="000365A6" w:rsidRPr="00BE15B8" w:rsidRDefault="000365A6" w:rsidP="000365A6">
      <w:pPr>
        <w:pStyle w:val="Listeavsnitt"/>
        <w:rPr>
          <w:rFonts w:asciiTheme="minorHAnsi" w:hAnsiTheme="minorHAnsi"/>
          <w:sz w:val="24"/>
          <w:szCs w:val="24"/>
        </w:rPr>
      </w:pPr>
    </w:p>
    <w:p w:rsidR="000365A6" w:rsidRPr="00BE15B8" w:rsidRDefault="007142B3" w:rsidP="000365A6">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 xml:space="preserve">In order to estimate unlabelled drug-related expenditures </w:t>
      </w:r>
      <w:r w:rsidR="000365A6" w:rsidRPr="00BE15B8">
        <w:rPr>
          <w:rFonts w:asciiTheme="minorHAnsi" w:hAnsiTheme="minorHAnsi"/>
          <w:sz w:val="24"/>
          <w:szCs w:val="24"/>
        </w:rPr>
        <w:t xml:space="preserve">a methodology of using a set of repartition keys according </w:t>
      </w:r>
      <w:r w:rsidRPr="00BE15B8">
        <w:rPr>
          <w:rFonts w:asciiTheme="minorHAnsi" w:hAnsiTheme="minorHAnsi"/>
          <w:sz w:val="24"/>
          <w:szCs w:val="24"/>
        </w:rPr>
        <w:t xml:space="preserve">to COFOG categories </w:t>
      </w:r>
      <w:r w:rsidR="00B13082" w:rsidRPr="00BE15B8">
        <w:rPr>
          <w:rFonts w:asciiTheme="minorHAnsi" w:hAnsiTheme="minorHAnsi"/>
          <w:sz w:val="24"/>
          <w:szCs w:val="24"/>
        </w:rPr>
        <w:t xml:space="preserve">can be used as a </w:t>
      </w:r>
      <w:r w:rsidRPr="00BE15B8">
        <w:rPr>
          <w:rFonts w:asciiTheme="minorHAnsi" w:hAnsiTheme="minorHAnsi"/>
          <w:sz w:val="24"/>
          <w:szCs w:val="24"/>
        </w:rPr>
        <w:t xml:space="preserve">starting point. A </w:t>
      </w:r>
      <w:r w:rsidR="00BF7247" w:rsidRPr="00BE15B8">
        <w:rPr>
          <w:rFonts w:asciiTheme="minorHAnsi" w:hAnsiTheme="minorHAnsi"/>
          <w:sz w:val="24"/>
          <w:szCs w:val="24"/>
        </w:rPr>
        <w:t>general</w:t>
      </w:r>
      <w:r w:rsidRPr="00BE15B8">
        <w:rPr>
          <w:rFonts w:asciiTheme="minorHAnsi" w:hAnsiTheme="minorHAnsi"/>
          <w:sz w:val="24"/>
          <w:szCs w:val="24"/>
        </w:rPr>
        <w:t xml:space="preserve"> </w:t>
      </w:r>
      <w:r w:rsidR="00B13082" w:rsidRPr="00BE15B8">
        <w:rPr>
          <w:rFonts w:asciiTheme="minorHAnsi" w:hAnsiTheme="minorHAnsi"/>
          <w:sz w:val="24"/>
          <w:szCs w:val="24"/>
        </w:rPr>
        <w:t xml:space="preserve">agreement </w:t>
      </w:r>
      <w:r w:rsidR="00BF7247" w:rsidRPr="00BE15B8">
        <w:rPr>
          <w:rFonts w:asciiTheme="minorHAnsi" w:hAnsiTheme="minorHAnsi"/>
          <w:sz w:val="24"/>
          <w:szCs w:val="24"/>
        </w:rPr>
        <w:t xml:space="preserve">by all participating countries </w:t>
      </w:r>
      <w:r w:rsidR="00B13082" w:rsidRPr="00BE15B8">
        <w:rPr>
          <w:rFonts w:asciiTheme="minorHAnsi" w:hAnsiTheme="minorHAnsi"/>
          <w:sz w:val="24"/>
          <w:szCs w:val="24"/>
        </w:rPr>
        <w:t>on definitions and methods will</w:t>
      </w:r>
      <w:r w:rsidRPr="00BE15B8">
        <w:rPr>
          <w:rFonts w:asciiTheme="minorHAnsi" w:hAnsiTheme="minorHAnsi"/>
          <w:sz w:val="24"/>
          <w:szCs w:val="24"/>
        </w:rPr>
        <w:t xml:space="preserve"> contribute</w:t>
      </w:r>
      <w:r w:rsidR="000365A6" w:rsidRPr="00BE15B8">
        <w:rPr>
          <w:rFonts w:asciiTheme="minorHAnsi" w:hAnsiTheme="minorHAnsi"/>
          <w:sz w:val="24"/>
          <w:szCs w:val="24"/>
        </w:rPr>
        <w:t xml:space="preserve"> to getting more comparable results among countries.</w:t>
      </w:r>
    </w:p>
    <w:p w:rsidR="006B215B" w:rsidRPr="00BE15B8" w:rsidRDefault="006B215B" w:rsidP="0052326E">
      <w:pPr>
        <w:pStyle w:val="Listeavsnitt"/>
        <w:rPr>
          <w:rFonts w:asciiTheme="minorHAnsi" w:hAnsiTheme="minorHAnsi"/>
          <w:iCs/>
          <w:sz w:val="24"/>
          <w:szCs w:val="24"/>
        </w:rPr>
      </w:pPr>
    </w:p>
    <w:p w:rsidR="009451EB" w:rsidRPr="00BE15B8" w:rsidRDefault="009451EB" w:rsidP="0052326E">
      <w:pPr>
        <w:pStyle w:val="Listeavsnitt"/>
        <w:numPr>
          <w:ilvl w:val="0"/>
          <w:numId w:val="7"/>
        </w:numPr>
        <w:spacing w:after="0"/>
        <w:jc w:val="both"/>
        <w:rPr>
          <w:rFonts w:asciiTheme="minorHAnsi" w:hAnsiTheme="minorHAnsi"/>
          <w:sz w:val="24"/>
          <w:szCs w:val="24"/>
        </w:rPr>
      </w:pPr>
      <w:r w:rsidRPr="00BE15B8">
        <w:rPr>
          <w:rFonts w:asciiTheme="minorHAnsi" w:hAnsiTheme="minorHAnsi"/>
          <w:color w:val="000000"/>
          <w:sz w:val="24"/>
          <w:szCs w:val="24"/>
          <w:shd w:val="clear" w:color="auto" w:fill="FFFFFF"/>
        </w:rPr>
        <w:t>Studies o</w:t>
      </w:r>
      <w:r w:rsidR="00BF7247" w:rsidRPr="00BE15B8">
        <w:rPr>
          <w:rFonts w:asciiTheme="minorHAnsi" w:hAnsiTheme="minorHAnsi"/>
          <w:color w:val="000000"/>
          <w:sz w:val="24"/>
          <w:szCs w:val="24"/>
          <w:shd w:val="clear" w:color="auto" w:fill="FFFFFF"/>
        </w:rPr>
        <w:t>f</w:t>
      </w:r>
      <w:r w:rsidRPr="00BE15B8">
        <w:rPr>
          <w:rFonts w:asciiTheme="minorHAnsi" w:hAnsiTheme="minorHAnsi"/>
          <w:color w:val="000000"/>
          <w:sz w:val="24"/>
          <w:szCs w:val="24"/>
          <w:shd w:val="clear" w:color="auto" w:fill="FFFFFF"/>
        </w:rPr>
        <w:t xml:space="preserve"> public expenditure require analytical work</w:t>
      </w:r>
      <w:r w:rsidR="00B56B2B" w:rsidRPr="00BE15B8">
        <w:rPr>
          <w:rFonts w:asciiTheme="minorHAnsi" w:hAnsiTheme="minorHAnsi"/>
          <w:color w:val="000000"/>
          <w:sz w:val="24"/>
          <w:szCs w:val="24"/>
          <w:shd w:val="clear" w:color="auto" w:fill="FFFFFF"/>
        </w:rPr>
        <w:t>,</w:t>
      </w:r>
      <w:r w:rsidRPr="00BE15B8">
        <w:rPr>
          <w:rFonts w:asciiTheme="minorHAnsi" w:hAnsiTheme="minorHAnsi"/>
          <w:color w:val="000000"/>
          <w:sz w:val="24"/>
          <w:szCs w:val="24"/>
          <w:shd w:val="clear" w:color="auto" w:fill="FFFFFF"/>
        </w:rPr>
        <w:t xml:space="preserve"> </w:t>
      </w:r>
      <w:r w:rsidR="00BF7247" w:rsidRPr="00BE15B8">
        <w:rPr>
          <w:rFonts w:asciiTheme="minorHAnsi" w:hAnsiTheme="minorHAnsi"/>
          <w:color w:val="000000"/>
          <w:sz w:val="24"/>
          <w:szCs w:val="24"/>
          <w:shd w:val="clear" w:color="auto" w:fill="FFFFFF"/>
        </w:rPr>
        <w:t xml:space="preserve">which require </w:t>
      </w:r>
      <w:r w:rsidRPr="00BE15B8">
        <w:rPr>
          <w:rFonts w:asciiTheme="minorHAnsi" w:hAnsiTheme="minorHAnsi"/>
          <w:color w:val="000000"/>
          <w:sz w:val="24"/>
          <w:szCs w:val="24"/>
          <w:shd w:val="clear" w:color="auto" w:fill="FFFFFF"/>
        </w:rPr>
        <w:t xml:space="preserve">adequate human technical capacities in place in the domains of all relevant stakeholders. This is important </w:t>
      </w:r>
      <w:r w:rsidR="00B56B2B" w:rsidRPr="00BE15B8">
        <w:rPr>
          <w:rFonts w:asciiTheme="minorHAnsi" w:hAnsiTheme="minorHAnsi"/>
          <w:color w:val="000000"/>
          <w:sz w:val="24"/>
          <w:szCs w:val="24"/>
          <w:shd w:val="clear" w:color="auto" w:fill="FFFFFF"/>
        </w:rPr>
        <w:t>for</w:t>
      </w:r>
      <w:r w:rsidRPr="00BE15B8">
        <w:rPr>
          <w:rFonts w:asciiTheme="minorHAnsi" w:hAnsiTheme="minorHAnsi"/>
          <w:color w:val="000000"/>
          <w:sz w:val="24"/>
          <w:szCs w:val="24"/>
          <w:shd w:val="clear" w:color="auto" w:fill="FFFFFF"/>
        </w:rPr>
        <w:t xml:space="preserve"> obtain</w:t>
      </w:r>
      <w:r w:rsidR="00B56B2B" w:rsidRPr="00BE15B8">
        <w:rPr>
          <w:rFonts w:asciiTheme="minorHAnsi" w:hAnsiTheme="minorHAnsi"/>
          <w:color w:val="000000"/>
          <w:sz w:val="24"/>
          <w:szCs w:val="24"/>
          <w:shd w:val="clear" w:color="auto" w:fill="FFFFFF"/>
        </w:rPr>
        <w:t>ing</w:t>
      </w:r>
      <w:r w:rsidRPr="00BE15B8">
        <w:rPr>
          <w:rFonts w:asciiTheme="minorHAnsi" w:hAnsiTheme="minorHAnsi"/>
          <w:color w:val="000000"/>
          <w:sz w:val="24"/>
          <w:szCs w:val="24"/>
          <w:shd w:val="clear" w:color="auto" w:fill="FFFFFF"/>
        </w:rPr>
        <w:t xml:space="preserve"> the necessary </w:t>
      </w:r>
      <w:r w:rsidR="00B56B2B" w:rsidRPr="00BE15B8">
        <w:rPr>
          <w:rFonts w:asciiTheme="minorHAnsi" w:hAnsiTheme="minorHAnsi"/>
          <w:color w:val="000000"/>
          <w:sz w:val="24"/>
          <w:szCs w:val="24"/>
          <w:shd w:val="clear" w:color="auto" w:fill="FFFFFF"/>
        </w:rPr>
        <w:t xml:space="preserve">data </w:t>
      </w:r>
      <w:r w:rsidRPr="00BE15B8">
        <w:rPr>
          <w:rFonts w:asciiTheme="minorHAnsi" w:hAnsiTheme="minorHAnsi"/>
          <w:color w:val="000000"/>
          <w:sz w:val="24"/>
          <w:szCs w:val="24"/>
          <w:shd w:val="clear" w:color="auto" w:fill="FFFFFF"/>
        </w:rPr>
        <w:t xml:space="preserve">quality </w:t>
      </w:r>
      <w:r w:rsidR="00B56B2B" w:rsidRPr="00BE15B8">
        <w:rPr>
          <w:rFonts w:asciiTheme="minorHAnsi" w:hAnsiTheme="minorHAnsi"/>
          <w:color w:val="000000"/>
          <w:sz w:val="24"/>
          <w:szCs w:val="24"/>
          <w:shd w:val="clear" w:color="auto" w:fill="FFFFFF"/>
        </w:rPr>
        <w:t xml:space="preserve">needed </w:t>
      </w:r>
      <w:r w:rsidRPr="00BE15B8">
        <w:rPr>
          <w:rFonts w:asciiTheme="minorHAnsi" w:hAnsiTheme="minorHAnsi"/>
          <w:color w:val="000000"/>
          <w:sz w:val="24"/>
          <w:szCs w:val="24"/>
          <w:shd w:val="clear" w:color="auto" w:fill="FFFFFF"/>
        </w:rPr>
        <w:t>for aggregation and comparison.</w:t>
      </w:r>
    </w:p>
    <w:p w:rsidR="003F1D8F" w:rsidRPr="00BE15B8" w:rsidRDefault="003F1D8F" w:rsidP="00F459CF">
      <w:pPr>
        <w:pStyle w:val="Listeavsnitt"/>
        <w:spacing w:after="0"/>
        <w:jc w:val="both"/>
        <w:rPr>
          <w:rFonts w:asciiTheme="minorHAnsi" w:hAnsiTheme="minorHAnsi"/>
        </w:rPr>
      </w:pPr>
    </w:p>
    <w:p w:rsidR="00A75CC1" w:rsidRDefault="00B56B2B" w:rsidP="00F459CF">
      <w:pPr>
        <w:pStyle w:val="Listeavsnitt"/>
        <w:numPr>
          <w:ilvl w:val="0"/>
          <w:numId w:val="7"/>
        </w:numPr>
        <w:spacing w:after="0"/>
        <w:jc w:val="both"/>
        <w:rPr>
          <w:rFonts w:asciiTheme="minorHAnsi" w:hAnsiTheme="minorHAnsi"/>
          <w:sz w:val="24"/>
          <w:szCs w:val="24"/>
        </w:rPr>
      </w:pPr>
      <w:r w:rsidRPr="00BE15B8">
        <w:rPr>
          <w:rFonts w:asciiTheme="minorHAnsi" w:hAnsiTheme="minorHAnsi"/>
          <w:sz w:val="24"/>
          <w:szCs w:val="24"/>
        </w:rPr>
        <w:t>Cross-country</w:t>
      </w:r>
      <w:r w:rsidR="003F1D8F" w:rsidRPr="00BE15B8">
        <w:rPr>
          <w:rFonts w:asciiTheme="minorHAnsi" w:hAnsiTheme="minorHAnsi"/>
          <w:sz w:val="24"/>
          <w:szCs w:val="24"/>
        </w:rPr>
        <w:t xml:space="preserve"> comparisons are important, but they are only possible with a common methodology of public expenditure estimates.</w:t>
      </w:r>
      <w:r w:rsidR="004515BB" w:rsidRPr="00BE15B8">
        <w:rPr>
          <w:rFonts w:asciiTheme="minorHAnsi" w:hAnsiTheme="minorHAnsi"/>
          <w:sz w:val="24"/>
          <w:szCs w:val="24"/>
        </w:rPr>
        <w:t xml:space="preserve"> Expanding and improving international datasets and modelling techniques are required in order to increase the capacity to carry evidence based drug policy evaluations in the drug field</w:t>
      </w:r>
      <w:r w:rsidR="00A75CC1">
        <w:rPr>
          <w:rFonts w:asciiTheme="minorHAnsi" w:hAnsiTheme="minorHAnsi"/>
          <w:sz w:val="24"/>
          <w:szCs w:val="24"/>
        </w:rPr>
        <w:t>;</w:t>
      </w:r>
    </w:p>
    <w:p w:rsidR="00A75CC1" w:rsidRPr="00A75CC1" w:rsidRDefault="00A75CC1" w:rsidP="00A75CC1">
      <w:pPr>
        <w:pStyle w:val="Listeavsnitt"/>
        <w:rPr>
          <w:rFonts w:asciiTheme="minorHAnsi" w:hAnsiTheme="minorHAnsi"/>
          <w:sz w:val="24"/>
          <w:szCs w:val="24"/>
        </w:rPr>
      </w:pPr>
    </w:p>
    <w:p w:rsidR="00A75CC1" w:rsidRPr="009A7B47" w:rsidRDefault="00A75CC1" w:rsidP="00A75CC1">
      <w:pPr>
        <w:pStyle w:val="Listeavsnitt"/>
        <w:numPr>
          <w:ilvl w:val="0"/>
          <w:numId w:val="7"/>
        </w:numPr>
        <w:spacing w:after="0"/>
        <w:jc w:val="both"/>
        <w:rPr>
          <w:rFonts w:asciiTheme="minorHAnsi" w:hAnsiTheme="minorHAnsi"/>
          <w:sz w:val="24"/>
          <w:szCs w:val="24"/>
        </w:rPr>
      </w:pPr>
      <w:r>
        <w:rPr>
          <w:rFonts w:asciiTheme="minorHAnsi" w:hAnsiTheme="minorHAnsi"/>
          <w:sz w:val="24"/>
          <w:szCs w:val="24"/>
        </w:rPr>
        <w:t>D</w:t>
      </w:r>
      <w:r w:rsidRPr="009A7B47">
        <w:rPr>
          <w:rFonts w:eastAsia="Open Sans" w:cstheme="minorHAnsi"/>
        </w:rPr>
        <w:t xml:space="preserve">eveloping methods to estimate public expenditure on </w:t>
      </w:r>
      <w:r>
        <w:rPr>
          <w:rFonts w:eastAsia="Open Sans" w:cstheme="minorHAnsi"/>
        </w:rPr>
        <w:t>supply reduction</w:t>
      </w:r>
      <w:r w:rsidRPr="009A7B47">
        <w:rPr>
          <w:rFonts w:eastAsia="Open Sans" w:cstheme="minorHAnsi"/>
        </w:rPr>
        <w:t xml:space="preserve">  require</w:t>
      </w:r>
      <w:r>
        <w:rPr>
          <w:rFonts w:eastAsia="Open Sans" w:cstheme="minorHAnsi"/>
        </w:rPr>
        <w:t>s</w:t>
      </w:r>
      <w:r w:rsidRPr="009A7B47">
        <w:rPr>
          <w:rFonts w:eastAsia="Open Sans" w:cstheme="minorHAnsi"/>
        </w:rPr>
        <w:t xml:space="preserve"> effective working partnerships b</w:t>
      </w:r>
      <w:r>
        <w:rPr>
          <w:rFonts w:eastAsia="Open Sans" w:cstheme="minorHAnsi"/>
        </w:rPr>
        <w:t>etween drug policy makers and</w:t>
      </w:r>
      <w:r w:rsidRPr="009A7B47">
        <w:rPr>
          <w:rFonts w:eastAsia="Open Sans" w:cstheme="minorHAnsi"/>
        </w:rPr>
        <w:t xml:space="preserve"> specialists in </w:t>
      </w:r>
      <w:r>
        <w:rPr>
          <w:rFonts w:eastAsia="Open Sans" w:cstheme="minorHAnsi"/>
        </w:rPr>
        <w:t>police, law courts and prisons. Collaboration with</w:t>
      </w:r>
      <w:r w:rsidRPr="009A7B47">
        <w:rPr>
          <w:rFonts w:eastAsia="Open Sans" w:cstheme="minorHAnsi"/>
        </w:rPr>
        <w:t xml:space="preserve"> </w:t>
      </w:r>
      <w:r>
        <w:rPr>
          <w:rFonts w:eastAsia="Open Sans" w:cstheme="minorHAnsi"/>
        </w:rPr>
        <w:t xml:space="preserve">public </w:t>
      </w:r>
      <w:r w:rsidRPr="009A7B47">
        <w:rPr>
          <w:rFonts w:eastAsia="Open Sans" w:cstheme="minorHAnsi"/>
        </w:rPr>
        <w:t>accountancy</w:t>
      </w:r>
      <w:r>
        <w:rPr>
          <w:rFonts w:eastAsia="Open Sans" w:cstheme="minorHAnsi"/>
        </w:rPr>
        <w:t xml:space="preserve"> experts</w:t>
      </w:r>
      <w:r w:rsidRPr="009A7B47">
        <w:rPr>
          <w:rFonts w:eastAsia="Open Sans" w:cstheme="minorHAnsi"/>
        </w:rPr>
        <w:t xml:space="preserve"> and those in charge of economic modelling</w:t>
      </w:r>
      <w:r>
        <w:rPr>
          <w:rFonts w:eastAsia="Open Sans" w:cstheme="minorHAnsi"/>
        </w:rPr>
        <w:t xml:space="preserve"> is required to guarantee meaningful estimates</w:t>
      </w:r>
      <w:r w:rsidRPr="009A7B47">
        <w:rPr>
          <w:rFonts w:eastAsia="Open Sans" w:cstheme="minorHAnsi"/>
        </w:rPr>
        <w:t xml:space="preserve">. </w:t>
      </w:r>
    </w:p>
    <w:p w:rsidR="00A75CC1" w:rsidRPr="009A7B47" w:rsidRDefault="00A75CC1" w:rsidP="009A7B47">
      <w:pPr>
        <w:pStyle w:val="Listeavsnitt"/>
        <w:rPr>
          <w:rFonts w:eastAsia="Open Sans" w:cstheme="minorHAnsi"/>
        </w:rPr>
      </w:pPr>
    </w:p>
    <w:p w:rsidR="003A0861" w:rsidRPr="00A75CC1" w:rsidRDefault="00A75CC1" w:rsidP="009A7B47">
      <w:pPr>
        <w:pStyle w:val="Listeavsnitt"/>
        <w:numPr>
          <w:ilvl w:val="0"/>
          <w:numId w:val="7"/>
        </w:numPr>
        <w:spacing w:after="0"/>
        <w:jc w:val="both"/>
        <w:rPr>
          <w:rFonts w:asciiTheme="minorHAnsi" w:hAnsiTheme="minorHAnsi"/>
          <w:sz w:val="24"/>
          <w:szCs w:val="24"/>
        </w:rPr>
      </w:pPr>
      <w:r w:rsidRPr="009A7B47">
        <w:rPr>
          <w:rFonts w:eastAsia="Open Sans" w:cstheme="minorHAnsi"/>
        </w:rPr>
        <w:t xml:space="preserve">While recognising the limitations imposed by currently available data sets, this </w:t>
      </w:r>
      <w:r>
        <w:rPr>
          <w:rFonts w:eastAsia="Open Sans" w:cstheme="minorHAnsi"/>
        </w:rPr>
        <w:t>report</w:t>
      </w:r>
      <w:r w:rsidRPr="009A7B47">
        <w:rPr>
          <w:rFonts w:eastAsia="Open Sans" w:cstheme="minorHAnsi"/>
        </w:rPr>
        <w:t xml:space="preserve"> </w:t>
      </w:r>
      <w:r>
        <w:rPr>
          <w:rFonts w:eastAsia="Open Sans" w:cstheme="minorHAnsi"/>
        </w:rPr>
        <w:t>provides examples</w:t>
      </w:r>
      <w:r w:rsidRPr="009A7B47">
        <w:rPr>
          <w:rFonts w:eastAsia="Open Sans" w:cstheme="minorHAnsi"/>
        </w:rPr>
        <w:t xml:space="preserve"> on current practice and, in </w:t>
      </w:r>
      <w:r w:rsidRPr="009A7B47">
        <w:rPr>
          <w:rFonts w:eastAsia="Open Sans" w:cstheme="minorHAnsi"/>
        </w:rPr>
        <w:t xml:space="preserve">doing so, suggests areas of focus for future desired methodological development. </w:t>
      </w:r>
      <w:r>
        <w:rPr>
          <w:rFonts w:eastAsia="Open Sans" w:cstheme="minorHAnsi"/>
        </w:rPr>
        <w:t>I</w:t>
      </w:r>
      <w:r w:rsidRPr="009A7B47">
        <w:rPr>
          <w:rFonts w:eastAsia="Open Sans" w:cstheme="minorHAnsi"/>
        </w:rPr>
        <w:t xml:space="preserve">t </w:t>
      </w:r>
      <w:r>
        <w:rPr>
          <w:rFonts w:eastAsia="Open Sans" w:cstheme="minorHAnsi"/>
        </w:rPr>
        <w:t xml:space="preserve">is desired </w:t>
      </w:r>
      <w:r w:rsidR="00B5738B">
        <w:rPr>
          <w:rFonts w:eastAsia="Open Sans" w:cstheme="minorHAnsi"/>
        </w:rPr>
        <w:t xml:space="preserve">that </w:t>
      </w:r>
      <w:r w:rsidRPr="009A7B47">
        <w:rPr>
          <w:rFonts w:eastAsia="Open Sans" w:cstheme="minorHAnsi"/>
        </w:rPr>
        <w:t xml:space="preserve">the estimation of drug-related public expenditure </w:t>
      </w:r>
      <w:r>
        <w:rPr>
          <w:rFonts w:eastAsia="Open Sans" w:cstheme="minorHAnsi"/>
        </w:rPr>
        <w:t xml:space="preserve">on supply reduction initiatives </w:t>
      </w:r>
      <w:r w:rsidRPr="009A7B47">
        <w:rPr>
          <w:rFonts w:eastAsia="Open Sans" w:cstheme="minorHAnsi"/>
        </w:rPr>
        <w:t xml:space="preserve">and policy evaluation </w:t>
      </w:r>
      <w:r w:rsidRPr="009A7B47">
        <w:rPr>
          <w:rFonts w:eastAsia="Open Sans" w:cstheme="minorHAnsi"/>
        </w:rPr>
        <w:t>will move forward, in Europe. For continuous improvements to take place, however, it is essential that partnerships are extended and maintained with the goal of developing good practices, standards and guidelines in this field.</w:t>
      </w:r>
    </w:p>
    <w:p w:rsidR="007142B3" w:rsidRDefault="007142B3" w:rsidP="00146B3E">
      <w:pPr>
        <w:pStyle w:val="Overskrift1"/>
        <w:rPr>
          <w:shd w:val="clear" w:color="auto" w:fill="FFFFFF"/>
        </w:rPr>
      </w:pPr>
      <w:r w:rsidRPr="00BE15B8">
        <w:rPr>
          <w:sz w:val="24"/>
          <w:szCs w:val="24"/>
        </w:rPr>
        <w:br w:type="page"/>
      </w:r>
      <w:r w:rsidR="009C2A62" w:rsidRPr="0022294B">
        <w:rPr>
          <w:shd w:val="clear" w:color="auto" w:fill="FFFFFF"/>
        </w:rPr>
        <w:t xml:space="preserve">Glossary </w:t>
      </w:r>
    </w:p>
    <w:p w:rsidR="00912C5F" w:rsidRDefault="00912C5F" w:rsidP="00B5738B">
      <w:pPr>
        <w:autoSpaceDE w:val="0"/>
        <w:autoSpaceDN w:val="0"/>
        <w:adjustRightInd w:val="0"/>
        <w:spacing w:after="120" w:line="271" w:lineRule="auto"/>
        <w:jc w:val="both"/>
        <w:rPr>
          <w:rFonts w:eastAsia="Times New Roman"/>
          <w:color w:val="000000" w:themeColor="text1"/>
        </w:rPr>
      </w:pPr>
      <w:r w:rsidRPr="00912C5F">
        <w:rPr>
          <w:rFonts w:eastAsia="Times New Roman"/>
          <w:b/>
          <w:color w:val="000000" w:themeColor="text1"/>
        </w:rPr>
        <w:t>Cost analysis</w:t>
      </w:r>
      <w:r w:rsidRPr="00912C5F">
        <w:rPr>
          <w:rFonts w:eastAsia="Times New Roman"/>
          <w:color w:val="000000" w:themeColor="text1"/>
        </w:rPr>
        <w:t xml:space="preserve"> provide monetary estimates of the costs of a particular intervention</w:t>
      </w:r>
      <w:r w:rsidR="00D45E8E">
        <w:rPr>
          <w:rFonts w:eastAsia="Times New Roman"/>
          <w:color w:val="000000" w:themeColor="text1"/>
        </w:rPr>
        <w:t xml:space="preserve"> or set of interventions</w:t>
      </w:r>
      <w:r w:rsidRPr="00912C5F">
        <w:rPr>
          <w:rFonts w:eastAsia="Times New Roman"/>
          <w:color w:val="000000" w:themeColor="text1"/>
        </w:rPr>
        <w:t xml:space="preserve">, but also information on the amount of resources (e.g., labor, facility, supplies) used in </w:t>
      </w:r>
      <w:r w:rsidR="00D45E8E">
        <w:rPr>
          <w:rFonts w:eastAsia="Times New Roman"/>
          <w:color w:val="000000" w:themeColor="text1"/>
        </w:rPr>
        <w:t xml:space="preserve">their </w:t>
      </w:r>
      <w:r w:rsidRPr="00912C5F">
        <w:rPr>
          <w:rFonts w:eastAsia="Times New Roman"/>
          <w:color w:val="000000" w:themeColor="text1"/>
        </w:rPr>
        <w:t>pro</w:t>
      </w:r>
      <w:r w:rsidR="00D45E8E">
        <w:rPr>
          <w:rFonts w:eastAsia="Times New Roman"/>
          <w:color w:val="000000" w:themeColor="text1"/>
        </w:rPr>
        <w:t>vision</w:t>
      </w:r>
      <w:r w:rsidRPr="00912C5F">
        <w:rPr>
          <w:rFonts w:eastAsia="Times New Roman"/>
          <w:color w:val="000000" w:themeColor="text1"/>
        </w:rPr>
        <w:t>. The latter information is often used to identify critical cost components of the intervention and to assess whether costs are affected by changes in key assumptions (Bray &amp; Zarkin, 2006). In addition to being the first step in a cost-effectiveness and cost-benefit analysis, cost studies can also be used to compare the relative costs of one intervention to another or to monetize savings from implementing a particular action</w:t>
      </w:r>
      <w:r w:rsidR="006B5913">
        <w:rPr>
          <w:rFonts w:eastAsia="Times New Roman"/>
          <w:color w:val="000000" w:themeColor="text1"/>
        </w:rPr>
        <w:t xml:space="preserve"> (Chalk</w:t>
      </w:r>
      <w:r w:rsidR="00F50475">
        <w:rPr>
          <w:rFonts w:eastAsia="Times New Roman"/>
          <w:color w:val="000000" w:themeColor="text1"/>
        </w:rPr>
        <w:t xml:space="preserve"> et al.</w:t>
      </w:r>
      <w:r w:rsidR="006B5913">
        <w:rPr>
          <w:rFonts w:eastAsia="Times New Roman"/>
          <w:color w:val="000000" w:themeColor="text1"/>
        </w:rPr>
        <w:t>, 2013)</w:t>
      </w:r>
      <w:r w:rsidRPr="00912C5F">
        <w:rPr>
          <w:rFonts w:eastAsia="Times New Roman"/>
          <w:color w:val="000000" w:themeColor="text1"/>
        </w:rPr>
        <w:t>.</w:t>
      </w:r>
    </w:p>
    <w:p w:rsidR="00D52384" w:rsidRDefault="00D52384" w:rsidP="00AB7D86">
      <w:pPr>
        <w:autoSpaceDE w:val="0"/>
        <w:autoSpaceDN w:val="0"/>
        <w:adjustRightInd w:val="0"/>
        <w:spacing w:before="120" w:after="120" w:line="271" w:lineRule="auto"/>
        <w:jc w:val="both"/>
        <w:rPr>
          <w:rFonts w:eastAsia="Times New Roman"/>
          <w:color w:val="000000" w:themeColor="text1"/>
        </w:rPr>
      </w:pPr>
      <w:r w:rsidRPr="00D52384">
        <w:rPr>
          <w:rFonts w:eastAsia="Times New Roman"/>
          <w:b/>
          <w:color w:val="000000" w:themeColor="text1"/>
        </w:rPr>
        <w:t>Cost-effectiveness analysis</w:t>
      </w:r>
      <w:r>
        <w:rPr>
          <w:rFonts w:ascii="Arial" w:eastAsiaTheme="minorHAnsi" w:hAnsi="Arial" w:cs="Arial"/>
          <w:b/>
          <w:bCs/>
          <w:i/>
          <w:iCs/>
          <w:color w:val="404040"/>
        </w:rPr>
        <w:t xml:space="preserve"> </w:t>
      </w:r>
      <w:r w:rsidRPr="00D52384">
        <w:rPr>
          <w:rFonts w:eastAsia="Times New Roman"/>
          <w:color w:val="000000" w:themeColor="text1"/>
        </w:rPr>
        <w:t xml:space="preserve">involves estimating the ratio of the difference in costs between two alternatives (net costs) divided by the difference in the outcomes (net effectiveness) (Gold et al., 1996). </w:t>
      </w:r>
      <w:r>
        <w:rPr>
          <w:rFonts w:eastAsia="Times New Roman"/>
          <w:color w:val="000000" w:themeColor="text1"/>
        </w:rPr>
        <w:t xml:space="preserve">Traditionally, this measure has been used in health economics. However, this evaluation tool can be used in any framework of policy intervention, given that outcome measures are those relevant for each type of public policy analysed. </w:t>
      </w:r>
      <w:r w:rsidRPr="00D52384">
        <w:rPr>
          <w:rFonts w:eastAsia="Times New Roman"/>
          <w:color w:val="000000" w:themeColor="text1"/>
        </w:rPr>
        <w:t>It is essentially the incremental price of obtaining a unit</w:t>
      </w:r>
      <w:r>
        <w:rPr>
          <w:rFonts w:eastAsia="Times New Roman"/>
          <w:color w:val="000000" w:themeColor="text1"/>
        </w:rPr>
        <w:t xml:space="preserve"> outcome</w:t>
      </w:r>
      <w:r w:rsidRPr="00D52384">
        <w:rPr>
          <w:rFonts w:eastAsia="Times New Roman"/>
          <w:color w:val="000000" w:themeColor="text1"/>
        </w:rPr>
        <w:t xml:space="preserve"> effect (e.g. 10% reduction in </w:t>
      </w:r>
      <w:r>
        <w:rPr>
          <w:rFonts w:eastAsia="Times New Roman"/>
          <w:color w:val="000000" w:themeColor="text1"/>
        </w:rPr>
        <w:t xml:space="preserve">the number of drug-law offences </w:t>
      </w:r>
      <w:r w:rsidRPr="00D52384">
        <w:rPr>
          <w:rFonts w:eastAsia="Times New Roman"/>
          <w:color w:val="000000" w:themeColor="text1"/>
        </w:rPr>
        <w:t xml:space="preserve">in the past month) from a given </w:t>
      </w:r>
      <w:r>
        <w:rPr>
          <w:rFonts w:eastAsia="Times New Roman"/>
          <w:color w:val="000000" w:themeColor="text1"/>
        </w:rPr>
        <w:t xml:space="preserve">police </w:t>
      </w:r>
      <w:r w:rsidRPr="00D52384">
        <w:rPr>
          <w:rFonts w:eastAsia="Times New Roman"/>
          <w:color w:val="000000" w:themeColor="text1"/>
        </w:rPr>
        <w:t xml:space="preserve">intervention (e.g. </w:t>
      </w:r>
      <w:r>
        <w:rPr>
          <w:rFonts w:eastAsia="Times New Roman"/>
          <w:color w:val="000000" w:themeColor="text1"/>
        </w:rPr>
        <w:t>introducing drug squads in problem neighbourhoods)</w:t>
      </w:r>
      <w:r w:rsidRPr="00D52384">
        <w:rPr>
          <w:rFonts w:eastAsia="Times New Roman"/>
          <w:color w:val="000000" w:themeColor="text1"/>
        </w:rPr>
        <w:t xml:space="preserve"> when compared to an alternative (e.g. </w:t>
      </w:r>
      <w:r>
        <w:rPr>
          <w:rFonts w:eastAsia="Times New Roman"/>
          <w:color w:val="000000" w:themeColor="text1"/>
        </w:rPr>
        <w:t>regular policing</w:t>
      </w:r>
      <w:r w:rsidRPr="00D52384">
        <w:rPr>
          <w:rFonts w:eastAsia="Times New Roman"/>
          <w:color w:val="000000" w:themeColor="text1"/>
        </w:rPr>
        <w:t>). Costs for interventions are estimated in monetary units, such as the dollar. The effect of</w:t>
      </w:r>
      <w:r>
        <w:rPr>
          <w:rFonts w:eastAsia="Times New Roman"/>
          <w:color w:val="000000" w:themeColor="text1"/>
        </w:rPr>
        <w:t xml:space="preserve"> </w:t>
      </w:r>
      <w:r w:rsidRPr="00D52384">
        <w:rPr>
          <w:rFonts w:eastAsia="Times New Roman"/>
          <w:color w:val="000000" w:themeColor="text1"/>
        </w:rPr>
        <w:t>the intervention can be any policy-relevant outcome that is collected for all</w:t>
      </w:r>
      <w:r>
        <w:rPr>
          <w:rFonts w:eastAsia="Times New Roman"/>
          <w:color w:val="000000" w:themeColor="text1"/>
        </w:rPr>
        <w:t xml:space="preserve"> </w:t>
      </w:r>
      <w:r w:rsidRPr="00D52384">
        <w:rPr>
          <w:rFonts w:eastAsia="Times New Roman"/>
          <w:color w:val="000000" w:themeColor="text1"/>
        </w:rPr>
        <w:t>interventions under consideration</w:t>
      </w:r>
      <w:r w:rsidR="00B248A8">
        <w:rPr>
          <w:rFonts w:eastAsia="Times New Roman"/>
          <w:color w:val="000000" w:themeColor="text1"/>
        </w:rPr>
        <w:t>.</w:t>
      </w:r>
      <w:r>
        <w:rPr>
          <w:rFonts w:eastAsia="Times New Roman"/>
          <w:color w:val="000000" w:themeColor="text1"/>
        </w:rPr>
        <w:t xml:space="preserve"> </w:t>
      </w:r>
    </w:p>
    <w:p w:rsidR="00F50475" w:rsidRPr="00D52384" w:rsidRDefault="00F50475" w:rsidP="00AB7D86">
      <w:pPr>
        <w:autoSpaceDE w:val="0"/>
        <w:autoSpaceDN w:val="0"/>
        <w:adjustRightInd w:val="0"/>
        <w:spacing w:before="120" w:after="120" w:line="271" w:lineRule="auto"/>
        <w:jc w:val="both"/>
        <w:rPr>
          <w:rFonts w:eastAsia="Times New Roman"/>
          <w:color w:val="000000" w:themeColor="text1"/>
        </w:rPr>
      </w:pPr>
      <w:r w:rsidRPr="00F50475">
        <w:rPr>
          <w:rFonts w:eastAsia="Times New Roman"/>
          <w:b/>
          <w:color w:val="000000" w:themeColor="text1"/>
        </w:rPr>
        <w:t xml:space="preserve">Cost-benefit analysis </w:t>
      </w:r>
      <w:r w:rsidRPr="00F50475">
        <w:rPr>
          <w:rFonts w:eastAsia="Times New Roman"/>
          <w:color w:val="000000" w:themeColor="text1"/>
        </w:rPr>
        <w:t>converts all outcomes to</w:t>
      </w:r>
      <w:r>
        <w:rPr>
          <w:rFonts w:eastAsia="Times New Roman"/>
          <w:color w:val="000000" w:themeColor="text1"/>
        </w:rPr>
        <w:t xml:space="preserve"> </w:t>
      </w:r>
      <w:r w:rsidRPr="00F50475">
        <w:rPr>
          <w:rFonts w:eastAsia="Times New Roman"/>
          <w:color w:val="000000" w:themeColor="text1"/>
        </w:rPr>
        <w:t>a monetary equivalent</w:t>
      </w:r>
      <w:r w:rsidR="00AB7D86">
        <w:rPr>
          <w:rFonts w:eastAsia="Times New Roman"/>
          <w:color w:val="000000" w:themeColor="text1"/>
        </w:rPr>
        <w:t xml:space="preserve">, in </w:t>
      </w:r>
      <w:r w:rsidR="00AB7D86" w:rsidRPr="009A7B47">
        <w:rPr>
          <w:rFonts w:eastAsia="Times New Roman"/>
          <w:color w:val="000000" w:themeColor="text1"/>
        </w:rPr>
        <w:t>contrasts</w:t>
      </w:r>
      <w:r w:rsidR="00AB7D86" w:rsidRPr="00B36DCD">
        <w:rPr>
          <w:rFonts w:eastAsia="Times New Roman"/>
          <w:color w:val="000000" w:themeColor="text1"/>
        </w:rPr>
        <w:t xml:space="preserve"> </w:t>
      </w:r>
      <w:r w:rsidR="00AB7D86">
        <w:rPr>
          <w:rFonts w:eastAsia="Times New Roman"/>
          <w:color w:val="000000" w:themeColor="text1"/>
        </w:rPr>
        <w:t>to</w:t>
      </w:r>
      <w:r w:rsidR="00A41434">
        <w:rPr>
          <w:rFonts w:eastAsia="Times New Roman"/>
          <w:color w:val="000000" w:themeColor="text1"/>
        </w:rPr>
        <w:t xml:space="preserve"> cost-effectiveness analysis </w:t>
      </w:r>
      <w:r w:rsidRPr="00F50475">
        <w:rPr>
          <w:rFonts w:eastAsia="Times New Roman"/>
          <w:color w:val="000000" w:themeColor="text1"/>
        </w:rPr>
        <w:t>(</w:t>
      </w:r>
      <w:r>
        <w:rPr>
          <w:rFonts w:eastAsia="Times New Roman"/>
          <w:color w:val="000000" w:themeColor="text1"/>
        </w:rPr>
        <w:t xml:space="preserve">Chalk et al., 20123 and </w:t>
      </w:r>
      <w:r w:rsidRPr="00F50475">
        <w:rPr>
          <w:rFonts w:eastAsia="Times New Roman"/>
          <w:color w:val="000000" w:themeColor="text1"/>
        </w:rPr>
        <w:t>Drummond et al., 1997). As a result, the dollar value of the benefits of</w:t>
      </w:r>
      <w:r>
        <w:rPr>
          <w:rFonts w:eastAsia="Times New Roman"/>
          <w:color w:val="000000" w:themeColor="text1"/>
        </w:rPr>
        <w:t xml:space="preserve"> </w:t>
      </w:r>
      <w:r w:rsidRPr="00F50475">
        <w:rPr>
          <w:rFonts w:eastAsia="Times New Roman"/>
          <w:color w:val="000000" w:themeColor="text1"/>
        </w:rPr>
        <w:t>the intervention can be directly compared with the dollar value of the intervention’s costs. Two</w:t>
      </w:r>
      <w:r>
        <w:rPr>
          <w:rFonts w:eastAsia="Times New Roman"/>
          <w:color w:val="000000" w:themeColor="text1"/>
        </w:rPr>
        <w:t xml:space="preserve"> </w:t>
      </w:r>
      <w:r w:rsidRPr="00F50475">
        <w:rPr>
          <w:rFonts w:eastAsia="Times New Roman"/>
          <w:color w:val="000000" w:themeColor="text1"/>
        </w:rPr>
        <w:t>common methods for comparing benefits and costs include calculating net benefits (costs are</w:t>
      </w:r>
      <w:r>
        <w:rPr>
          <w:rFonts w:eastAsia="Times New Roman"/>
          <w:color w:val="000000" w:themeColor="text1"/>
        </w:rPr>
        <w:t xml:space="preserve"> </w:t>
      </w:r>
      <w:r w:rsidRPr="00F50475">
        <w:rPr>
          <w:rFonts w:eastAsia="Times New Roman"/>
          <w:color w:val="000000" w:themeColor="text1"/>
        </w:rPr>
        <w:t>subtracted from benefits) and benefit-cost ratios (benefits are expressed as a percent of</w:t>
      </w:r>
      <w:r>
        <w:rPr>
          <w:rFonts w:eastAsia="Times New Roman"/>
          <w:color w:val="000000" w:themeColor="text1"/>
        </w:rPr>
        <w:t xml:space="preserve"> </w:t>
      </w:r>
      <w:r w:rsidRPr="00F50475">
        <w:rPr>
          <w:rFonts w:eastAsia="Times New Roman"/>
          <w:color w:val="000000" w:themeColor="text1"/>
        </w:rPr>
        <w:t>program costs). A related type of analysis is the cost-offset analysis in which future costs or</w:t>
      </w:r>
      <w:r>
        <w:rPr>
          <w:rFonts w:eastAsia="Times New Roman"/>
          <w:color w:val="000000" w:themeColor="text1"/>
        </w:rPr>
        <w:t xml:space="preserve"> </w:t>
      </w:r>
      <w:r w:rsidRPr="00F50475">
        <w:rPr>
          <w:rFonts w:eastAsia="Times New Roman"/>
          <w:color w:val="000000" w:themeColor="text1"/>
        </w:rPr>
        <w:t>cost-savings are examined. Because cost-benefit analyses combine multiple outcomes into a</w:t>
      </w:r>
      <w:r>
        <w:rPr>
          <w:rFonts w:eastAsia="Times New Roman"/>
          <w:color w:val="000000" w:themeColor="text1"/>
        </w:rPr>
        <w:t xml:space="preserve"> </w:t>
      </w:r>
      <w:r w:rsidRPr="00F50475">
        <w:rPr>
          <w:rFonts w:eastAsia="Times New Roman"/>
          <w:color w:val="000000" w:themeColor="text1"/>
        </w:rPr>
        <w:t>single measure and allow direct comparison of costs to benefits, they often provide clearer</w:t>
      </w:r>
      <w:r>
        <w:rPr>
          <w:rFonts w:eastAsia="Times New Roman"/>
          <w:color w:val="000000" w:themeColor="text1"/>
        </w:rPr>
        <w:t xml:space="preserve"> </w:t>
      </w:r>
      <w:r w:rsidRPr="00F50475">
        <w:rPr>
          <w:rFonts w:eastAsia="Times New Roman"/>
          <w:color w:val="000000" w:themeColor="text1"/>
        </w:rPr>
        <w:t>guidance than cost-effectiveness analyses on which treatment programs should be adopted -namely, those programs whose benefits exceed their costs. Cost-effectiveness analyses can</w:t>
      </w:r>
      <w:r>
        <w:rPr>
          <w:rFonts w:eastAsia="Times New Roman"/>
          <w:color w:val="000000" w:themeColor="text1"/>
        </w:rPr>
        <w:t xml:space="preserve"> </w:t>
      </w:r>
      <w:r w:rsidRPr="00F50475">
        <w:rPr>
          <w:rFonts w:eastAsia="Times New Roman"/>
          <w:color w:val="000000" w:themeColor="text1"/>
        </w:rPr>
        <w:t>provide a ranking of competing alternatives but not information on the extrinsic value any single</w:t>
      </w:r>
      <w:r>
        <w:rPr>
          <w:rFonts w:eastAsia="Times New Roman"/>
          <w:color w:val="000000" w:themeColor="text1"/>
        </w:rPr>
        <w:t xml:space="preserve"> </w:t>
      </w:r>
      <w:r w:rsidRPr="00F50475">
        <w:rPr>
          <w:rFonts w:eastAsia="Times New Roman"/>
          <w:color w:val="000000" w:themeColor="text1"/>
        </w:rPr>
        <w:t>intervention independent of the alternatives (Bray &amp; Zarkin, 2006).</w:t>
      </w:r>
    </w:p>
    <w:p w:rsidR="009C2A62" w:rsidRDefault="009C2A62" w:rsidP="00AB7D86">
      <w:pPr>
        <w:spacing w:before="120" w:after="120"/>
        <w:jc w:val="both"/>
        <w:rPr>
          <w:rFonts w:eastAsia="Times New Roman"/>
          <w:color w:val="000000" w:themeColor="text1"/>
        </w:rPr>
      </w:pPr>
      <w:r w:rsidRPr="0022294B">
        <w:rPr>
          <w:rFonts w:asciiTheme="minorHAnsi" w:eastAsiaTheme="majorEastAsia" w:hAnsiTheme="minorHAnsi"/>
          <w:b/>
        </w:rPr>
        <w:t xml:space="preserve">General government </w:t>
      </w:r>
      <w:r>
        <w:rPr>
          <w:rFonts w:eastAsia="Times New Roman"/>
          <w:color w:val="000000" w:themeColor="text1"/>
        </w:rPr>
        <w:t>comprises</w:t>
      </w:r>
      <w:r w:rsidRPr="00CF5A58">
        <w:rPr>
          <w:rFonts w:eastAsia="Times New Roman"/>
          <w:color w:val="000000" w:themeColor="text1"/>
        </w:rPr>
        <w:t xml:space="preserve"> </w:t>
      </w:r>
      <w:r>
        <w:rPr>
          <w:rFonts w:eastAsia="Times New Roman"/>
          <w:color w:val="000000" w:themeColor="text1"/>
        </w:rPr>
        <w:t>the</w:t>
      </w:r>
      <w:r w:rsidRPr="00CF5A58">
        <w:rPr>
          <w:rFonts w:eastAsia="Times New Roman"/>
          <w:color w:val="000000" w:themeColor="text1"/>
        </w:rPr>
        <w:t xml:space="preserve"> central</w:t>
      </w:r>
      <w:r>
        <w:rPr>
          <w:rFonts w:eastAsia="Times New Roman"/>
          <w:color w:val="000000" w:themeColor="text1"/>
        </w:rPr>
        <w:t xml:space="preserve"> government</w:t>
      </w:r>
      <w:r w:rsidRPr="00CF5A58">
        <w:rPr>
          <w:rFonts w:eastAsia="Times New Roman"/>
          <w:color w:val="000000" w:themeColor="text1"/>
        </w:rPr>
        <w:t xml:space="preserve">, </w:t>
      </w:r>
      <w:r>
        <w:rPr>
          <w:rFonts w:eastAsia="Times New Roman"/>
          <w:color w:val="000000" w:themeColor="text1"/>
        </w:rPr>
        <w:t>state government (in some countries it applies to the federal level of government), local and</w:t>
      </w:r>
      <w:r w:rsidRPr="00CF5A58">
        <w:rPr>
          <w:rFonts w:eastAsia="Times New Roman"/>
          <w:color w:val="000000" w:themeColor="text1"/>
        </w:rPr>
        <w:t xml:space="preserve"> social security</w:t>
      </w:r>
      <w:r>
        <w:rPr>
          <w:rFonts w:eastAsia="Times New Roman"/>
          <w:color w:val="000000" w:themeColor="text1"/>
        </w:rPr>
        <w:t xml:space="preserve"> funds (Eurostat, 2011)</w:t>
      </w:r>
      <w:r w:rsidRPr="00CF5A58">
        <w:rPr>
          <w:rFonts w:eastAsia="Times New Roman"/>
          <w:color w:val="000000" w:themeColor="text1"/>
        </w:rPr>
        <w:t xml:space="preserve">. </w:t>
      </w:r>
    </w:p>
    <w:p w:rsidR="009C2A62" w:rsidRDefault="009C2A62" w:rsidP="00AB7D86">
      <w:pPr>
        <w:jc w:val="both"/>
      </w:pPr>
      <w:r w:rsidRPr="0022294B">
        <w:rPr>
          <w:rFonts w:asciiTheme="minorHAnsi" w:eastAsiaTheme="majorEastAsia" w:hAnsiTheme="minorHAnsi"/>
          <w:b/>
        </w:rPr>
        <w:t xml:space="preserve">Government expenditure </w:t>
      </w:r>
      <w:r w:rsidRPr="00AD3D89">
        <w:rPr>
          <w:rFonts w:eastAsia="Times New Roman"/>
          <w:color w:val="000000" w:themeColor="text1"/>
        </w:rPr>
        <w:t>is defined as a particular set of transactions</w:t>
      </w:r>
      <w:r>
        <w:rPr>
          <w:rFonts w:eastAsia="Times New Roman"/>
          <w:color w:val="000000" w:themeColor="text1"/>
        </w:rPr>
        <w:t xml:space="preserve">, comprising the expending </w:t>
      </w:r>
      <w:r w:rsidRPr="00AD3D89">
        <w:rPr>
          <w:rFonts w:eastAsia="Times New Roman"/>
          <w:color w:val="000000" w:themeColor="text1"/>
        </w:rPr>
        <w:t xml:space="preserve">undertaken by </w:t>
      </w:r>
      <w:r>
        <w:rPr>
          <w:rFonts w:eastAsia="Times New Roman"/>
          <w:color w:val="000000" w:themeColor="text1"/>
        </w:rPr>
        <w:t xml:space="preserve">the </w:t>
      </w:r>
      <w:r w:rsidRPr="00AD3D89">
        <w:rPr>
          <w:rFonts w:eastAsia="Times New Roman"/>
          <w:color w:val="000000" w:themeColor="text1"/>
        </w:rPr>
        <w:t xml:space="preserve">units </w:t>
      </w:r>
      <w:r>
        <w:rPr>
          <w:rFonts w:eastAsia="Times New Roman"/>
          <w:color w:val="000000" w:themeColor="text1"/>
        </w:rPr>
        <w:t>of</w:t>
      </w:r>
      <w:r w:rsidRPr="00AD3D89">
        <w:rPr>
          <w:rFonts w:eastAsia="Times New Roman"/>
          <w:color w:val="000000" w:themeColor="text1"/>
        </w:rPr>
        <w:t xml:space="preserve"> the general government sector</w:t>
      </w:r>
      <w:r>
        <w:rPr>
          <w:rFonts w:eastAsia="Times New Roman"/>
          <w:color w:val="000000" w:themeColor="text1"/>
        </w:rPr>
        <w:t xml:space="preserve"> (Eurostat, 2011)</w:t>
      </w:r>
      <w:r>
        <w:rPr>
          <w:rFonts w:ascii="Times" w:hAnsi="Times" w:cs="Times"/>
          <w:sz w:val="20"/>
          <w:szCs w:val="20"/>
        </w:rPr>
        <w:t xml:space="preserve">. </w:t>
      </w:r>
    </w:p>
    <w:p w:rsidR="009C2A62" w:rsidRPr="0022294B" w:rsidRDefault="009C2A62" w:rsidP="00AB7D86">
      <w:pPr>
        <w:jc w:val="both"/>
        <w:rPr>
          <w:rFonts w:eastAsia="Times New Roman"/>
          <w:color w:val="000000" w:themeColor="text1"/>
        </w:rPr>
      </w:pPr>
      <w:r w:rsidRPr="0022294B">
        <w:rPr>
          <w:rFonts w:asciiTheme="minorHAnsi" w:eastAsiaTheme="majorEastAsia" w:hAnsiTheme="minorHAnsi"/>
          <w:b/>
        </w:rPr>
        <w:t xml:space="preserve">Economic evaluation </w:t>
      </w:r>
      <w:r w:rsidRPr="0022294B">
        <w:rPr>
          <w:rFonts w:eastAsia="Times New Roman"/>
          <w:color w:val="000000" w:themeColor="text1"/>
        </w:rPr>
        <w:t>is a comparative</w:t>
      </w:r>
      <w:r>
        <w:rPr>
          <w:rFonts w:ascii="Futura-Book" w:hAnsi="Futura-Book" w:cs="Futura-Book"/>
          <w:color w:val="000000"/>
          <w:sz w:val="18"/>
          <w:szCs w:val="18"/>
        </w:rPr>
        <w:t xml:space="preserve"> </w:t>
      </w:r>
      <w:r w:rsidRPr="0022294B">
        <w:rPr>
          <w:rFonts w:eastAsia="Times New Roman"/>
          <w:color w:val="000000" w:themeColor="text1"/>
        </w:rPr>
        <w:t>analysis of alternative actions in terms of both their costs and consequences</w:t>
      </w:r>
      <w:r>
        <w:rPr>
          <w:rFonts w:eastAsia="Times New Roman"/>
          <w:color w:val="000000" w:themeColor="text1"/>
        </w:rPr>
        <w:t xml:space="preserve"> (Drummond et al., 1997</w:t>
      </w:r>
      <w:r w:rsidR="00256685">
        <w:rPr>
          <w:rFonts w:eastAsia="Times New Roman"/>
          <w:color w:val="000000" w:themeColor="text1"/>
        </w:rPr>
        <w:t>)</w:t>
      </w:r>
      <w:r w:rsidRPr="0022294B">
        <w:rPr>
          <w:rFonts w:eastAsia="Times New Roman"/>
          <w:color w:val="000000" w:themeColor="text1"/>
        </w:rPr>
        <w:t>.</w:t>
      </w:r>
    </w:p>
    <w:p w:rsidR="00F74774" w:rsidRPr="0022294B" w:rsidRDefault="00F74774" w:rsidP="00AB7D86">
      <w:pPr>
        <w:jc w:val="both"/>
        <w:rPr>
          <w:rFonts w:eastAsia="Times New Roman"/>
          <w:color w:val="000000" w:themeColor="text1"/>
        </w:rPr>
      </w:pPr>
      <w:r w:rsidRPr="0022294B">
        <w:rPr>
          <w:rFonts w:asciiTheme="minorHAnsi" w:eastAsiaTheme="majorEastAsia" w:hAnsiTheme="minorHAnsi"/>
          <w:b/>
        </w:rPr>
        <w:t xml:space="preserve">Labelled drug-related expenditure </w:t>
      </w:r>
      <w:r w:rsidRPr="0022294B">
        <w:rPr>
          <w:rFonts w:eastAsia="Times New Roman"/>
          <w:color w:val="000000" w:themeColor="text1"/>
        </w:rPr>
        <w:t xml:space="preserve">is the ex-ante planned public expenditure made by general government in the budget that reflects the public and voluntary commitment of a country in the field of drugs. </w:t>
      </w:r>
      <w:r>
        <w:rPr>
          <w:rFonts w:eastAsia="Times New Roman"/>
          <w:color w:val="000000" w:themeColor="text1"/>
        </w:rPr>
        <w:t>Further, is any expenditure identified as drug-related in public accountancy documents (EMCDDA, 2008).</w:t>
      </w:r>
    </w:p>
    <w:p w:rsidR="001D2C49" w:rsidRPr="001D2C49" w:rsidRDefault="001D2C49" w:rsidP="00AB7D86">
      <w:pPr>
        <w:pStyle w:val="Pa16"/>
        <w:spacing w:before="100" w:after="120" w:line="276" w:lineRule="auto"/>
        <w:jc w:val="both"/>
        <w:rPr>
          <w:rFonts w:asciiTheme="minorHAnsi" w:eastAsia="Times New Roman" w:hAnsiTheme="minorHAnsi" w:cs="Times New Roman"/>
          <w:color w:val="000000" w:themeColor="text1"/>
          <w:sz w:val="22"/>
          <w:szCs w:val="22"/>
        </w:rPr>
      </w:pPr>
      <w:r w:rsidRPr="009A7B47">
        <w:rPr>
          <w:rFonts w:asciiTheme="minorHAnsi" w:eastAsiaTheme="majorEastAsia" w:hAnsiTheme="minorHAnsi" w:cs="Times New Roman"/>
          <w:b/>
          <w:sz w:val="22"/>
          <w:szCs w:val="22"/>
        </w:rPr>
        <w:t>Public expenditure</w:t>
      </w:r>
      <w:r w:rsidRPr="009A7B47">
        <w:rPr>
          <w:rFonts w:asciiTheme="minorHAnsi" w:eastAsiaTheme="majorEastAsia" w:hAnsiTheme="minorHAnsi" w:cstheme="majorBidi"/>
          <w:b/>
          <w:bCs/>
          <w:color w:val="4F81BD" w:themeColor="accent1"/>
          <w:sz w:val="22"/>
          <w:szCs w:val="22"/>
          <w:lang w:val="en-US"/>
        </w:rPr>
        <w:t xml:space="preserve"> </w:t>
      </w:r>
      <w:r w:rsidRPr="001D2C49">
        <w:rPr>
          <w:rFonts w:asciiTheme="minorHAnsi" w:eastAsia="Times New Roman" w:hAnsiTheme="minorHAnsi" w:cs="Times New Roman"/>
          <w:color w:val="000000" w:themeColor="text1"/>
          <w:sz w:val="22"/>
          <w:szCs w:val="22"/>
        </w:rPr>
        <w:t>is the value of goods and services purchased by the general government of a state in order to perform each of its functions. The functions of governments are, among others, the provision of health care, justice, public order, education and social protection. Public expenditure studies are important because they provide information about the size and the composition of costs of public programmes and interventions</w:t>
      </w:r>
      <w:r>
        <w:rPr>
          <w:rFonts w:asciiTheme="minorHAnsi" w:eastAsia="Times New Roman" w:hAnsiTheme="minorHAnsi" w:cs="Times New Roman"/>
          <w:color w:val="000000" w:themeColor="text1"/>
          <w:sz w:val="22"/>
          <w:szCs w:val="22"/>
        </w:rPr>
        <w:t xml:space="preserve"> (Eurostat, 2011)</w:t>
      </w:r>
      <w:r w:rsidRPr="001D2C49">
        <w:rPr>
          <w:rFonts w:asciiTheme="minorHAnsi" w:eastAsia="Times New Roman" w:hAnsiTheme="minorHAnsi" w:cs="Times New Roman"/>
          <w:color w:val="000000" w:themeColor="text1"/>
          <w:sz w:val="22"/>
          <w:szCs w:val="22"/>
        </w:rPr>
        <w:t xml:space="preserve">. </w:t>
      </w:r>
    </w:p>
    <w:p w:rsidR="001D2C49" w:rsidRPr="003272B5" w:rsidRDefault="001D2C49" w:rsidP="00AB7D86">
      <w:pPr>
        <w:jc w:val="both"/>
        <w:rPr>
          <w:rFonts w:asciiTheme="minorHAnsi" w:eastAsia="Times New Roman" w:hAnsiTheme="minorHAnsi"/>
          <w:color w:val="000000" w:themeColor="text1"/>
        </w:rPr>
      </w:pPr>
      <w:r w:rsidRPr="009A7B47">
        <w:rPr>
          <w:rFonts w:asciiTheme="minorHAnsi" w:eastAsiaTheme="majorEastAsia" w:hAnsiTheme="minorHAnsi"/>
          <w:b/>
        </w:rPr>
        <w:t xml:space="preserve">Social costs </w:t>
      </w:r>
      <w:r w:rsidR="009C1CF9">
        <w:rPr>
          <w:rFonts w:asciiTheme="minorHAnsi" w:eastAsiaTheme="majorEastAsia" w:hAnsiTheme="minorHAnsi"/>
          <w:b/>
        </w:rPr>
        <w:t xml:space="preserve">of illegal drugs </w:t>
      </w:r>
      <w:r w:rsidRPr="009A7B47">
        <w:rPr>
          <w:rFonts w:asciiTheme="minorHAnsi" w:eastAsiaTheme="majorEastAsia" w:hAnsiTheme="minorHAnsi"/>
        </w:rPr>
        <w:t xml:space="preserve">comprise all costs </w:t>
      </w:r>
      <w:r w:rsidR="00A41434">
        <w:rPr>
          <w:rFonts w:asciiTheme="minorHAnsi" w:eastAsiaTheme="majorEastAsia" w:hAnsiTheme="minorHAnsi"/>
        </w:rPr>
        <w:t>carried</w:t>
      </w:r>
      <w:r w:rsidRPr="009A7B47">
        <w:rPr>
          <w:rFonts w:asciiTheme="minorHAnsi" w:eastAsiaTheme="majorEastAsia" w:hAnsiTheme="minorHAnsi"/>
        </w:rPr>
        <w:t xml:space="preserve"> by</w:t>
      </w:r>
      <w:r w:rsidRPr="009A7B47">
        <w:rPr>
          <w:rFonts w:asciiTheme="minorHAnsi" w:eastAsiaTheme="majorEastAsia" w:hAnsiTheme="minorHAnsi"/>
          <w:b/>
        </w:rPr>
        <w:t xml:space="preserve"> </w:t>
      </w:r>
      <w:r w:rsidRPr="009A7B47">
        <w:rPr>
          <w:rFonts w:asciiTheme="minorHAnsi" w:eastAsiaTheme="majorEastAsia" w:hAnsiTheme="minorHAnsi"/>
        </w:rPr>
        <w:t xml:space="preserve">the different sectors of </w:t>
      </w:r>
      <w:r>
        <w:rPr>
          <w:rFonts w:asciiTheme="minorHAnsi" w:eastAsiaTheme="majorEastAsia" w:hAnsiTheme="minorHAnsi"/>
        </w:rPr>
        <w:t>the society as a consequence of the illicit drug phenomena. P</w:t>
      </w:r>
      <w:r w:rsidRPr="003272B5">
        <w:rPr>
          <w:rFonts w:asciiTheme="minorHAnsi" w:eastAsia="Times New Roman" w:hAnsiTheme="minorHAnsi"/>
          <w:color w:val="000000" w:themeColor="text1"/>
        </w:rPr>
        <w:t xml:space="preserve">ublic </w:t>
      </w:r>
      <w:r>
        <w:rPr>
          <w:rFonts w:asciiTheme="minorHAnsi" w:eastAsia="Times New Roman" w:hAnsiTheme="minorHAnsi"/>
          <w:color w:val="000000" w:themeColor="text1"/>
        </w:rPr>
        <w:t xml:space="preserve">expenditure is </w:t>
      </w:r>
      <w:r w:rsidR="00672A0C">
        <w:rPr>
          <w:rFonts w:asciiTheme="minorHAnsi" w:eastAsia="Times New Roman" w:hAnsiTheme="minorHAnsi"/>
          <w:color w:val="000000" w:themeColor="text1"/>
        </w:rPr>
        <w:t xml:space="preserve">only </w:t>
      </w:r>
      <w:r>
        <w:rPr>
          <w:rFonts w:asciiTheme="minorHAnsi" w:eastAsia="Times New Roman" w:hAnsiTheme="minorHAnsi"/>
          <w:color w:val="000000" w:themeColor="text1"/>
        </w:rPr>
        <w:t>one</w:t>
      </w:r>
      <w:r w:rsidR="00672A0C">
        <w:rPr>
          <w:rFonts w:asciiTheme="minorHAnsi" w:eastAsia="Times New Roman" w:hAnsiTheme="minorHAnsi"/>
          <w:color w:val="000000" w:themeColor="text1"/>
        </w:rPr>
        <w:t xml:space="preserve"> of the cost elements here</w:t>
      </w:r>
      <w:r>
        <w:rPr>
          <w:rFonts w:asciiTheme="minorHAnsi" w:eastAsia="Times New Roman" w:hAnsiTheme="minorHAnsi"/>
          <w:color w:val="000000" w:themeColor="text1"/>
        </w:rPr>
        <w:t xml:space="preserve">.  </w:t>
      </w:r>
      <w:r w:rsidR="00A41434">
        <w:rPr>
          <w:rFonts w:asciiTheme="minorHAnsi" w:eastAsia="Times New Roman" w:hAnsiTheme="minorHAnsi"/>
          <w:color w:val="000000" w:themeColor="text1"/>
        </w:rPr>
        <w:t xml:space="preserve">Social cost is the </w:t>
      </w:r>
      <w:r>
        <w:rPr>
          <w:rFonts w:asciiTheme="minorHAnsi" w:eastAsia="Times New Roman" w:hAnsiTheme="minorHAnsi"/>
          <w:color w:val="000000" w:themeColor="text1"/>
        </w:rPr>
        <w:t>sum of public expenditure</w:t>
      </w:r>
      <w:r w:rsidR="00A41434">
        <w:rPr>
          <w:rFonts w:asciiTheme="minorHAnsi" w:eastAsia="Times New Roman" w:hAnsiTheme="minorHAnsi"/>
          <w:color w:val="000000" w:themeColor="text1"/>
        </w:rPr>
        <w:t>, private</w:t>
      </w:r>
      <w:r>
        <w:rPr>
          <w:rFonts w:asciiTheme="minorHAnsi" w:eastAsia="Times New Roman" w:hAnsiTheme="minorHAnsi"/>
          <w:color w:val="000000" w:themeColor="text1"/>
        </w:rPr>
        <w:t xml:space="preserve"> expenditure and the external costs. Private expenditure </w:t>
      </w:r>
      <w:r w:rsidR="00A41434">
        <w:rPr>
          <w:rFonts w:asciiTheme="minorHAnsi" w:eastAsia="Times New Roman" w:hAnsiTheme="minorHAnsi"/>
          <w:color w:val="000000" w:themeColor="text1"/>
        </w:rPr>
        <w:t>constitutes,</w:t>
      </w:r>
      <w:r>
        <w:rPr>
          <w:rFonts w:asciiTheme="minorHAnsi" w:eastAsia="Times New Roman" w:hAnsiTheme="minorHAnsi"/>
          <w:color w:val="000000" w:themeColor="text1"/>
        </w:rPr>
        <w:t xml:space="preserve"> for instance, the money spent by private citizens </w:t>
      </w:r>
      <w:r w:rsidR="00207CEF">
        <w:rPr>
          <w:rFonts w:asciiTheme="minorHAnsi" w:eastAsia="Times New Roman" w:hAnsiTheme="minorHAnsi"/>
          <w:color w:val="000000" w:themeColor="text1"/>
        </w:rPr>
        <w:t>to purchase illicit drugs</w:t>
      </w:r>
      <w:r w:rsidR="00DA454C">
        <w:rPr>
          <w:rFonts w:asciiTheme="minorHAnsi" w:eastAsia="Times New Roman" w:hAnsiTheme="minorHAnsi"/>
          <w:color w:val="000000" w:themeColor="text1"/>
        </w:rPr>
        <w:t xml:space="preserve">. </w:t>
      </w:r>
      <w:r>
        <w:rPr>
          <w:rFonts w:asciiTheme="minorHAnsi" w:eastAsia="Times New Roman" w:hAnsiTheme="minorHAnsi"/>
          <w:color w:val="000000" w:themeColor="text1"/>
        </w:rPr>
        <w:t xml:space="preserve">External costs </w:t>
      </w:r>
      <w:r w:rsidR="00AA241C">
        <w:rPr>
          <w:rFonts w:asciiTheme="minorHAnsi" w:eastAsia="Times New Roman" w:hAnsiTheme="minorHAnsi"/>
          <w:color w:val="000000" w:themeColor="text1"/>
        </w:rPr>
        <w:t>comprice</w:t>
      </w:r>
      <w:r w:rsidR="009C1CF9">
        <w:rPr>
          <w:rFonts w:asciiTheme="minorHAnsi" w:eastAsia="Times New Roman" w:hAnsiTheme="minorHAnsi"/>
          <w:color w:val="000000" w:themeColor="text1"/>
        </w:rPr>
        <w:t xml:space="preserve"> the</w:t>
      </w:r>
      <w:r>
        <w:rPr>
          <w:rFonts w:asciiTheme="minorHAnsi" w:eastAsia="Times New Roman" w:hAnsiTheme="minorHAnsi"/>
          <w:color w:val="000000" w:themeColor="text1"/>
        </w:rPr>
        <w:t xml:space="preserve"> </w:t>
      </w:r>
      <w:r w:rsidR="009C1CF9">
        <w:rPr>
          <w:rFonts w:asciiTheme="minorHAnsi" w:eastAsia="Times New Roman" w:hAnsiTheme="minorHAnsi"/>
          <w:color w:val="000000" w:themeColor="text1"/>
        </w:rPr>
        <w:t>costs</w:t>
      </w:r>
      <w:r>
        <w:rPr>
          <w:rFonts w:asciiTheme="minorHAnsi" w:eastAsia="Times New Roman" w:hAnsiTheme="minorHAnsi"/>
          <w:color w:val="000000" w:themeColor="text1"/>
        </w:rPr>
        <w:t xml:space="preserve"> </w:t>
      </w:r>
      <w:r w:rsidR="009C1CF9">
        <w:rPr>
          <w:rFonts w:asciiTheme="minorHAnsi" w:eastAsia="Times New Roman" w:hAnsiTheme="minorHAnsi"/>
          <w:color w:val="000000" w:themeColor="text1"/>
        </w:rPr>
        <w:t>caused by</w:t>
      </w:r>
      <w:r>
        <w:rPr>
          <w:rFonts w:asciiTheme="minorHAnsi" w:eastAsia="Times New Roman" w:hAnsiTheme="minorHAnsi"/>
          <w:color w:val="000000" w:themeColor="text1"/>
        </w:rPr>
        <w:t xml:space="preserve"> the consequences of drug use, </w:t>
      </w:r>
      <w:r w:rsidR="00672A0C">
        <w:rPr>
          <w:rFonts w:asciiTheme="minorHAnsi" w:eastAsia="Times New Roman" w:hAnsiTheme="minorHAnsi"/>
          <w:color w:val="000000" w:themeColor="text1"/>
        </w:rPr>
        <w:t>carried</w:t>
      </w:r>
      <w:r>
        <w:rPr>
          <w:rFonts w:asciiTheme="minorHAnsi" w:eastAsia="Times New Roman" w:hAnsiTheme="minorHAnsi"/>
          <w:color w:val="000000" w:themeColor="text1"/>
        </w:rPr>
        <w:t xml:space="preserve"> by</w:t>
      </w:r>
      <w:r w:rsidR="009C1CF9">
        <w:rPr>
          <w:rFonts w:asciiTheme="minorHAnsi" w:eastAsia="Times New Roman" w:hAnsiTheme="minorHAnsi"/>
          <w:color w:val="000000" w:themeColor="text1"/>
        </w:rPr>
        <w:t xml:space="preserve"> any</w:t>
      </w:r>
      <w:r>
        <w:rPr>
          <w:rFonts w:asciiTheme="minorHAnsi" w:eastAsia="Times New Roman" w:hAnsiTheme="minorHAnsi"/>
          <w:color w:val="000000" w:themeColor="text1"/>
        </w:rPr>
        <w:t xml:space="preserve"> agent in society, </w:t>
      </w:r>
      <w:r w:rsidR="00AA241C">
        <w:rPr>
          <w:rFonts w:asciiTheme="minorHAnsi" w:eastAsia="Times New Roman" w:hAnsiTheme="minorHAnsi"/>
          <w:color w:val="000000" w:themeColor="text1"/>
        </w:rPr>
        <w:t>oncluding</w:t>
      </w:r>
      <w:r>
        <w:rPr>
          <w:rFonts w:asciiTheme="minorHAnsi" w:eastAsia="Times New Roman" w:hAnsiTheme="minorHAnsi"/>
          <w:color w:val="000000" w:themeColor="text1"/>
        </w:rPr>
        <w:t xml:space="preserve"> those who do not necessarily use drugs </w:t>
      </w:r>
      <w:r w:rsidR="009C1CF9">
        <w:rPr>
          <w:rFonts w:asciiTheme="minorHAnsi" w:eastAsia="Times New Roman" w:hAnsiTheme="minorHAnsi"/>
          <w:color w:val="000000" w:themeColor="text1"/>
        </w:rPr>
        <w:t>or are</w:t>
      </w:r>
      <w:r>
        <w:rPr>
          <w:rFonts w:asciiTheme="minorHAnsi" w:eastAsia="Times New Roman" w:hAnsiTheme="minorHAnsi"/>
          <w:color w:val="000000" w:themeColor="text1"/>
        </w:rPr>
        <w:t xml:space="preserve"> involved in drug demand, supply or drug policy. For instance, external costs is the  expenditure on drug-related nuisance, expenditure on tackling offences committed under the influence of drugs, losses of productivity or absenteeism associated either to drug trafficking or dealing activities, among others</w:t>
      </w:r>
      <w:r w:rsidR="00FF0F9C">
        <w:rPr>
          <w:rFonts w:asciiTheme="minorHAnsi" w:eastAsia="Times New Roman" w:hAnsiTheme="minorHAnsi"/>
          <w:color w:val="000000" w:themeColor="text1"/>
        </w:rPr>
        <w:t xml:space="preserve"> (Single et al., 2003)</w:t>
      </w:r>
      <w:r>
        <w:rPr>
          <w:rFonts w:asciiTheme="minorHAnsi" w:eastAsia="Times New Roman" w:hAnsiTheme="minorHAnsi"/>
          <w:color w:val="000000" w:themeColor="text1"/>
        </w:rPr>
        <w:t>.</w:t>
      </w:r>
    </w:p>
    <w:p w:rsidR="00FE0275" w:rsidRPr="00CF5A58" w:rsidRDefault="00FE0275" w:rsidP="00AB7D86">
      <w:pPr>
        <w:pStyle w:val="Pa16"/>
        <w:spacing w:before="100" w:line="271" w:lineRule="auto"/>
        <w:jc w:val="both"/>
        <w:rPr>
          <w:rFonts w:asciiTheme="minorHAnsi" w:eastAsia="Times New Roman" w:hAnsiTheme="minorHAnsi" w:cs="Times New Roman"/>
          <w:color w:val="000000" w:themeColor="text1"/>
          <w:sz w:val="22"/>
          <w:szCs w:val="22"/>
        </w:rPr>
      </w:pPr>
      <w:r w:rsidRPr="009A7B47">
        <w:rPr>
          <w:rFonts w:asciiTheme="minorHAnsi" w:eastAsia="Times New Roman" w:hAnsiTheme="minorHAnsi" w:cs="Times New Roman"/>
          <w:b/>
          <w:color w:val="000000" w:themeColor="text1"/>
          <w:sz w:val="22"/>
          <w:szCs w:val="22"/>
        </w:rPr>
        <w:t>Total drug-related public expenditure</w:t>
      </w:r>
      <w:r w:rsidRPr="009A7B47">
        <w:rPr>
          <w:rFonts w:asciiTheme="minorHAnsi" w:eastAsia="Times New Roman" w:hAnsiTheme="minorHAnsi" w:cs="Times New Roman"/>
          <w:color w:val="000000" w:themeColor="text1"/>
          <w:sz w:val="22"/>
          <w:szCs w:val="22"/>
        </w:rPr>
        <w:t xml:space="preserve"> </w:t>
      </w:r>
      <w:r w:rsidRPr="00CF5A58">
        <w:rPr>
          <w:rFonts w:asciiTheme="minorHAnsi" w:eastAsia="Times New Roman" w:hAnsiTheme="minorHAnsi" w:cs="Times New Roman"/>
          <w:color w:val="000000" w:themeColor="text1"/>
          <w:sz w:val="22"/>
          <w:szCs w:val="22"/>
        </w:rPr>
        <w:t>is the sum of the labelled and unlabelled drug-related expenditure</w:t>
      </w:r>
      <w:r>
        <w:rPr>
          <w:rFonts w:asciiTheme="minorHAnsi" w:eastAsia="Times New Roman" w:hAnsiTheme="minorHAnsi" w:cs="Times New Roman"/>
          <w:color w:val="000000" w:themeColor="text1"/>
          <w:sz w:val="22"/>
          <w:szCs w:val="22"/>
        </w:rPr>
        <w:t xml:space="preserve"> (EMCDDA, 2008)</w:t>
      </w:r>
      <w:r w:rsidRPr="00CF5A58">
        <w:rPr>
          <w:rFonts w:asciiTheme="minorHAnsi" w:eastAsia="Times New Roman" w:hAnsiTheme="minorHAnsi" w:cs="Times New Roman"/>
          <w:color w:val="000000" w:themeColor="text1"/>
          <w:sz w:val="22"/>
          <w:szCs w:val="22"/>
        </w:rPr>
        <w:t xml:space="preserve">. </w:t>
      </w:r>
    </w:p>
    <w:p w:rsidR="00FE0275" w:rsidRDefault="00FE0275" w:rsidP="00AB7D86">
      <w:pPr>
        <w:spacing w:before="100" w:line="271" w:lineRule="auto"/>
        <w:jc w:val="both"/>
        <w:rPr>
          <w:rFonts w:eastAsia="Times New Roman"/>
          <w:color w:val="000000" w:themeColor="text1"/>
        </w:rPr>
      </w:pPr>
      <w:r w:rsidRPr="009A7B47">
        <w:rPr>
          <w:rFonts w:asciiTheme="minorHAnsi" w:eastAsia="Times New Roman" w:hAnsiTheme="minorHAnsi"/>
          <w:b/>
          <w:color w:val="000000" w:themeColor="text1"/>
        </w:rPr>
        <w:t>Unlabelled drug-related expenditure</w:t>
      </w:r>
      <w:r>
        <w:rPr>
          <w:rFonts w:ascii="Times New Roman" w:eastAsiaTheme="majorEastAsia" w:hAnsi="Times New Roman"/>
          <w:b/>
          <w:sz w:val="24"/>
          <w:szCs w:val="24"/>
        </w:rPr>
        <w:t xml:space="preserve"> </w:t>
      </w:r>
      <w:r w:rsidRPr="00CF5A58">
        <w:rPr>
          <w:rFonts w:eastAsia="Times New Roman"/>
          <w:color w:val="000000" w:themeColor="text1"/>
        </w:rPr>
        <w:t>is the non-planned or</w:t>
      </w:r>
      <w:r>
        <w:rPr>
          <w:rFonts w:eastAsia="Times New Roman"/>
          <w:color w:val="000000" w:themeColor="text1"/>
        </w:rPr>
        <w:t xml:space="preserve"> non-publicly announced ex-post </w:t>
      </w:r>
      <w:r w:rsidRPr="00CF5A58">
        <w:rPr>
          <w:rFonts w:eastAsia="Times New Roman"/>
          <w:color w:val="000000" w:themeColor="text1"/>
        </w:rPr>
        <w:t>public expenditure incurred by the general government in tackling drugs that is not identified as drug-related in the budget</w:t>
      </w:r>
      <w:r>
        <w:rPr>
          <w:rFonts w:eastAsia="Times New Roman"/>
          <w:color w:val="000000" w:themeColor="text1"/>
        </w:rPr>
        <w:t xml:space="preserve"> (EMCDDA, 2008)</w:t>
      </w:r>
      <w:r w:rsidRPr="00CF5A58">
        <w:rPr>
          <w:rFonts w:eastAsia="Times New Roman"/>
          <w:color w:val="000000" w:themeColor="text1"/>
        </w:rPr>
        <w:t>.</w:t>
      </w:r>
    </w:p>
    <w:p w:rsidR="00FE0275" w:rsidRDefault="00FE0275" w:rsidP="00AB7D86">
      <w:pPr>
        <w:jc w:val="both"/>
        <w:rPr>
          <w:rFonts w:asciiTheme="minorHAnsi" w:hAnsiTheme="minorHAnsi"/>
          <w:b/>
          <w:color w:val="000000" w:themeColor="text1"/>
          <w:sz w:val="28"/>
          <w:szCs w:val="28"/>
          <w:shd w:val="clear" w:color="auto" w:fill="FFFFFF"/>
        </w:rPr>
      </w:pPr>
    </w:p>
    <w:p w:rsidR="009C2A62" w:rsidRPr="009A7B47" w:rsidRDefault="009C2A62" w:rsidP="00AB7D86">
      <w:pPr>
        <w:jc w:val="both"/>
        <w:rPr>
          <w:rFonts w:asciiTheme="minorHAnsi" w:hAnsiTheme="minorHAnsi"/>
          <w:b/>
          <w:color w:val="000000" w:themeColor="text1"/>
          <w:sz w:val="28"/>
          <w:szCs w:val="28"/>
          <w:shd w:val="clear" w:color="auto" w:fill="FFFFFF"/>
        </w:rPr>
      </w:pPr>
    </w:p>
    <w:p w:rsidR="009C2A62" w:rsidRDefault="009C2A62">
      <w:pPr>
        <w:rPr>
          <w:rFonts w:asciiTheme="minorHAnsi" w:hAnsiTheme="minorHAnsi"/>
          <w:sz w:val="24"/>
          <w:szCs w:val="24"/>
        </w:rPr>
      </w:pPr>
      <w:r>
        <w:rPr>
          <w:rFonts w:asciiTheme="minorHAnsi" w:hAnsiTheme="minorHAnsi"/>
          <w:sz w:val="24"/>
          <w:szCs w:val="24"/>
        </w:rPr>
        <w:br w:type="page"/>
      </w:r>
    </w:p>
    <w:p w:rsidR="00265DE2" w:rsidRPr="00BE15B8" w:rsidRDefault="00265DE2" w:rsidP="0052326E">
      <w:pPr>
        <w:pStyle w:val="Listeavsnitt"/>
        <w:rPr>
          <w:rFonts w:asciiTheme="minorHAnsi" w:hAnsiTheme="minorHAnsi"/>
          <w:sz w:val="24"/>
          <w:szCs w:val="24"/>
        </w:rPr>
      </w:pPr>
    </w:p>
    <w:p w:rsidR="00793FAF" w:rsidRPr="00BE15B8" w:rsidRDefault="00314497" w:rsidP="007F7E10">
      <w:pPr>
        <w:pStyle w:val="Listeavsnitt"/>
        <w:spacing w:after="0" w:line="240" w:lineRule="auto"/>
        <w:jc w:val="center"/>
        <w:rPr>
          <w:rFonts w:asciiTheme="minorHAnsi" w:hAnsiTheme="minorHAnsi"/>
          <w:sz w:val="24"/>
          <w:szCs w:val="24"/>
        </w:rPr>
      </w:pPr>
      <w:r w:rsidRPr="00BE15B8">
        <w:rPr>
          <w:rFonts w:asciiTheme="minorHAnsi" w:hAnsiTheme="minorHAnsi"/>
          <w:b/>
          <w:color w:val="000000" w:themeColor="text1"/>
          <w:sz w:val="28"/>
          <w:szCs w:val="28"/>
          <w:shd w:val="clear" w:color="auto" w:fill="FFFFFF"/>
        </w:rPr>
        <w:t>APPENDIX 1</w:t>
      </w:r>
    </w:p>
    <w:p w:rsidR="00314497" w:rsidRPr="00BE15B8" w:rsidRDefault="00314497"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t>Available database</w:t>
      </w:r>
      <w:r w:rsidR="001368F2" w:rsidRPr="00BE15B8">
        <w:rPr>
          <w:rFonts w:asciiTheme="minorHAnsi" w:hAnsiTheme="minorHAnsi"/>
          <w:b/>
          <w:sz w:val="28"/>
          <w:szCs w:val="28"/>
        </w:rPr>
        <w:t>s</w:t>
      </w:r>
      <w:r w:rsidRPr="00BE15B8">
        <w:rPr>
          <w:rFonts w:asciiTheme="minorHAnsi" w:hAnsiTheme="minorHAnsi"/>
          <w:b/>
          <w:sz w:val="28"/>
          <w:szCs w:val="28"/>
        </w:rPr>
        <w:t xml:space="preserve"> and potential ind</w:t>
      </w:r>
      <w:r w:rsidR="008866FB" w:rsidRPr="00BE15B8">
        <w:rPr>
          <w:rFonts w:asciiTheme="minorHAnsi" w:hAnsiTheme="minorHAnsi"/>
          <w:b/>
          <w:sz w:val="28"/>
          <w:szCs w:val="28"/>
        </w:rPr>
        <w:t>icators for drug related p</w:t>
      </w:r>
      <w:r w:rsidRPr="00BE15B8">
        <w:rPr>
          <w:rFonts w:asciiTheme="minorHAnsi" w:hAnsiTheme="minorHAnsi"/>
          <w:b/>
          <w:sz w:val="28"/>
          <w:szCs w:val="28"/>
        </w:rPr>
        <w:t>ublic expend</w:t>
      </w:r>
      <w:r w:rsidR="008866FB" w:rsidRPr="00BE15B8">
        <w:rPr>
          <w:rFonts w:asciiTheme="minorHAnsi" w:hAnsiTheme="minorHAnsi"/>
          <w:b/>
          <w:sz w:val="28"/>
          <w:szCs w:val="28"/>
        </w:rPr>
        <w:t xml:space="preserve">itures </w:t>
      </w:r>
    </w:p>
    <w:p w:rsidR="008866FB" w:rsidRPr="00BE15B8" w:rsidRDefault="008866FB" w:rsidP="008866FB">
      <w:pPr>
        <w:spacing w:after="0" w:line="240" w:lineRule="auto"/>
        <w:jc w:val="both"/>
        <w:rPr>
          <w:rFonts w:asciiTheme="minorHAnsi" w:hAnsiTheme="minorHAnsi"/>
          <w:i/>
        </w:rPr>
      </w:pPr>
    </w:p>
    <w:p w:rsidR="00314497" w:rsidRPr="00BE15B8" w:rsidRDefault="00314497" w:rsidP="00314497">
      <w:pPr>
        <w:rPr>
          <w:rFonts w:asciiTheme="minorHAnsi" w:hAnsiTheme="minorHAnsi"/>
          <w:i/>
        </w:rPr>
      </w:pPr>
      <w:r w:rsidRPr="00BE15B8">
        <w:rPr>
          <w:rFonts w:asciiTheme="minorHAnsi" w:hAnsiTheme="minorHAnsi"/>
          <w:bCs/>
          <w:i/>
        </w:rPr>
        <w:t>Examples</w:t>
      </w:r>
      <w:r w:rsidRPr="00BE15B8">
        <w:rPr>
          <w:rFonts w:asciiTheme="minorHAnsi" w:eastAsiaTheme="minorEastAsia" w:hAnsiTheme="minorHAnsi"/>
          <w:i/>
          <w:color w:val="000000"/>
          <w:lang w:eastAsia="hr-HR"/>
        </w:rPr>
        <w:t xml:space="preserve"> of international and other types of databases, which can be used for</w:t>
      </w:r>
      <w:r w:rsidRPr="00BE15B8">
        <w:rPr>
          <w:rFonts w:asciiTheme="minorHAnsi" w:hAnsiTheme="minorHAnsi"/>
          <w:i/>
        </w:rPr>
        <w:t xml:space="preserve"> estimation of the Public expenditures</w:t>
      </w:r>
    </w:p>
    <w:tbl>
      <w:tblPr>
        <w:tblStyle w:val="Tabellrutenett"/>
        <w:tblW w:w="0" w:type="auto"/>
        <w:tblLook w:val="04A0" w:firstRow="1" w:lastRow="0" w:firstColumn="1" w:lastColumn="0" w:noHBand="0" w:noVBand="1"/>
      </w:tblPr>
      <w:tblGrid>
        <w:gridCol w:w="1683"/>
        <w:gridCol w:w="2440"/>
        <w:gridCol w:w="4939"/>
      </w:tblGrid>
      <w:tr w:rsidR="00314497" w:rsidRPr="00BE15B8" w:rsidTr="00314497">
        <w:tc>
          <w:tcPr>
            <w:tcW w:w="1720" w:type="dxa"/>
            <w:tcBorders>
              <w:bottom w:val="single" w:sz="4" w:space="0" w:color="000000" w:themeColor="text1"/>
            </w:tcBorders>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Level of estimation</w:t>
            </w:r>
          </w:p>
        </w:tc>
        <w:tc>
          <w:tcPr>
            <w:tcW w:w="2574" w:type="dxa"/>
            <w:tcBorders>
              <w:bottom w:val="single" w:sz="4" w:space="0" w:color="000000" w:themeColor="text1"/>
            </w:tcBorders>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Examples of databases</w:t>
            </w:r>
          </w:p>
        </w:tc>
        <w:tc>
          <w:tcPr>
            <w:tcW w:w="4994" w:type="dxa"/>
            <w:shd w:val="clear" w:color="auto" w:fill="C00000"/>
          </w:tcPr>
          <w:p w:rsidR="00314497" w:rsidRPr="00BE15B8" w:rsidRDefault="00314497" w:rsidP="006B65F6">
            <w:pPr>
              <w:jc w:val="center"/>
              <w:rPr>
                <w:rFonts w:asciiTheme="minorHAnsi" w:hAnsiTheme="minorHAnsi"/>
                <w:b/>
              </w:rPr>
            </w:pPr>
            <w:r w:rsidRPr="00BE15B8">
              <w:rPr>
                <w:rFonts w:asciiTheme="minorHAnsi" w:hAnsiTheme="minorHAnsi"/>
                <w:b/>
              </w:rPr>
              <w:t>Data’s of estimation</w:t>
            </w:r>
          </w:p>
        </w:tc>
      </w:tr>
      <w:tr w:rsidR="00E85628" w:rsidRPr="00BE15B8" w:rsidTr="00314497">
        <w:tc>
          <w:tcPr>
            <w:tcW w:w="1720" w:type="dxa"/>
            <w:vMerge w:val="restart"/>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rPr>
              <w:t>International</w:t>
            </w:r>
          </w:p>
        </w:tc>
        <w:tc>
          <w:tcPr>
            <w:tcW w:w="2574" w:type="dxa"/>
            <w:shd w:val="clear" w:color="auto" w:fill="BFBFBF" w:themeFill="background1" w:themeFillShade="BF"/>
          </w:tcPr>
          <w:p w:rsidR="00E85628" w:rsidRPr="00BE15B8" w:rsidRDefault="00E85628" w:rsidP="005179E0">
            <w:pPr>
              <w:rPr>
                <w:rFonts w:asciiTheme="minorHAnsi" w:hAnsiTheme="minorHAnsi"/>
                <w:b/>
              </w:rPr>
            </w:pPr>
            <w:r w:rsidRPr="00BE15B8">
              <w:rPr>
                <w:rFonts w:asciiTheme="minorHAnsi" w:hAnsiTheme="minorHAnsi"/>
                <w:b/>
              </w:rPr>
              <w:t>EMCDDA Statistical bulletin</w:t>
            </w:r>
          </w:p>
          <w:p w:rsidR="00E85628" w:rsidRPr="00BE15B8" w:rsidRDefault="00E85628" w:rsidP="005179E0">
            <w:pPr>
              <w:rPr>
                <w:rFonts w:asciiTheme="minorHAnsi" w:hAnsiTheme="minorHAnsi"/>
                <w:b/>
              </w:rPr>
            </w:pPr>
          </w:p>
          <w:p w:rsidR="00E85628" w:rsidRPr="00BE15B8" w:rsidRDefault="00E85628" w:rsidP="005179E0">
            <w:pPr>
              <w:rPr>
                <w:rFonts w:asciiTheme="minorHAnsi" w:hAnsiTheme="minorHAnsi"/>
                <w:b/>
              </w:rPr>
            </w:pPr>
            <w:r w:rsidRPr="00BE15B8">
              <w:rPr>
                <w:rFonts w:asciiTheme="minorHAnsi" w:hAnsiTheme="minorHAnsi"/>
                <w:b/>
              </w:rPr>
              <w:t xml:space="preserve">and </w:t>
            </w:r>
          </w:p>
          <w:p w:rsidR="00E85628" w:rsidRPr="00BE15B8" w:rsidRDefault="00E85628" w:rsidP="005179E0">
            <w:pPr>
              <w:rPr>
                <w:rFonts w:asciiTheme="minorHAnsi" w:hAnsiTheme="minorHAnsi"/>
                <w:b/>
              </w:rPr>
            </w:pPr>
          </w:p>
          <w:p w:rsidR="00E85628" w:rsidRPr="00BE15B8" w:rsidRDefault="00E85628" w:rsidP="006B65F6">
            <w:pPr>
              <w:rPr>
                <w:rFonts w:asciiTheme="minorHAnsi" w:hAnsiTheme="minorHAnsi"/>
                <w:b/>
              </w:rPr>
            </w:pPr>
            <w:r w:rsidRPr="00BE15B8">
              <w:rPr>
                <w:rFonts w:asciiTheme="minorHAnsi" w:hAnsiTheme="minorHAnsi"/>
                <w:b/>
              </w:rPr>
              <w:t>Public expenditure database</w:t>
            </w:r>
          </w:p>
        </w:tc>
        <w:tc>
          <w:tcPr>
            <w:tcW w:w="4994" w:type="dxa"/>
          </w:tcPr>
          <w:p w:rsidR="00E85628" w:rsidRPr="00BE15B8" w:rsidRDefault="00E85628" w:rsidP="005179E0">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BE15B8">
              <w:rPr>
                <w:rFonts w:asciiTheme="minorHAnsi" w:eastAsia="Times New Roman" w:hAnsiTheme="minorHAnsi"/>
                <w:bCs/>
                <w:lang w:eastAsia="ru-RU"/>
              </w:rPr>
              <w:t>The EMCDDA statistical bulletin covers a broad range of areas including the most recent estimates of drug related crime in the form of drug seizures, types of offence, price, purity and use in prison, and country responses to the drug situation in Europe.</w:t>
            </w:r>
            <w:r w:rsidRPr="00BE15B8">
              <w:rPr>
                <w:rFonts w:asciiTheme="minorHAnsi" w:eastAsiaTheme="minorHAnsi" w:hAnsiTheme="minorHAnsi"/>
                <w:color w:val="212121"/>
                <w:sz w:val="32"/>
                <w:szCs w:val="32"/>
              </w:rPr>
              <w:t xml:space="preserve"> </w:t>
            </w:r>
            <w:r w:rsidRPr="00BE15B8">
              <w:rPr>
                <w:rFonts w:asciiTheme="minorHAnsi" w:eastAsia="Times New Roman" w:hAnsiTheme="minorHAnsi"/>
                <w:bCs/>
                <w:lang w:eastAsia="ru-RU"/>
              </w:rPr>
              <w:t>http://www.emcdda.europa.eu/data/stats2015</w:t>
            </w:r>
          </w:p>
          <w:p w:rsidR="00E85628" w:rsidRPr="00BE15B8" w:rsidRDefault="00E85628" w:rsidP="002F55CD">
            <w:pPr>
              <w:numPr>
                <w:ilvl w:val="0"/>
                <w:numId w:val="3"/>
              </w:numPr>
              <w:shd w:val="clear" w:color="auto" w:fill="FFFFFF"/>
              <w:spacing w:line="225" w:lineRule="atLeast"/>
              <w:ind w:left="0"/>
              <w:jc w:val="both"/>
              <w:textAlignment w:val="baseline"/>
              <w:rPr>
                <w:rFonts w:asciiTheme="minorHAnsi" w:eastAsia="Times New Roman" w:hAnsiTheme="minorHAnsi"/>
                <w:bCs/>
                <w:lang w:eastAsia="ru-RU"/>
              </w:rPr>
            </w:pPr>
            <w:r w:rsidRPr="00BE15B8">
              <w:rPr>
                <w:rFonts w:asciiTheme="minorHAnsi" w:eastAsia="Times New Roman" w:hAnsiTheme="minorHAnsi"/>
                <w:bCs/>
                <w:lang w:eastAsia="ru-RU"/>
              </w:rPr>
              <w:t xml:space="preserve">The EMCDDA publishes also the most recent national data on drug-related public expenditures available in Europe.  </w:t>
            </w:r>
          </w:p>
          <w:p w:rsidR="00E85628" w:rsidRPr="00BE15B8" w:rsidRDefault="00E85628" w:rsidP="006B65F6">
            <w:pPr>
              <w:numPr>
                <w:ilvl w:val="0"/>
                <w:numId w:val="3"/>
              </w:numPr>
              <w:shd w:val="clear" w:color="auto" w:fill="FFFFFF"/>
              <w:spacing w:line="225" w:lineRule="atLeast"/>
              <w:ind w:left="0"/>
              <w:jc w:val="both"/>
              <w:textAlignment w:val="baseline"/>
              <w:rPr>
                <w:rFonts w:asciiTheme="minorHAnsi" w:eastAsia="Times New Roman" w:hAnsiTheme="minorHAnsi"/>
                <w:b/>
                <w:bCs/>
                <w:lang w:eastAsia="ru-RU"/>
              </w:rPr>
            </w:pPr>
            <w:r w:rsidRPr="00BE15B8">
              <w:rPr>
                <w:rFonts w:asciiTheme="minorHAnsi" w:eastAsia="Times New Roman" w:hAnsiTheme="minorHAnsi"/>
                <w:bCs/>
                <w:lang w:eastAsia="ru-RU"/>
              </w:rPr>
              <w:t>http://www.emcdda.europa.eu/topics/drug-related-public-expenditure</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WHO Database</w:t>
            </w:r>
          </w:p>
        </w:tc>
        <w:tc>
          <w:tcPr>
            <w:tcW w:w="4994" w:type="dxa"/>
          </w:tcPr>
          <w:p w:rsidR="00E85628" w:rsidRPr="00BE15B8" w:rsidRDefault="00E85628" w:rsidP="006B65F6">
            <w:pPr>
              <w:numPr>
                <w:ilvl w:val="0"/>
                <w:numId w:val="3"/>
              </w:numPr>
              <w:shd w:val="clear" w:color="auto" w:fill="FFFFFF"/>
              <w:spacing w:line="225" w:lineRule="atLeast"/>
              <w:ind w:left="0"/>
              <w:jc w:val="both"/>
              <w:textAlignment w:val="baseline"/>
              <w:rPr>
                <w:rFonts w:asciiTheme="minorHAnsi" w:eastAsia="Times New Roman" w:hAnsiTheme="minorHAnsi"/>
                <w:lang w:eastAsia="ru-RU"/>
              </w:rPr>
            </w:pPr>
            <w:r w:rsidRPr="00BE15B8">
              <w:rPr>
                <w:rFonts w:asciiTheme="minorHAnsi" w:eastAsia="Times New Roman" w:hAnsiTheme="minorHAnsi"/>
                <w:b/>
                <w:bCs/>
                <w:lang w:eastAsia="ru-RU"/>
              </w:rPr>
              <w:t>Global Information System on Resources for the Prevention and Treatment of Substance Use Disorders</w:t>
            </w:r>
            <w:r w:rsidRPr="00BE15B8">
              <w:rPr>
                <w:rFonts w:asciiTheme="minorHAnsi" w:eastAsia="Times New Roman" w:hAnsiTheme="minorHAnsi"/>
                <w:lang w:eastAsia="ru-RU"/>
              </w:rPr>
              <w:t xml:space="preserve"> (include information about: </w:t>
            </w:r>
            <w:hyperlink r:id="rId11" w:history="1">
              <w:r w:rsidRPr="00BE15B8">
                <w:rPr>
                  <w:rFonts w:asciiTheme="minorHAnsi" w:eastAsia="Times New Roman" w:hAnsiTheme="minorHAnsi"/>
                  <w:lang w:eastAsia="ru-RU"/>
                </w:rPr>
                <w:t>Prevalence and Burden of Disease</w:t>
              </w:r>
            </w:hyperlink>
            <w:r w:rsidRPr="00BE15B8">
              <w:rPr>
                <w:rFonts w:asciiTheme="minorHAnsi" w:eastAsia="Times New Roman" w:hAnsiTheme="minorHAnsi"/>
                <w:lang w:eastAsia="ru-RU"/>
              </w:rPr>
              <w:t xml:space="preserve">, </w:t>
            </w:r>
            <w:hyperlink r:id="rId12" w:history="1">
              <w:r w:rsidRPr="00BE15B8">
                <w:rPr>
                  <w:rFonts w:asciiTheme="minorHAnsi" w:eastAsia="Times New Roman" w:hAnsiTheme="minorHAnsi"/>
                  <w:lang w:eastAsia="ru-RU"/>
                </w:rPr>
                <w:t>Monitoring and Surveillance</w:t>
              </w:r>
            </w:hyperlink>
            <w:r w:rsidRPr="00BE15B8">
              <w:rPr>
                <w:rFonts w:asciiTheme="minorHAnsi" w:eastAsia="Times New Roman" w:hAnsiTheme="minorHAnsi"/>
                <w:lang w:eastAsia="ru-RU"/>
              </w:rPr>
              <w:t xml:space="preserve">; </w:t>
            </w:r>
            <w:hyperlink r:id="rId13" w:history="1">
              <w:r w:rsidRPr="00BE15B8">
                <w:rPr>
                  <w:rFonts w:asciiTheme="minorHAnsi" w:eastAsia="Times New Roman" w:hAnsiTheme="minorHAnsi"/>
                  <w:lang w:eastAsia="ru-RU"/>
                </w:rPr>
                <w:t>Policy</w:t>
              </w:r>
            </w:hyperlink>
            <w:r w:rsidRPr="00BE15B8">
              <w:rPr>
                <w:rFonts w:asciiTheme="minorHAnsi" w:eastAsia="Times New Roman" w:hAnsiTheme="minorHAnsi"/>
                <w:lang w:eastAsia="ru-RU"/>
              </w:rPr>
              <w:t xml:space="preserve">; </w:t>
            </w:r>
            <w:hyperlink r:id="rId14" w:history="1">
              <w:r w:rsidRPr="00BE15B8">
                <w:rPr>
                  <w:rFonts w:asciiTheme="minorHAnsi" w:eastAsia="Times New Roman" w:hAnsiTheme="minorHAnsi"/>
                  <w:lang w:eastAsia="ru-RU"/>
                </w:rPr>
                <w:t>Treatment System And Services</w:t>
              </w:r>
            </w:hyperlink>
            <w:r w:rsidRPr="00BE15B8">
              <w:rPr>
                <w:rFonts w:asciiTheme="minorHAnsi" w:eastAsia="Times New Roman" w:hAnsiTheme="minorHAnsi"/>
                <w:lang w:eastAsia="ru-RU"/>
              </w:rPr>
              <w:t xml:space="preserve">; </w:t>
            </w:r>
            <w:hyperlink r:id="rId15" w:history="1">
              <w:r w:rsidRPr="00BE15B8">
                <w:rPr>
                  <w:rFonts w:asciiTheme="minorHAnsi" w:eastAsia="Times New Roman" w:hAnsiTheme="minorHAnsi"/>
                  <w:lang w:eastAsia="ru-RU"/>
                </w:rPr>
                <w:t>Pharmacological Treatment</w:t>
              </w:r>
            </w:hyperlink>
            <w:r w:rsidRPr="00BE15B8">
              <w:rPr>
                <w:rFonts w:asciiTheme="minorHAnsi" w:eastAsia="Times New Roman" w:hAnsiTheme="minorHAnsi"/>
                <w:lang w:eastAsia="ru-RU"/>
              </w:rPr>
              <w:t xml:space="preserve">; </w:t>
            </w:r>
          </w:p>
          <w:p w:rsidR="00E85628" w:rsidRPr="00BE15B8" w:rsidRDefault="009A7126" w:rsidP="006B65F6">
            <w:pPr>
              <w:numPr>
                <w:ilvl w:val="0"/>
                <w:numId w:val="3"/>
              </w:numPr>
              <w:shd w:val="clear" w:color="auto" w:fill="FFFFFF"/>
              <w:spacing w:line="225" w:lineRule="atLeast"/>
              <w:ind w:left="0"/>
              <w:jc w:val="both"/>
              <w:textAlignment w:val="baseline"/>
              <w:rPr>
                <w:rFonts w:asciiTheme="minorHAnsi" w:hAnsiTheme="minorHAnsi"/>
              </w:rPr>
            </w:pPr>
            <w:hyperlink r:id="rId16" w:history="1">
              <w:r w:rsidR="00E85628" w:rsidRPr="00BE15B8">
                <w:rPr>
                  <w:rFonts w:asciiTheme="minorHAnsi" w:eastAsia="Times New Roman" w:hAnsiTheme="minorHAnsi"/>
                  <w:lang w:eastAsia="ru-RU"/>
                </w:rPr>
                <w:t>Prevention Programmes For Substance Use And Related Harm</w:t>
              </w:r>
            </w:hyperlink>
            <w:r w:rsidR="00E85628" w:rsidRPr="00BE15B8">
              <w:rPr>
                <w:rFonts w:asciiTheme="minorHAnsi" w:eastAsia="Times New Roman" w:hAnsiTheme="minorHAnsi"/>
                <w:lang w:eastAsia="ru-RU"/>
              </w:rPr>
              <w:t xml:space="preserve">; </w:t>
            </w:r>
            <w:hyperlink r:id="rId17" w:history="1">
              <w:r w:rsidR="00E85628" w:rsidRPr="00BE15B8">
                <w:rPr>
                  <w:rFonts w:asciiTheme="minorHAnsi" w:eastAsia="Times New Roman" w:hAnsiTheme="minorHAnsi"/>
                  <w:lang w:eastAsia="ru-RU"/>
                </w:rPr>
                <w:t>Human Resources And Civil Society Involvement</w:t>
              </w:r>
            </w:hyperlink>
            <w:r w:rsidR="00E85628" w:rsidRPr="00BE15B8">
              <w:rPr>
                <w:rFonts w:asciiTheme="minorHAnsi" w:eastAsia="Times New Roman" w:hAnsiTheme="minorHAnsi"/>
                <w:lang w:eastAsia="ru-RU"/>
              </w:rPr>
              <w:t>)</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jc w:val="both"/>
              <w:rPr>
                <w:rFonts w:asciiTheme="minorHAnsi" w:hAnsiTheme="minorHAnsi"/>
              </w:rPr>
            </w:pPr>
            <w:r w:rsidRPr="00BE15B8">
              <w:rPr>
                <w:rFonts w:asciiTheme="minorHAnsi" w:hAnsiTheme="minorHAnsi"/>
                <w:b/>
              </w:rPr>
              <w:t xml:space="preserve">EUROSTAT </w:t>
            </w:r>
          </w:p>
        </w:tc>
        <w:tc>
          <w:tcPr>
            <w:tcW w:w="4994" w:type="dxa"/>
          </w:tcPr>
          <w:p w:rsidR="00E85628" w:rsidRPr="00BE15B8" w:rsidRDefault="00E85628" w:rsidP="006B65F6">
            <w:pPr>
              <w:jc w:val="both"/>
              <w:rPr>
                <w:rFonts w:asciiTheme="minorHAnsi" w:hAnsiTheme="minorHAnsi"/>
                <w:b/>
              </w:rPr>
            </w:pPr>
            <w:r w:rsidRPr="00BE15B8">
              <w:rPr>
                <w:rFonts w:asciiTheme="minorHAnsi" w:hAnsiTheme="minorHAnsi"/>
                <w:b/>
              </w:rPr>
              <w:t>General government expenditure by function (COFOG)</w:t>
            </w:r>
          </w:p>
          <w:p w:rsidR="00E85628" w:rsidRPr="00BE15B8" w:rsidRDefault="00E85628" w:rsidP="006B65F6">
            <w:pPr>
              <w:jc w:val="both"/>
              <w:rPr>
                <w:rFonts w:asciiTheme="minorHAnsi" w:hAnsiTheme="minorHAnsi"/>
              </w:rPr>
            </w:pPr>
            <w:r w:rsidRPr="00BE15B8">
              <w:rPr>
                <w:rFonts w:asciiTheme="minorHAnsi" w:hAnsiTheme="minorHAnsi"/>
              </w:rPr>
              <w:t xml:space="preserve">COFOG has two levels of classification (United Nations, 2008). The first one classifies expenditure in 10 general </w:t>
            </w:r>
            <w:r w:rsidRPr="00BE15B8">
              <w:rPr>
                <w:rFonts w:asciiTheme="minorHAnsi" w:hAnsiTheme="minorHAnsi"/>
                <w:color w:val="000000" w:themeColor="text1"/>
              </w:rPr>
              <w:t xml:space="preserve">functions, one of which is ‘Public order and safety’. The second level classifies expenditure in 69 groups, in </w:t>
            </w:r>
            <w:r w:rsidRPr="00BE15B8">
              <w:rPr>
                <w:rFonts w:asciiTheme="minorHAnsi" w:hAnsiTheme="minorHAnsi"/>
              </w:rPr>
              <w:t>which can be found three indicators of interest: Police service, Law Courts and Prisons. The definitions below are provided by the UNODC.</w:t>
            </w:r>
          </w:p>
          <w:p w:rsidR="00E85628" w:rsidRPr="00BE15B8" w:rsidRDefault="00E85628" w:rsidP="006B65F6">
            <w:pPr>
              <w:jc w:val="both"/>
              <w:rPr>
                <w:rFonts w:asciiTheme="minorHAnsi" w:hAnsiTheme="minorHAnsi"/>
              </w:rPr>
            </w:pPr>
            <w:r w:rsidRPr="00BE15B8">
              <w:rPr>
                <w:rFonts w:asciiTheme="minorHAnsi" w:hAnsiTheme="minorHAnsi"/>
              </w:rPr>
              <w:t>From the general function ‘Public order and safety’:</w:t>
            </w:r>
          </w:p>
          <w:p w:rsidR="00E85628" w:rsidRPr="00BE15B8" w:rsidRDefault="00E85628" w:rsidP="006B65F6">
            <w:pPr>
              <w:jc w:val="both"/>
              <w:rPr>
                <w:rFonts w:asciiTheme="minorHAnsi" w:hAnsiTheme="minorHAnsi"/>
              </w:rPr>
            </w:pPr>
            <w:r w:rsidRPr="00BE15B8">
              <w:rPr>
                <w:rFonts w:asciiTheme="minorHAnsi" w:hAnsiTheme="minorHAnsi"/>
                <w:b/>
              </w:rPr>
              <w:t>Police services</w:t>
            </w:r>
          </w:p>
          <w:p w:rsidR="00E85628" w:rsidRPr="00BE15B8" w:rsidRDefault="00E85628" w:rsidP="006B65F6">
            <w:pPr>
              <w:jc w:val="both"/>
              <w:rPr>
                <w:rFonts w:asciiTheme="minorHAnsi" w:hAnsiTheme="minorHAnsi"/>
              </w:rPr>
            </w:pPr>
            <w:r w:rsidRPr="00BE15B8">
              <w:rPr>
                <w:rFonts w:asciiTheme="minorHAnsi" w:hAnsiTheme="minorHAnsi"/>
              </w:rPr>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E85628" w:rsidRPr="00BE15B8" w:rsidRDefault="00E85628" w:rsidP="006B65F6">
            <w:pPr>
              <w:jc w:val="both"/>
              <w:rPr>
                <w:rFonts w:asciiTheme="minorHAnsi" w:hAnsiTheme="minorHAnsi"/>
              </w:rPr>
            </w:pPr>
            <w:r w:rsidRPr="00BE15B8">
              <w:rPr>
                <w:rFonts w:asciiTheme="minorHAnsi" w:hAnsiTheme="minorHAnsi"/>
              </w:rPr>
              <w:t>- operation of regular and auxiliary police forces, of port, border and coast guards, and of other special police forces maintained by public authorities; operation of police laboratories; operation or support of police training programs.</w:t>
            </w:r>
          </w:p>
          <w:p w:rsidR="00E85628" w:rsidRPr="00BE15B8" w:rsidRDefault="00E85628" w:rsidP="006B65F6">
            <w:pPr>
              <w:jc w:val="both"/>
              <w:rPr>
                <w:rFonts w:asciiTheme="minorHAnsi" w:hAnsiTheme="minorHAnsi"/>
                <w:b/>
              </w:rPr>
            </w:pPr>
            <w:r w:rsidRPr="00BE15B8">
              <w:rPr>
                <w:rFonts w:asciiTheme="minorHAnsi" w:hAnsiTheme="minorHAnsi"/>
                <w:b/>
              </w:rPr>
              <w:t>Law Courts</w:t>
            </w:r>
          </w:p>
          <w:p w:rsidR="00E85628" w:rsidRPr="00BE15B8" w:rsidRDefault="00E85628" w:rsidP="006B65F6">
            <w:pPr>
              <w:jc w:val="both"/>
              <w:rPr>
                <w:rFonts w:asciiTheme="minorHAnsi" w:hAnsiTheme="minorHAnsi"/>
              </w:rPr>
            </w:pPr>
            <w:r w:rsidRPr="00BE15B8">
              <w:rPr>
                <w:rFonts w:asciiTheme="minorHAnsi" w:hAnsiTheme="minorHAnsi"/>
              </w:rPr>
              <w:t>- Administration, operation or support of civil and criminal law courts and the judicial system, including enforcement of fines and legal settlements imposed by the courts and operation of parole and probation systems;</w:t>
            </w:r>
          </w:p>
          <w:p w:rsidR="00E85628" w:rsidRPr="00BE15B8" w:rsidRDefault="00E85628" w:rsidP="006B65F6">
            <w:pPr>
              <w:jc w:val="both"/>
              <w:rPr>
                <w:rFonts w:asciiTheme="minorHAnsi" w:hAnsiTheme="minorHAnsi"/>
              </w:rPr>
            </w:pPr>
            <w:r w:rsidRPr="00BE15B8">
              <w:rPr>
                <w:rFonts w:asciiTheme="minorHAnsi" w:hAnsiTheme="minorHAnsi"/>
              </w:rPr>
              <w:t>- legal representation and advice on behalf of government or on behalf of others provided by government in cash or in services.</w:t>
            </w:r>
          </w:p>
          <w:p w:rsidR="00E85628" w:rsidRPr="00BE15B8" w:rsidRDefault="00E85628" w:rsidP="006B65F6">
            <w:pPr>
              <w:jc w:val="both"/>
              <w:rPr>
                <w:rFonts w:asciiTheme="minorHAnsi" w:hAnsiTheme="minorHAnsi"/>
                <w:b/>
              </w:rPr>
            </w:pPr>
            <w:r w:rsidRPr="00BE15B8">
              <w:rPr>
                <w:rFonts w:asciiTheme="minorHAnsi" w:hAnsiTheme="minorHAnsi"/>
                <w:b/>
              </w:rPr>
              <w:t>Prisons</w:t>
            </w:r>
          </w:p>
          <w:p w:rsidR="00E85628" w:rsidRPr="00BE15B8" w:rsidRDefault="00E85628" w:rsidP="006B65F6">
            <w:pPr>
              <w:rPr>
                <w:rFonts w:asciiTheme="minorHAnsi" w:hAnsiTheme="minorHAnsi"/>
              </w:rPr>
            </w:pPr>
            <w:r w:rsidRPr="00BE15B8">
              <w:rPr>
                <w:rFonts w:asciiTheme="minorHAnsi" w:hAnsiTheme="minorHAnsi"/>
              </w:rPr>
              <w:t>- Administration, operation or support of prisons and other places for the detention or rehabilitation of criminals such as prison farms, workhouses, reformatories, asylums for the criminally insane, etc.</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UN-CTS (Crime and Criminal Justice Statistics)</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Data produced by UNODC have multiple sources. Member States regularly submit to UNODC statistics on drugs (through the Annual Report Questionnaire) and crime and criminal justice (through the annual Survey on Crime Trends and Operations of Criminal Justice Systems). Other data are collected through national surveys implemented by UNODC in cooperation with national governments or are compiled from scientific literature. UNODC attempts to maximize the comparability of the data and estimate regional and global statistics.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 xml:space="preserve">SPACE  </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SPACE unites two related projects: SPACE I provides data on penal institutions and the population held in custody, as well as on certain conditions of detention, while SPACE II collects information on persons serving non-custodial sanctions and alternative measures.</w:t>
            </w:r>
          </w:p>
          <w:p w:rsidR="00E85628" w:rsidRPr="00BE15B8" w:rsidRDefault="00E85628" w:rsidP="006B65F6">
            <w:pPr>
              <w:contextualSpacing/>
              <w:jc w:val="both"/>
              <w:rPr>
                <w:rFonts w:asciiTheme="minorHAnsi" w:hAnsiTheme="minorHAnsi"/>
              </w:rPr>
            </w:pPr>
            <w:r w:rsidRPr="00BE15B8">
              <w:rPr>
                <w:rFonts w:asciiTheme="minorHAnsi" w:hAnsiTheme="minorHAnsi"/>
              </w:rPr>
              <w:t>Data are collected every 2 years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the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rPr>
            </w:pPr>
            <w:r w:rsidRPr="00BE15B8">
              <w:rPr>
                <w:rFonts w:asciiTheme="minorHAnsi" w:hAnsiTheme="minorHAnsi"/>
                <w:b/>
              </w:rPr>
              <w:t>European Sourcebook on Crime and Criminal Justice Statistics</w:t>
            </w:r>
          </w:p>
        </w:tc>
        <w:tc>
          <w:tcPr>
            <w:tcW w:w="4994" w:type="dxa"/>
          </w:tcPr>
          <w:p w:rsidR="00E85628" w:rsidRPr="00BE15B8" w:rsidRDefault="00E85628" w:rsidP="006B65F6">
            <w:pPr>
              <w:contextualSpacing/>
              <w:jc w:val="both"/>
              <w:rPr>
                <w:rFonts w:asciiTheme="minorHAnsi" w:hAnsiTheme="minorHAnsi"/>
              </w:rPr>
            </w:pPr>
            <w:r w:rsidRPr="00BE15B8">
              <w:rPr>
                <w:rFonts w:asciiTheme="minorHAnsi" w:hAnsiTheme="minorHAnsi"/>
              </w:rPr>
              <w:t>The Sourcebook contains data from 41 European countries regarding the criminal justice systems. The book is structured by six main chapters covering different stages of the judicial system: Police statistics, Prosecution statistics, Conviction statistics, Prison statistics, Probation statistics and, for the 2014 edition, a final chapter on National Victimization Surveys. The data provided is systematically accompanied by texts and notes relative to the specificity of each country and discussing the different challenges attributed to the comparison of the data.</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Social Expenditure Database</w:t>
            </w:r>
          </w:p>
        </w:tc>
        <w:tc>
          <w:tcPr>
            <w:tcW w:w="4994" w:type="dxa"/>
          </w:tcPr>
          <w:p w:rsidR="00E85628" w:rsidRPr="00BE15B8" w:rsidRDefault="00E85628" w:rsidP="00314497">
            <w:pPr>
              <w:jc w:val="both"/>
              <w:rPr>
                <w:rFonts w:asciiTheme="minorHAnsi" w:hAnsiTheme="minorHAnsi"/>
              </w:rPr>
            </w:pPr>
            <w:r w:rsidRPr="00BE15B8">
              <w:rPr>
                <w:rFonts w:asciiTheme="minorHAnsi" w:hAnsiTheme="minorHAnsi"/>
              </w:rPr>
              <w:t>The OECD Social Expenditure Database (SOCX) provides a unique tool for monitoring trends in aggregate social expenditure and analyzing changes in its composition. The main social policy areas are as follows: old age, survivors, incapacity-related benefits, health, family, active labour market programs, unemployment, housing, and other social policy areas.</w:t>
            </w:r>
          </w:p>
        </w:tc>
      </w:tr>
      <w:tr w:rsidR="00E85628" w:rsidRPr="00BE15B8" w:rsidTr="00314497">
        <w:tc>
          <w:tcPr>
            <w:tcW w:w="1720" w:type="dxa"/>
            <w:vMerge/>
            <w:shd w:val="clear" w:color="auto" w:fill="BFBFBF" w:themeFill="background1" w:themeFillShade="BF"/>
          </w:tcPr>
          <w:p w:rsidR="00E85628" w:rsidRPr="00BE15B8" w:rsidRDefault="00E85628" w:rsidP="006B65F6">
            <w:pPr>
              <w:rPr>
                <w:rFonts w:asciiTheme="minorHAnsi" w:hAnsiTheme="minorHAnsi"/>
              </w:rPr>
            </w:pPr>
          </w:p>
        </w:tc>
        <w:tc>
          <w:tcPr>
            <w:tcW w:w="2574" w:type="dxa"/>
            <w:shd w:val="clear" w:color="auto" w:fill="BFBFBF" w:themeFill="background1" w:themeFillShade="BF"/>
          </w:tcPr>
          <w:p w:rsidR="00E85628" w:rsidRPr="00BE15B8" w:rsidRDefault="00E85628" w:rsidP="006B65F6">
            <w:pPr>
              <w:rPr>
                <w:rFonts w:asciiTheme="minorHAnsi" w:hAnsiTheme="minorHAnsi"/>
                <w:b/>
              </w:rPr>
            </w:pPr>
            <w:r w:rsidRPr="00BE15B8">
              <w:rPr>
                <w:rFonts w:asciiTheme="minorHAnsi" w:hAnsiTheme="minorHAnsi"/>
                <w:b/>
              </w:rPr>
              <w:t>ESPAD</w:t>
            </w:r>
          </w:p>
        </w:tc>
        <w:tc>
          <w:tcPr>
            <w:tcW w:w="4994" w:type="dxa"/>
          </w:tcPr>
          <w:p w:rsidR="00E85628" w:rsidRPr="00BE15B8" w:rsidRDefault="00E85628" w:rsidP="006B65F6">
            <w:pPr>
              <w:rPr>
                <w:rFonts w:asciiTheme="minorHAnsi" w:hAnsiTheme="minorHAnsi"/>
              </w:rPr>
            </w:pPr>
            <w:r w:rsidRPr="00BE15B8">
              <w:rPr>
                <w:rFonts w:asciiTheme="minorHAnsi" w:hAnsiTheme="minorHAnsi"/>
              </w:rPr>
              <w:t>Drug abuse prevalence among teenagers in European countries</w:t>
            </w:r>
          </w:p>
        </w:tc>
      </w:tr>
      <w:tr w:rsidR="00314497" w:rsidRPr="00BE15B8" w:rsidTr="0081209F">
        <w:trPr>
          <w:trHeight w:val="1117"/>
        </w:trPr>
        <w:tc>
          <w:tcPr>
            <w:tcW w:w="1720" w:type="dxa"/>
            <w:shd w:val="clear" w:color="auto" w:fill="BFBFBF" w:themeFill="background1" w:themeFillShade="BF"/>
          </w:tcPr>
          <w:p w:rsidR="00314497" w:rsidRPr="00BE15B8" w:rsidRDefault="00314497" w:rsidP="006B65F6">
            <w:pPr>
              <w:rPr>
                <w:rFonts w:asciiTheme="minorHAnsi" w:hAnsiTheme="minorHAnsi"/>
              </w:rPr>
            </w:pPr>
            <w:r w:rsidRPr="00BE15B8">
              <w:rPr>
                <w:rFonts w:asciiTheme="minorHAnsi" w:hAnsiTheme="minorHAnsi"/>
              </w:rPr>
              <w:t>National</w:t>
            </w:r>
          </w:p>
        </w:tc>
        <w:tc>
          <w:tcPr>
            <w:tcW w:w="2574" w:type="dxa"/>
            <w:shd w:val="clear" w:color="auto" w:fill="BFBFBF" w:themeFill="background1" w:themeFillShade="BF"/>
          </w:tcPr>
          <w:p w:rsidR="00314497" w:rsidRPr="00BE15B8" w:rsidRDefault="00314497" w:rsidP="006B65F6">
            <w:pPr>
              <w:rPr>
                <w:rFonts w:asciiTheme="minorHAnsi" w:hAnsiTheme="minorHAnsi"/>
                <w:b/>
              </w:rPr>
            </w:pPr>
            <w:r w:rsidRPr="00BE15B8">
              <w:rPr>
                <w:rFonts w:asciiTheme="minorHAnsi" w:hAnsiTheme="minorHAnsi"/>
                <w:b/>
              </w:rPr>
              <w:t xml:space="preserve">Database of national statistics  </w:t>
            </w:r>
          </w:p>
        </w:tc>
        <w:tc>
          <w:tcPr>
            <w:tcW w:w="4994" w:type="dxa"/>
          </w:tcPr>
          <w:p w:rsidR="00314497" w:rsidRPr="00BE15B8" w:rsidRDefault="00314497" w:rsidP="0081209F">
            <w:pPr>
              <w:jc w:val="both"/>
              <w:rPr>
                <w:rFonts w:asciiTheme="minorHAnsi" w:hAnsiTheme="minorHAnsi"/>
              </w:rPr>
            </w:pPr>
            <w:r w:rsidRPr="00BE15B8">
              <w:rPr>
                <w:rFonts w:asciiTheme="minorHAnsi" w:hAnsiTheme="minorHAnsi"/>
              </w:rPr>
              <w:t>Expenditures in different groups, in which can be found some indicators of interest: Police service, Law Courts, Priso</w:t>
            </w:r>
            <w:r w:rsidR="0081209F" w:rsidRPr="00BE15B8">
              <w:rPr>
                <w:rFonts w:asciiTheme="minorHAnsi" w:hAnsiTheme="minorHAnsi"/>
              </w:rPr>
              <w:t xml:space="preserve">ns, Medical and social services. </w:t>
            </w:r>
          </w:p>
        </w:tc>
      </w:tr>
      <w:tr w:rsidR="00314497" w:rsidRPr="00BE15B8" w:rsidTr="00314497">
        <w:tc>
          <w:tcPr>
            <w:tcW w:w="1720" w:type="dxa"/>
            <w:shd w:val="clear" w:color="auto" w:fill="BFBFBF" w:themeFill="background1" w:themeFillShade="BF"/>
          </w:tcPr>
          <w:p w:rsidR="00314497" w:rsidRPr="00BE15B8" w:rsidRDefault="00314497" w:rsidP="006B65F6">
            <w:pPr>
              <w:rPr>
                <w:rFonts w:asciiTheme="minorHAnsi" w:hAnsiTheme="minorHAnsi"/>
              </w:rPr>
            </w:pPr>
          </w:p>
        </w:tc>
        <w:tc>
          <w:tcPr>
            <w:tcW w:w="2574" w:type="dxa"/>
            <w:shd w:val="clear" w:color="auto" w:fill="BFBFBF" w:themeFill="background1" w:themeFillShade="BF"/>
          </w:tcPr>
          <w:p w:rsidR="00314497" w:rsidRPr="00BE15B8" w:rsidRDefault="00314497" w:rsidP="006B65F6">
            <w:pPr>
              <w:rPr>
                <w:rFonts w:asciiTheme="minorHAnsi" w:hAnsiTheme="minorHAnsi"/>
                <w:b/>
              </w:rPr>
            </w:pPr>
            <w:r w:rsidRPr="00BE15B8">
              <w:rPr>
                <w:rFonts w:asciiTheme="minorHAnsi" w:hAnsiTheme="minorHAnsi"/>
                <w:b/>
              </w:rPr>
              <w:t xml:space="preserve">Annual report </w:t>
            </w:r>
            <w:r w:rsidR="00904CF3" w:rsidRPr="00BE15B8">
              <w:rPr>
                <w:rFonts w:asciiTheme="minorHAnsi" w:hAnsiTheme="minorHAnsi"/>
                <w:b/>
              </w:rPr>
              <w:t xml:space="preserve">fromm </w:t>
            </w:r>
            <w:r w:rsidRPr="00BE15B8">
              <w:rPr>
                <w:rFonts w:asciiTheme="minorHAnsi" w:hAnsiTheme="minorHAnsi"/>
                <w:b/>
              </w:rPr>
              <w:t>Social service Department</w:t>
            </w:r>
          </w:p>
        </w:tc>
        <w:tc>
          <w:tcPr>
            <w:tcW w:w="4994" w:type="dxa"/>
          </w:tcPr>
          <w:p w:rsidR="00314497" w:rsidRPr="00BE15B8" w:rsidRDefault="00314497" w:rsidP="006B65F6">
            <w:pPr>
              <w:rPr>
                <w:rFonts w:asciiTheme="minorHAnsi" w:hAnsiTheme="minorHAnsi"/>
              </w:rPr>
            </w:pPr>
            <w:r w:rsidRPr="00BE15B8">
              <w:rPr>
                <w:rFonts w:asciiTheme="minorHAnsi" w:hAnsiTheme="minorHAnsi"/>
              </w:rPr>
              <w:t>Data on Social service Department expenditures at the regional level, Number of drug users receiving social benefits in connection with drug use</w:t>
            </w:r>
          </w:p>
        </w:tc>
      </w:tr>
    </w:tbl>
    <w:p w:rsidR="00314497" w:rsidRPr="00BE15B8" w:rsidRDefault="00314497"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rsidR="008866FB" w:rsidRPr="00BE15B8" w:rsidRDefault="008866FB" w:rsidP="00314497">
      <w:pPr>
        <w:pStyle w:val="NormalWeb"/>
        <w:kinsoku w:val="0"/>
        <w:overflowPunct w:val="0"/>
        <w:spacing w:before="0" w:beforeAutospacing="0" w:after="0" w:afterAutospacing="0"/>
        <w:jc w:val="both"/>
        <w:textAlignment w:val="baseline"/>
        <w:rPr>
          <w:rFonts w:asciiTheme="minorHAnsi" w:eastAsiaTheme="minorEastAsia" w:hAnsiTheme="minorHAnsi"/>
          <w:color w:val="000000"/>
          <w:kern w:val="24"/>
          <w:sz w:val="22"/>
          <w:szCs w:val="22"/>
          <w:lang w:val="en-GB"/>
        </w:rPr>
      </w:pPr>
    </w:p>
    <w:p w:rsidR="00B17773" w:rsidRPr="00BE15B8" w:rsidRDefault="00B17773">
      <w:pPr>
        <w:rPr>
          <w:rFonts w:asciiTheme="minorHAnsi" w:hAnsiTheme="minorHAnsi"/>
          <w:b/>
          <w:sz w:val="28"/>
          <w:szCs w:val="28"/>
        </w:rPr>
      </w:pPr>
      <w:r w:rsidRPr="00BE15B8">
        <w:rPr>
          <w:rFonts w:asciiTheme="minorHAnsi" w:hAnsiTheme="minorHAnsi"/>
          <w:b/>
          <w:sz w:val="28"/>
          <w:szCs w:val="28"/>
        </w:rPr>
        <w:br w:type="page"/>
      </w:r>
    </w:p>
    <w:p w:rsidR="008866FB" w:rsidRPr="00BE15B8" w:rsidRDefault="008866FB"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t>APPENDIX 2</w:t>
      </w:r>
    </w:p>
    <w:p w:rsidR="008866FB" w:rsidRPr="00BE15B8" w:rsidRDefault="008866FB" w:rsidP="008866FB">
      <w:pPr>
        <w:spacing w:after="0" w:line="240" w:lineRule="auto"/>
        <w:jc w:val="center"/>
        <w:rPr>
          <w:rFonts w:asciiTheme="minorHAnsi" w:hAnsiTheme="minorHAnsi"/>
          <w:b/>
          <w:sz w:val="28"/>
          <w:szCs w:val="28"/>
        </w:rPr>
      </w:pPr>
      <w:r w:rsidRPr="00BE15B8">
        <w:rPr>
          <w:rFonts w:asciiTheme="minorHAnsi" w:hAnsiTheme="minorHAnsi"/>
          <w:b/>
          <w:sz w:val="28"/>
          <w:szCs w:val="28"/>
        </w:rPr>
        <w:t>The international Classification of the Functions of Government (COFOG)</w:t>
      </w:r>
    </w:p>
    <w:p w:rsidR="008866FB" w:rsidRPr="00BE15B8" w:rsidRDefault="008866FB" w:rsidP="008866FB">
      <w:pPr>
        <w:spacing w:after="0" w:line="240" w:lineRule="auto"/>
        <w:jc w:val="both"/>
        <w:rPr>
          <w:rFonts w:asciiTheme="minorHAnsi" w:hAnsiTheme="minorHAnsi"/>
          <w:sz w:val="24"/>
          <w:szCs w:val="24"/>
        </w:rPr>
      </w:pPr>
    </w:p>
    <w:p w:rsidR="008866FB" w:rsidRPr="00BE15B8" w:rsidRDefault="008866FB" w:rsidP="008866FB">
      <w:pPr>
        <w:spacing w:after="0" w:line="240" w:lineRule="auto"/>
        <w:jc w:val="both"/>
        <w:rPr>
          <w:rFonts w:asciiTheme="minorHAnsi" w:hAnsiTheme="minorHAnsi"/>
          <w:sz w:val="24"/>
          <w:szCs w:val="24"/>
        </w:rPr>
      </w:pPr>
      <w:r w:rsidRPr="00BE15B8">
        <w:rPr>
          <w:rFonts w:asciiTheme="minorHAnsi" w:hAnsiTheme="minorHAnsi"/>
          <w:sz w:val="24"/>
          <w:szCs w:val="24"/>
        </w:rPr>
        <w:t xml:space="preserve">The COFOG classification has three structure levels at the first level; government expenditure is broken down into 10 </w:t>
      </w:r>
      <w:r w:rsidRPr="00BE15B8">
        <w:rPr>
          <w:rFonts w:asciiTheme="minorHAnsi" w:hAnsiTheme="minorHAnsi"/>
          <w:color w:val="000000" w:themeColor="text1"/>
          <w:sz w:val="24"/>
          <w:szCs w:val="24"/>
        </w:rPr>
        <w:t xml:space="preserve">functions. These are each divided into 69 groups </w:t>
      </w:r>
      <w:r w:rsidRPr="00BE15B8">
        <w:rPr>
          <w:rFonts w:asciiTheme="minorHAnsi" w:hAnsiTheme="minorHAnsi"/>
          <w:sz w:val="24"/>
          <w:szCs w:val="24"/>
        </w:rPr>
        <w:t xml:space="preserve">(second level of COFOG), which are themselves divided into classes, the most detailed classification level. COFOG permits an examination over time of trends in government outlays on particular functions. </w:t>
      </w:r>
      <w:r w:rsidR="00A37F6A">
        <w:rPr>
          <w:rFonts w:asciiTheme="minorHAnsi" w:hAnsiTheme="minorHAnsi"/>
          <w:sz w:val="24"/>
          <w:szCs w:val="24"/>
        </w:rPr>
        <w:t>(Eurostat, 2011)</w:t>
      </w:r>
    </w:p>
    <w:p w:rsidR="008866FB" w:rsidRPr="00BE15B8" w:rsidRDefault="008866FB" w:rsidP="008866FB">
      <w:pPr>
        <w:spacing w:after="0" w:line="240" w:lineRule="auto"/>
        <w:jc w:val="both"/>
        <w:rPr>
          <w:rFonts w:asciiTheme="minorHAnsi" w:hAnsiTheme="minorHAnsi"/>
          <w:sz w:val="24"/>
          <w:szCs w:val="24"/>
        </w:rPr>
      </w:pPr>
    </w:p>
    <w:p w:rsidR="005817EC" w:rsidRDefault="008866FB" w:rsidP="008866FB">
      <w:pPr>
        <w:spacing w:after="0" w:line="240" w:lineRule="auto"/>
        <w:jc w:val="both"/>
        <w:rPr>
          <w:rFonts w:asciiTheme="minorHAnsi" w:hAnsiTheme="minorHAnsi"/>
          <w:sz w:val="24"/>
          <w:szCs w:val="24"/>
        </w:rPr>
      </w:pPr>
      <w:r w:rsidRPr="00BE15B8">
        <w:rPr>
          <w:rFonts w:asciiTheme="minorHAnsi" w:hAnsiTheme="minorHAnsi"/>
          <w:sz w:val="24"/>
          <w:szCs w:val="24"/>
        </w:rPr>
        <w:t xml:space="preserve">Detailed 3-levels structure of COFOG includes financial flows of the public finance, which are going from state and local (regional and municipal) budgets to non-profit organisations (NPOs) with drug-policy programmes. COFOG is a functional classification used by SNA 1993 (System of National Accounts 1993). COFOG is useful international classification for spatial comparison (between countries) and for time comparison (over time) also. COFOG is in practice very similar. In principle, its units of classification are individual transactions. This means that each outlay (purchase or transfer) should be assigned a COFOG code according to the function that the transaction serves. This principle is valid for both transfers capital (investment) and current (non-investment) transfers. </w:t>
      </w:r>
      <w:r w:rsidR="005817EC">
        <w:rPr>
          <w:rFonts w:asciiTheme="minorHAnsi" w:hAnsiTheme="minorHAnsi"/>
          <w:sz w:val="24"/>
          <w:szCs w:val="24"/>
        </w:rPr>
        <w:t>The Eurostat has published annual data according to the COFOG definitions for the European Union countries since early 2000’s.</w:t>
      </w:r>
    </w:p>
    <w:p w:rsidR="005817EC" w:rsidRDefault="005817EC" w:rsidP="008866FB">
      <w:pPr>
        <w:spacing w:after="0" w:line="240" w:lineRule="auto"/>
        <w:jc w:val="both"/>
        <w:rPr>
          <w:rFonts w:asciiTheme="minorHAnsi" w:hAnsiTheme="minorHAnsi"/>
          <w:sz w:val="24"/>
          <w:szCs w:val="24"/>
        </w:rPr>
      </w:pPr>
    </w:p>
    <w:p w:rsidR="008866FB" w:rsidRPr="00BE15B8" w:rsidRDefault="008866FB" w:rsidP="008866FB">
      <w:pPr>
        <w:spacing w:after="0" w:line="240" w:lineRule="auto"/>
        <w:jc w:val="both"/>
        <w:rPr>
          <w:rFonts w:asciiTheme="minorHAnsi" w:hAnsiTheme="minorHAnsi"/>
          <w:sz w:val="24"/>
          <w:szCs w:val="24"/>
        </w:rPr>
      </w:pPr>
      <w:r w:rsidRPr="00BE15B8">
        <w:rPr>
          <w:rFonts w:asciiTheme="minorHAnsi" w:hAnsiTheme="minorHAnsi"/>
          <w:sz w:val="24"/>
          <w:szCs w:val="24"/>
        </w:rPr>
        <w:t xml:space="preserve">The extensive structure of COFOG contrasts with the four-category division introduced by Reuter (2006) based on the likely effects of services provided by drug policy programmes (i.e. prevention, treatment, enforcement and harm reduction). The Reuter’s programme division is classification of the recipients (NPOs) with drug-policy programmes. </w:t>
      </w:r>
    </w:p>
    <w:p w:rsidR="008866FB" w:rsidRPr="00BE15B8" w:rsidRDefault="008866FB" w:rsidP="008866FB">
      <w:pPr>
        <w:spacing w:after="0" w:line="240" w:lineRule="auto"/>
        <w:jc w:val="both"/>
        <w:rPr>
          <w:rFonts w:asciiTheme="minorHAnsi" w:hAnsiTheme="minorHAnsi"/>
        </w:rPr>
      </w:pPr>
    </w:p>
    <w:p w:rsidR="007012F6" w:rsidRPr="00BE15B8" w:rsidRDefault="008866FB" w:rsidP="007012F6">
      <w:pPr>
        <w:spacing w:after="0" w:line="240" w:lineRule="auto"/>
        <w:jc w:val="both"/>
        <w:rPr>
          <w:rFonts w:asciiTheme="minorHAnsi" w:hAnsiTheme="minorHAnsi"/>
          <w:bCs/>
          <w:sz w:val="24"/>
          <w:szCs w:val="24"/>
        </w:rPr>
      </w:pPr>
      <w:r w:rsidRPr="00BE15B8">
        <w:rPr>
          <w:rFonts w:asciiTheme="minorHAnsi" w:hAnsiTheme="minorHAnsi"/>
          <w:sz w:val="24"/>
          <w:szCs w:val="24"/>
        </w:rPr>
        <w:t>Example of an overview of public expenditure groups broken down according to the main public functions pursuant to the international classification of the functions of the government at the third level</w:t>
      </w:r>
      <w:r w:rsidR="007012F6" w:rsidRPr="00BE15B8">
        <w:rPr>
          <w:rFonts w:asciiTheme="minorHAnsi" w:hAnsiTheme="minorHAnsi"/>
          <w:bCs/>
          <w:sz w:val="24"/>
          <w:szCs w:val="24"/>
        </w:rPr>
        <w:t xml:space="preserve"> is shown in the table below</w:t>
      </w:r>
    </w:p>
    <w:p w:rsidR="007012F6" w:rsidRDefault="007012F6" w:rsidP="007012F6">
      <w:pPr>
        <w:spacing w:after="0" w:line="240" w:lineRule="auto"/>
        <w:jc w:val="both"/>
        <w:rPr>
          <w:rFonts w:asciiTheme="minorHAnsi" w:hAnsiTheme="minorHAnsi"/>
          <w:bCs/>
          <w:sz w:val="24"/>
          <w:szCs w:val="24"/>
        </w:rPr>
      </w:pPr>
    </w:p>
    <w:p w:rsidR="005817EC" w:rsidRPr="00D50D1D" w:rsidRDefault="005817EC" w:rsidP="005817EC">
      <w:pPr>
        <w:spacing w:after="0" w:line="240" w:lineRule="auto"/>
        <w:jc w:val="both"/>
        <w:rPr>
          <w:rFonts w:asciiTheme="minorHAnsi" w:hAnsiTheme="minorHAnsi"/>
          <w:sz w:val="24"/>
          <w:szCs w:val="24"/>
        </w:rPr>
      </w:pPr>
      <w:r w:rsidRPr="00D50D1D">
        <w:rPr>
          <w:rFonts w:asciiTheme="minorHAnsi" w:hAnsiTheme="minorHAnsi"/>
          <w:sz w:val="24"/>
          <w:szCs w:val="24"/>
        </w:rPr>
        <w:t xml:space="preserve">A pragmatic approach towards drug-related research and public expenditure estimates would suggest adopting a classification such as the proposed by EUROSTAT with COFOG. The COFOG classification system guarantees data annually available for most of the European countries, according to harmonized definitions and standard data collection procedures. </w:t>
      </w:r>
    </w:p>
    <w:p w:rsidR="005817EC" w:rsidRPr="00BE15B8" w:rsidRDefault="005817EC" w:rsidP="007012F6">
      <w:pPr>
        <w:spacing w:after="0" w:line="240" w:lineRule="auto"/>
        <w:jc w:val="both"/>
        <w:rPr>
          <w:rFonts w:asciiTheme="minorHAnsi" w:hAnsiTheme="minorHAnsi"/>
          <w:bCs/>
          <w:sz w:val="24"/>
          <w:szCs w:val="24"/>
        </w:rPr>
      </w:pPr>
    </w:p>
    <w:p w:rsidR="007012F6" w:rsidRPr="00BE15B8" w:rsidRDefault="008866FB" w:rsidP="007012F6">
      <w:pPr>
        <w:spacing w:after="0" w:line="240" w:lineRule="auto"/>
        <w:jc w:val="both"/>
        <w:rPr>
          <w:rFonts w:asciiTheme="minorHAnsi" w:hAnsiTheme="minorHAnsi"/>
          <w:i/>
        </w:rPr>
      </w:pPr>
      <w:r w:rsidRPr="00BE15B8">
        <w:rPr>
          <w:rFonts w:asciiTheme="minorHAnsi" w:hAnsiTheme="minorHAnsi"/>
          <w:i/>
        </w:rPr>
        <w:t>Public expenditures according to the classification of public functions</w:t>
      </w:r>
    </w:p>
    <w:p w:rsidR="008866FB" w:rsidRPr="00BE15B8" w:rsidRDefault="008866FB" w:rsidP="007012F6">
      <w:pPr>
        <w:spacing w:after="0" w:line="240" w:lineRule="auto"/>
        <w:jc w:val="both"/>
        <w:rPr>
          <w:rFonts w:asciiTheme="minorHAnsi" w:hAnsiTheme="minorHAnsi"/>
          <w:bCs/>
          <w:i/>
        </w:rPr>
      </w:pPr>
      <w:r w:rsidRPr="00BE15B8">
        <w:rPr>
          <w:rFonts w:asciiTheme="minorHAnsi" w:hAnsiTheme="minorHAnsi"/>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866FB" w:rsidRPr="00BE15B8" w:rsidTr="006B65F6">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rsidR="008866FB" w:rsidRPr="00BE15B8" w:rsidRDefault="008866FB" w:rsidP="006B65F6">
            <w:pPr>
              <w:rPr>
                <w:rFonts w:asciiTheme="minorHAnsi" w:hAnsiTheme="minorHAnsi"/>
                <w:b/>
                <w:bCs/>
                <w:color w:val="FFFFFF"/>
              </w:rPr>
            </w:pPr>
            <w:r w:rsidRPr="00BE15B8">
              <w:rPr>
                <w:rFonts w:asciiTheme="minorHAnsi" w:hAnsiTheme="minorHAnsi"/>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rsidR="008866FB" w:rsidRPr="00BE15B8" w:rsidRDefault="008866FB" w:rsidP="006B65F6">
            <w:pPr>
              <w:jc w:val="center"/>
              <w:rPr>
                <w:rFonts w:asciiTheme="minorHAnsi" w:hAnsiTheme="minorHAnsi"/>
                <w:b/>
                <w:bCs/>
                <w:color w:val="FFFFFF"/>
              </w:rPr>
            </w:pPr>
            <w:r w:rsidRPr="00BE15B8">
              <w:rPr>
                <w:rFonts w:asciiTheme="minorHAnsi" w:hAnsiTheme="minorHAnsi"/>
                <w:b/>
                <w:color w:val="FFFFFF"/>
              </w:rPr>
              <w:t>Public functions at the third level of classification</w:t>
            </w:r>
          </w:p>
        </w:tc>
      </w:tr>
      <w:tr w:rsidR="008866FB" w:rsidRPr="00BE15B8" w:rsidTr="006B65F6">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r w:rsidRPr="00BE15B8">
              <w:rPr>
                <w:rFonts w:asciiTheme="minorHAnsi" w:hAnsiTheme="minorHAnsi"/>
              </w:rPr>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014 Basic research</w:t>
            </w:r>
          </w:p>
        </w:tc>
      </w:tr>
      <w:tr w:rsidR="008866FB" w:rsidRPr="00BE15B8"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 xml:space="preserve">03 Public order and safety </w:t>
            </w:r>
          </w:p>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 xml:space="preserve">031 Police services    </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033 Law courts   </w:t>
            </w:r>
          </w:p>
        </w:tc>
      </w:tr>
      <w:tr w:rsidR="008866FB" w:rsidRPr="00BE15B8" w:rsidTr="006B65F6">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034 Prisons  </w:t>
            </w:r>
          </w:p>
        </w:tc>
      </w:tr>
      <w:tr w:rsidR="008866FB" w:rsidRPr="00BE15B8" w:rsidTr="006B65F6">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07 Health</w:t>
            </w:r>
          </w:p>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071 Medical products, appliances and equipment</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072 Outpatient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073 Hospital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074 Public health services</w:t>
            </w:r>
          </w:p>
        </w:tc>
      </w:tr>
      <w:tr w:rsidR="008866FB" w:rsidRPr="00BE15B8" w:rsidTr="006B65F6">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075 R&amp;D</w:t>
            </w:r>
          </w:p>
        </w:tc>
      </w:tr>
      <w:tr w:rsidR="008866FB" w:rsidRPr="00BE15B8" w:rsidTr="006B65F6">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09 Education</w:t>
            </w: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091 Pre-primary and primary education</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092 Secondary education</w:t>
            </w:r>
          </w:p>
        </w:tc>
      </w:tr>
      <w:tr w:rsidR="008866FB" w:rsidRPr="00BE15B8" w:rsidTr="006B65F6">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094 Tertiary education</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095 Education non-definable by level</w:t>
            </w:r>
          </w:p>
        </w:tc>
      </w:tr>
      <w:tr w:rsidR="008866FB" w:rsidRPr="00BE15B8" w:rsidTr="006B65F6">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096 Subsidiary services to education</w:t>
            </w:r>
          </w:p>
        </w:tc>
      </w:tr>
      <w:tr w:rsidR="008866FB" w:rsidRPr="00BE15B8" w:rsidTr="006B65F6">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r w:rsidRPr="00BE15B8">
              <w:rPr>
                <w:rFonts w:asciiTheme="minorHAnsi" w:hAnsiTheme="minorHAnsi"/>
              </w:rPr>
              <w:t>10 Social protection</w:t>
            </w:r>
          </w:p>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rPr>
            </w:pPr>
            <w:r w:rsidRPr="00BE15B8">
              <w:rPr>
                <w:rFonts w:asciiTheme="minorHAnsi" w:hAnsiTheme="minorHAnsi"/>
              </w:rPr>
              <w:t xml:space="preserve">105 Unemployment   </w:t>
            </w:r>
          </w:p>
        </w:tc>
      </w:tr>
      <w:tr w:rsidR="008866FB" w:rsidRPr="00BE15B8" w:rsidTr="006B65F6">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jc w:val="both"/>
              <w:rPr>
                <w:rFonts w:asciiTheme="minorHAnsi" w:hAnsiTheme="minorHAnsi"/>
                <w:bCs/>
              </w:rPr>
            </w:pPr>
            <w:r w:rsidRPr="00BE15B8">
              <w:rPr>
                <w:rFonts w:asciiTheme="minorHAnsi" w:hAnsiTheme="minorHAnsi"/>
              </w:rPr>
              <w:t xml:space="preserve">106 Housing </w:t>
            </w:r>
          </w:p>
        </w:tc>
      </w:tr>
      <w:tr w:rsidR="008866FB" w:rsidRPr="00BE15B8" w:rsidTr="006B65F6">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866FB" w:rsidRPr="00BE15B8" w:rsidRDefault="008866FB" w:rsidP="006B65F6">
            <w:pPr>
              <w:rPr>
                <w:rFonts w:asciiTheme="minorHAnsi" w:hAnsiTheme="minorHAnsi"/>
                <w:bCs/>
              </w:rPr>
            </w:pPr>
          </w:p>
        </w:tc>
        <w:tc>
          <w:tcPr>
            <w:tcW w:w="6158" w:type="dxa"/>
            <w:tcBorders>
              <w:top w:val="single" w:sz="4" w:space="0" w:color="auto"/>
              <w:left w:val="single" w:sz="4" w:space="0" w:color="auto"/>
              <w:bottom w:val="single" w:sz="4" w:space="0" w:color="auto"/>
              <w:right w:val="single" w:sz="4" w:space="0" w:color="auto"/>
            </w:tcBorders>
            <w:vAlign w:val="center"/>
          </w:tcPr>
          <w:p w:rsidR="008866FB" w:rsidRPr="00BE15B8" w:rsidRDefault="008866FB" w:rsidP="006B65F6">
            <w:pPr>
              <w:rPr>
                <w:rFonts w:asciiTheme="minorHAnsi" w:hAnsiTheme="minorHAnsi"/>
              </w:rPr>
            </w:pPr>
            <w:r w:rsidRPr="00BE15B8">
              <w:rPr>
                <w:rFonts w:asciiTheme="minorHAnsi" w:hAnsiTheme="minorHAnsi"/>
              </w:rPr>
              <w:t xml:space="preserve">107 Social exclusion </w:t>
            </w:r>
          </w:p>
        </w:tc>
      </w:tr>
    </w:tbl>
    <w:p w:rsidR="008866FB" w:rsidRPr="00BE15B8" w:rsidRDefault="008866FB" w:rsidP="008866FB">
      <w:pPr>
        <w:spacing w:after="0" w:line="240" w:lineRule="auto"/>
        <w:jc w:val="both"/>
        <w:rPr>
          <w:rFonts w:asciiTheme="minorHAnsi" w:hAnsiTheme="minorHAnsi"/>
          <w:sz w:val="24"/>
          <w:szCs w:val="24"/>
        </w:rPr>
      </w:pPr>
    </w:p>
    <w:p w:rsidR="00CD066D" w:rsidRPr="00BE15B8" w:rsidRDefault="00CD066D">
      <w:pPr>
        <w:rPr>
          <w:rFonts w:asciiTheme="minorHAnsi" w:eastAsiaTheme="minorEastAsia" w:hAnsiTheme="minorHAnsi"/>
          <w:color w:val="000000"/>
          <w:kern w:val="24"/>
        </w:rPr>
      </w:pPr>
      <w:r w:rsidRPr="00BE15B8">
        <w:rPr>
          <w:rFonts w:asciiTheme="minorHAnsi" w:eastAsiaTheme="minorEastAsia" w:hAnsiTheme="minorHAnsi"/>
          <w:color w:val="000000"/>
          <w:kern w:val="24"/>
        </w:rPr>
        <w:br w:type="page"/>
      </w:r>
    </w:p>
    <w:p w:rsidR="001A69CA" w:rsidRPr="00BE15B8" w:rsidRDefault="001A69CA" w:rsidP="001A69CA">
      <w:pPr>
        <w:spacing w:after="0" w:line="240" w:lineRule="auto"/>
        <w:jc w:val="center"/>
        <w:rPr>
          <w:rFonts w:asciiTheme="minorHAnsi" w:hAnsiTheme="minorHAnsi"/>
          <w:b/>
          <w:sz w:val="28"/>
          <w:szCs w:val="28"/>
        </w:rPr>
      </w:pPr>
      <w:r w:rsidRPr="00BE15B8">
        <w:rPr>
          <w:rFonts w:asciiTheme="minorHAnsi" w:hAnsiTheme="minorHAnsi"/>
          <w:b/>
          <w:sz w:val="28"/>
          <w:szCs w:val="28"/>
        </w:rPr>
        <w:t xml:space="preserve">References </w:t>
      </w:r>
    </w:p>
    <w:p w:rsidR="001A69CA" w:rsidRDefault="001A69CA" w:rsidP="001A69CA">
      <w:pPr>
        <w:rPr>
          <w:rFonts w:asciiTheme="minorHAnsi" w:hAnsiTheme="minorHAnsi"/>
        </w:rPr>
      </w:pPr>
    </w:p>
    <w:p w:rsidR="00B36DCD" w:rsidRPr="009A7B47" w:rsidRDefault="00B36DCD" w:rsidP="009A7B47">
      <w:pPr>
        <w:autoSpaceDE w:val="0"/>
        <w:autoSpaceDN w:val="0"/>
        <w:adjustRightInd w:val="0"/>
        <w:spacing w:after="120" w:line="240" w:lineRule="auto"/>
        <w:rPr>
          <w:rFonts w:asciiTheme="minorHAnsi" w:hAnsiTheme="minorHAnsi"/>
          <w:sz w:val="24"/>
          <w:szCs w:val="24"/>
        </w:rPr>
      </w:pPr>
      <w:r w:rsidRPr="007845A6">
        <w:rPr>
          <w:rFonts w:asciiTheme="minorHAnsi" w:hAnsiTheme="minorHAnsi"/>
          <w:sz w:val="24"/>
          <w:szCs w:val="24"/>
          <w:lang w:val="pl-PL"/>
        </w:rPr>
        <w:t xml:space="preserve">Bray, J. W. &amp; Zarkin, G. A. (2006). </w:t>
      </w:r>
      <w:r w:rsidRPr="009A7B47">
        <w:rPr>
          <w:rFonts w:asciiTheme="minorHAnsi" w:hAnsiTheme="minorHAnsi"/>
          <w:sz w:val="24"/>
          <w:szCs w:val="24"/>
        </w:rPr>
        <w:t>Economic evaluation of alcoholism treatment. Alcohol Research and</w:t>
      </w:r>
      <w:r>
        <w:rPr>
          <w:rFonts w:asciiTheme="minorHAnsi" w:hAnsiTheme="minorHAnsi"/>
          <w:sz w:val="24"/>
          <w:szCs w:val="24"/>
        </w:rPr>
        <w:t xml:space="preserve"> </w:t>
      </w:r>
      <w:r w:rsidRPr="009A7B47">
        <w:rPr>
          <w:rFonts w:asciiTheme="minorHAnsi" w:hAnsiTheme="minorHAnsi"/>
          <w:sz w:val="24"/>
          <w:szCs w:val="24"/>
        </w:rPr>
        <w:t>Health, 29(1), 27-33.</w:t>
      </w: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Budak, J., Jurlina Alibegović, D., </w:t>
      </w:r>
      <w:r w:rsidR="00E216FC" w:rsidRPr="00BE15B8">
        <w:rPr>
          <w:rFonts w:asciiTheme="minorHAnsi" w:hAnsiTheme="minorHAnsi"/>
          <w:sz w:val="24"/>
          <w:szCs w:val="24"/>
        </w:rPr>
        <w:t>Slijepčević, S., &amp; Švaljek, S</w:t>
      </w:r>
      <w:r w:rsidRPr="00BE15B8">
        <w:rPr>
          <w:rFonts w:asciiTheme="minorHAnsi" w:hAnsiTheme="minorHAnsi"/>
          <w:sz w:val="24"/>
          <w:szCs w:val="24"/>
        </w:rPr>
        <w:t>. Analiza javnih rashoda za praćenje ostvarivanja ciljeva u području suzbijanja zlouporabe droga u Republici Hrvatskoj [Analysis of public expenditure for monitoring achievement of the objectives in the field of combating drug abuse in the Republic of Croatia]. Zagreb: Ekonomski institut, Zagreb</w:t>
      </w: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i Ured za suzbijanje zlouporabe droga Vlade Republike Hrvatske</w:t>
      </w:r>
      <w:r w:rsidR="00E216FC" w:rsidRPr="00BE15B8">
        <w:rPr>
          <w:rFonts w:asciiTheme="minorHAnsi" w:hAnsiTheme="minorHAnsi"/>
          <w:sz w:val="24"/>
          <w:szCs w:val="24"/>
        </w:rPr>
        <w:t>, . 2013</w:t>
      </w:r>
      <w:r w:rsidRPr="00BE15B8">
        <w:rPr>
          <w:rFonts w:asciiTheme="minorHAnsi" w:hAnsiTheme="minorHAnsi"/>
          <w:sz w:val="24"/>
          <w:szCs w:val="24"/>
        </w:rPr>
        <w:t>.</w:t>
      </w:r>
    </w:p>
    <w:p w:rsidR="001A69CA" w:rsidRPr="00BE15B8" w:rsidRDefault="001A69CA" w:rsidP="00A9247E">
      <w:pPr>
        <w:spacing w:after="0" w:line="240" w:lineRule="auto"/>
        <w:jc w:val="both"/>
        <w:rPr>
          <w:rFonts w:asciiTheme="minorHAnsi" w:hAnsiTheme="minorHAnsi"/>
          <w:sz w:val="24"/>
          <w:szCs w:val="24"/>
        </w:rPr>
      </w:pPr>
    </w:p>
    <w:p w:rsidR="003A1C85" w:rsidRPr="00BE15B8" w:rsidRDefault="003A1C85" w:rsidP="00A9247E">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iCs/>
          <w:sz w:val="24"/>
          <w:szCs w:val="24"/>
        </w:rPr>
        <w:t>Carnevale Associates (2008), ‘FY02-09 Budget emphasizes least effective ingredients of drug policy’, Carnevale Associates LLC, policy brief, February 2008: http://www.carnevaleassociates.com/Federal_Drug_Budget_FY02_09_Trend.pdf</w:t>
      </w:r>
    </w:p>
    <w:p w:rsidR="006B5913" w:rsidRDefault="006B5913" w:rsidP="00631E1A">
      <w:pPr>
        <w:pStyle w:val="Overskrift4"/>
        <w:keepNext w:val="0"/>
        <w:keepLines w:val="0"/>
        <w:spacing w:before="100" w:beforeAutospacing="1" w:after="100" w:afterAutospacing="1" w:line="240" w:lineRule="auto"/>
        <w:rPr>
          <w:rFonts w:asciiTheme="minorHAnsi" w:eastAsia="Calibri" w:hAnsiTheme="minorHAnsi" w:cs="Times New Roman"/>
          <w:b w:val="0"/>
          <w:bCs w:val="0"/>
          <w:i w:val="0"/>
          <w:color w:val="auto"/>
          <w:sz w:val="24"/>
          <w:szCs w:val="24"/>
        </w:rPr>
      </w:pPr>
      <w:r>
        <w:rPr>
          <w:rFonts w:asciiTheme="minorHAnsi" w:eastAsia="Calibri" w:hAnsiTheme="minorHAnsi" w:cs="Times New Roman"/>
          <w:b w:val="0"/>
          <w:bCs w:val="0"/>
          <w:i w:val="0"/>
          <w:color w:val="auto"/>
          <w:sz w:val="24"/>
          <w:szCs w:val="24"/>
        </w:rPr>
        <w:t>Chalk M., Alanis-Hirsch K., Woodworth A., Kemp J. and McLellan T, 2013, FDA approved medication for the treatment of opioid dependence: literature review on effectiveness and cost-effectiveness, Treatment research institute, Science Addiction</w:t>
      </w:r>
    </w:p>
    <w:p w:rsidR="00631E1A" w:rsidRPr="00631E1A" w:rsidRDefault="00631E1A" w:rsidP="00631E1A">
      <w:pPr>
        <w:pStyle w:val="Overskrift4"/>
        <w:keepNext w:val="0"/>
        <w:keepLines w:val="0"/>
        <w:spacing w:before="100" w:beforeAutospacing="1" w:after="100" w:afterAutospacing="1" w:line="240" w:lineRule="auto"/>
        <w:rPr>
          <w:rFonts w:asciiTheme="minorHAnsi" w:eastAsia="Calibri" w:hAnsiTheme="minorHAnsi" w:cs="Times New Roman"/>
          <w:b w:val="0"/>
          <w:bCs w:val="0"/>
          <w:i w:val="0"/>
          <w:color w:val="auto"/>
          <w:sz w:val="24"/>
          <w:szCs w:val="24"/>
        </w:rPr>
      </w:pPr>
      <w:r w:rsidRPr="00631E1A">
        <w:rPr>
          <w:rFonts w:asciiTheme="minorHAnsi" w:eastAsia="Calibri" w:hAnsiTheme="minorHAnsi" w:cs="Times New Roman"/>
          <w:b w:val="0"/>
          <w:bCs w:val="0"/>
          <w:i w:val="0"/>
          <w:color w:val="auto"/>
          <w:sz w:val="24"/>
          <w:szCs w:val="24"/>
        </w:rPr>
        <w:t>Costa Storti C. and De Grauwe P. (2009) The cocaine and heroin markets in the era of globalisation and drug reduction policies</w:t>
      </w:r>
      <w:r>
        <w:rPr>
          <w:rFonts w:asciiTheme="minorHAnsi" w:eastAsia="Calibri" w:hAnsiTheme="minorHAnsi" w:cs="Times New Roman"/>
          <w:b w:val="0"/>
          <w:bCs w:val="0"/>
          <w:i w:val="0"/>
          <w:color w:val="auto"/>
          <w:sz w:val="24"/>
          <w:szCs w:val="24"/>
        </w:rPr>
        <w:t xml:space="preserve">, </w:t>
      </w:r>
      <w:r w:rsidRPr="00631E1A">
        <w:rPr>
          <w:rFonts w:asciiTheme="minorHAnsi" w:eastAsia="Calibri" w:hAnsiTheme="minorHAnsi" w:cs="Times New Roman"/>
          <w:b w:val="0"/>
          <w:bCs w:val="0"/>
          <w:i w:val="0"/>
          <w:color w:val="auto"/>
          <w:sz w:val="24"/>
          <w:szCs w:val="24"/>
        </w:rPr>
        <w:t xml:space="preserve">International Journal of Drug Policy , Volume 20 , Issue 6 , 488 - 496 </w:t>
      </w:r>
    </w:p>
    <w:p w:rsidR="00561AC6" w:rsidRPr="00BE15B8" w:rsidRDefault="00561AC6" w:rsidP="00A9247E">
      <w:pPr>
        <w:pStyle w:val="HTML-forhndsformatert"/>
        <w:shd w:val="clear" w:color="auto" w:fill="FFFFFF"/>
        <w:jc w:val="both"/>
        <w:rPr>
          <w:rFonts w:asciiTheme="minorHAnsi" w:hAnsiTheme="minorHAnsi" w:cs="Times New Roman"/>
          <w:iCs/>
          <w:sz w:val="24"/>
          <w:szCs w:val="24"/>
          <w:lang w:val="en-GB"/>
        </w:rPr>
      </w:pPr>
      <w:r w:rsidRPr="00BE15B8">
        <w:rPr>
          <w:rFonts w:asciiTheme="minorHAnsi" w:hAnsiTheme="minorHAnsi" w:cs="Times New Roman"/>
          <w:iCs/>
          <w:sz w:val="24"/>
          <w:szCs w:val="24"/>
          <w:lang w:val="en-GB"/>
        </w:rPr>
        <w:t>Council of the European Union, 2012, EU Drug Strategy (2013-2020), JAI901, 17547/2, Brussels, 11 December 2012</w:t>
      </w:r>
    </w:p>
    <w:p w:rsidR="00561AC6" w:rsidRPr="00BE15B8" w:rsidRDefault="00561AC6" w:rsidP="00A9247E">
      <w:pPr>
        <w:pStyle w:val="HTML-forhndsformatert"/>
        <w:shd w:val="clear" w:color="auto" w:fill="FFFFFF"/>
        <w:jc w:val="both"/>
        <w:rPr>
          <w:rFonts w:asciiTheme="minorHAnsi" w:hAnsiTheme="minorHAnsi" w:cs="Times New Roman"/>
          <w:iCs/>
          <w:sz w:val="24"/>
          <w:szCs w:val="24"/>
          <w:lang w:val="en-GB"/>
        </w:rPr>
      </w:pPr>
    </w:p>
    <w:p w:rsidR="001A69CA" w:rsidRPr="007A7E71" w:rsidRDefault="001A69CA" w:rsidP="00A9247E">
      <w:pPr>
        <w:spacing w:after="0" w:line="240" w:lineRule="auto"/>
        <w:jc w:val="both"/>
        <w:rPr>
          <w:rFonts w:asciiTheme="minorHAnsi" w:hAnsiTheme="minorHAnsi"/>
          <w:sz w:val="24"/>
          <w:szCs w:val="24"/>
          <w:lang w:val="nb-NO"/>
        </w:rPr>
      </w:pPr>
      <w:r w:rsidRPr="000853BB">
        <w:rPr>
          <w:rFonts w:asciiTheme="minorHAnsi" w:hAnsiTheme="minorHAnsi"/>
          <w:sz w:val="24"/>
          <w:szCs w:val="24"/>
          <w:lang w:val="fr-FR"/>
        </w:rPr>
        <w:t xml:space="preserve">De Ruyver, B., Casselman, J. &amp; Pelc, I. (2004). </w:t>
      </w:r>
      <w:r w:rsidRPr="00BE15B8">
        <w:rPr>
          <w:rFonts w:asciiTheme="minorHAnsi" w:hAnsiTheme="minorHAnsi"/>
          <w:sz w:val="24"/>
          <w:szCs w:val="24"/>
        </w:rPr>
        <w:t xml:space="preserve">Drug policy in figures. Study of the actors involved, cost price calculation and population reached. </w:t>
      </w:r>
      <w:r w:rsidRPr="007A7E71">
        <w:rPr>
          <w:rFonts w:asciiTheme="minorHAnsi" w:hAnsiTheme="minorHAnsi"/>
          <w:sz w:val="24"/>
          <w:szCs w:val="24"/>
          <w:lang w:val="nb-NO"/>
        </w:rPr>
        <w:t>Ghent: Academia Press.</w:t>
      </w:r>
    </w:p>
    <w:p w:rsidR="001A69CA" w:rsidRPr="007A7E71" w:rsidRDefault="001A69CA" w:rsidP="00A9247E">
      <w:pPr>
        <w:spacing w:after="0" w:line="240" w:lineRule="auto"/>
        <w:jc w:val="both"/>
        <w:rPr>
          <w:rFonts w:asciiTheme="minorHAnsi" w:hAnsiTheme="minorHAnsi"/>
          <w:sz w:val="24"/>
          <w:szCs w:val="24"/>
          <w:lang w:val="nb-NO"/>
        </w:rPr>
      </w:pPr>
    </w:p>
    <w:p w:rsidR="001A69CA" w:rsidRPr="00BE15B8" w:rsidRDefault="001A69CA" w:rsidP="00A9247E">
      <w:pPr>
        <w:spacing w:after="0" w:line="240" w:lineRule="auto"/>
        <w:jc w:val="both"/>
        <w:rPr>
          <w:rFonts w:asciiTheme="minorHAnsi" w:hAnsiTheme="minorHAnsi"/>
          <w:sz w:val="24"/>
          <w:szCs w:val="24"/>
        </w:rPr>
      </w:pPr>
      <w:r w:rsidRPr="007A7E71">
        <w:rPr>
          <w:rFonts w:asciiTheme="minorHAnsi" w:hAnsiTheme="minorHAnsi"/>
          <w:sz w:val="24"/>
          <w:szCs w:val="24"/>
          <w:lang w:val="nb-NO"/>
        </w:rPr>
        <w:t xml:space="preserve">De Ruyver, B., Van Malderen, S. &amp; Vander Laenen, F. (2007). </w:t>
      </w:r>
      <w:r w:rsidRPr="00BE15B8">
        <w:rPr>
          <w:rFonts w:asciiTheme="minorHAnsi" w:hAnsiTheme="minorHAnsi"/>
          <w:sz w:val="24"/>
          <w:szCs w:val="24"/>
        </w:rPr>
        <w:t>Study into public expenditure with regard to national drug policies. A feasible plan for the national focal points.</w:t>
      </w:r>
    </w:p>
    <w:p w:rsidR="001A69CA" w:rsidRPr="00BE15B8" w:rsidRDefault="001A69CA" w:rsidP="00A9247E">
      <w:pPr>
        <w:spacing w:after="0" w:line="240" w:lineRule="auto"/>
        <w:jc w:val="both"/>
        <w:rPr>
          <w:rFonts w:asciiTheme="minorHAnsi" w:hAnsiTheme="minorHAnsi"/>
          <w:sz w:val="24"/>
          <w:szCs w:val="24"/>
          <w:lang w:eastAsia="nl-BE"/>
        </w:rPr>
      </w:pPr>
    </w:p>
    <w:p w:rsidR="00743AC9" w:rsidRPr="00BE15B8" w:rsidRDefault="00743AC9" w:rsidP="00A9247E">
      <w:pPr>
        <w:autoSpaceDE w:val="0"/>
        <w:autoSpaceDN w:val="0"/>
        <w:adjustRightInd w:val="0"/>
        <w:jc w:val="both"/>
        <w:rPr>
          <w:rFonts w:asciiTheme="minorHAnsi" w:hAnsiTheme="minorHAnsi"/>
          <w:sz w:val="24"/>
          <w:szCs w:val="24"/>
        </w:rPr>
      </w:pPr>
      <w:r w:rsidRPr="00BE15B8">
        <w:rPr>
          <w:rFonts w:asciiTheme="minorHAnsi" w:hAnsiTheme="minorHAnsi"/>
          <w:sz w:val="24"/>
          <w:szCs w:val="24"/>
        </w:rPr>
        <w:t>De Ruyver, B and others,</w:t>
      </w:r>
      <w:r w:rsidR="008D5572" w:rsidRPr="00BE15B8">
        <w:rPr>
          <w:rFonts w:asciiTheme="minorHAnsi" w:hAnsiTheme="minorHAnsi"/>
          <w:sz w:val="24"/>
          <w:szCs w:val="24"/>
        </w:rPr>
        <w:t xml:space="preserve"> (2007)</w:t>
      </w:r>
      <w:r w:rsidRPr="00BE15B8">
        <w:rPr>
          <w:rFonts w:asciiTheme="minorHAnsi" w:hAnsiTheme="minorHAnsi"/>
          <w:sz w:val="24"/>
          <w:szCs w:val="24"/>
        </w:rPr>
        <w:t xml:space="preserve"> </w:t>
      </w:r>
      <w:r w:rsidRPr="00BE15B8">
        <w:rPr>
          <w:rFonts w:asciiTheme="minorHAnsi" w:hAnsiTheme="minorHAnsi"/>
          <w:iCs/>
          <w:sz w:val="24"/>
          <w:szCs w:val="24"/>
        </w:rPr>
        <w:t>Drug Policy in Figures II: Follow-up Research into the Actors, Public Spending and Reached Target Groups</w:t>
      </w:r>
      <w:r w:rsidRPr="00BE15B8">
        <w:rPr>
          <w:rFonts w:asciiTheme="minorHAnsi" w:hAnsiTheme="minorHAnsi"/>
          <w:sz w:val="24"/>
          <w:szCs w:val="24"/>
        </w:rPr>
        <w:t>Ghent, Academia Press, 2007.</w:t>
      </w:r>
    </w:p>
    <w:p w:rsidR="009C2A62" w:rsidRDefault="009C2A62" w:rsidP="009C2A62">
      <w:pPr>
        <w:autoSpaceDE w:val="0"/>
        <w:autoSpaceDN w:val="0"/>
        <w:adjustRightInd w:val="0"/>
        <w:jc w:val="both"/>
        <w:rPr>
          <w:rFonts w:asciiTheme="minorHAnsi" w:hAnsiTheme="minorHAnsi"/>
          <w:sz w:val="24"/>
          <w:szCs w:val="24"/>
        </w:rPr>
      </w:pPr>
      <w:r w:rsidRPr="009C2A62">
        <w:rPr>
          <w:rFonts w:asciiTheme="minorHAnsi" w:hAnsiTheme="minorHAnsi"/>
          <w:sz w:val="24"/>
          <w:szCs w:val="24"/>
        </w:rPr>
        <w:t>Drummond, M. F., O’Brien, B., Stoddart, G. L., Torrance, G. W., 1997, Methods for the economic evaluation of health care programmes (2nd edition), Oxford, Oxford University Press.</w:t>
      </w:r>
    </w:p>
    <w:p w:rsidR="00F31323" w:rsidRDefault="00F31323" w:rsidP="002C3A09">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t>European Commission, 2012, The quality of public expenditures in the EU, Occasional papers 125, December 2012, ISBN 978-92-79-22932-9.</w:t>
      </w:r>
    </w:p>
    <w:p w:rsidR="00F31323" w:rsidRDefault="00F31323" w:rsidP="002C3A09">
      <w:pPr>
        <w:autoSpaceDE w:val="0"/>
        <w:autoSpaceDN w:val="0"/>
        <w:adjustRightInd w:val="0"/>
        <w:spacing w:after="0" w:line="240" w:lineRule="auto"/>
        <w:jc w:val="both"/>
        <w:rPr>
          <w:rFonts w:asciiTheme="minorHAnsi" w:hAnsiTheme="minorHAnsi"/>
          <w:sz w:val="24"/>
          <w:szCs w:val="24"/>
        </w:rPr>
      </w:pPr>
    </w:p>
    <w:p w:rsidR="002C3A09" w:rsidRPr="00BE15B8" w:rsidRDefault="003D0511"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rPr>
        <w:t xml:space="preserve">European Monitoring Centre for Drugs and Drug Addiction, </w:t>
      </w:r>
      <w:r w:rsidRPr="00BE15B8">
        <w:rPr>
          <w:rFonts w:asciiTheme="minorHAnsi" w:hAnsiTheme="minorHAnsi"/>
          <w:iCs/>
          <w:sz w:val="24"/>
          <w:szCs w:val="24"/>
        </w:rPr>
        <w:t>EMCDDA (2007). “The State of the Drug Problem in Europe,” 2007 Annual Report, pp. 12–13, Luxembourg: Office for Official Publicati</w:t>
      </w:r>
      <w:r w:rsidR="002C3A09" w:rsidRPr="00BE15B8">
        <w:rPr>
          <w:rFonts w:asciiTheme="minorHAnsi" w:hAnsiTheme="minorHAnsi"/>
          <w:iCs/>
          <w:sz w:val="24"/>
          <w:szCs w:val="24"/>
        </w:rPr>
        <w:t>on of the European Communities.</w:t>
      </w:r>
    </w:p>
    <w:p w:rsidR="002C3A09" w:rsidRPr="00BE15B8" w:rsidRDefault="002C3A09" w:rsidP="002C3A09">
      <w:pPr>
        <w:autoSpaceDE w:val="0"/>
        <w:autoSpaceDN w:val="0"/>
        <w:adjustRightInd w:val="0"/>
        <w:spacing w:after="0" w:line="240" w:lineRule="auto"/>
        <w:jc w:val="both"/>
        <w:rPr>
          <w:rFonts w:asciiTheme="minorHAnsi" w:hAnsiTheme="minorHAnsi"/>
          <w:iCs/>
          <w:sz w:val="24"/>
          <w:szCs w:val="24"/>
        </w:rPr>
      </w:pPr>
    </w:p>
    <w:p w:rsidR="002C3A09" w:rsidRPr="00BE15B8" w:rsidRDefault="00743AC9"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rPr>
        <w:t xml:space="preserve">European Monitoring Centre for Drugs and Drug Addiction, EMCDDA </w:t>
      </w:r>
      <w:r w:rsidR="008D5572" w:rsidRPr="00BE15B8">
        <w:rPr>
          <w:rFonts w:asciiTheme="minorHAnsi" w:hAnsiTheme="minorHAnsi"/>
          <w:sz w:val="24"/>
          <w:szCs w:val="24"/>
        </w:rPr>
        <w:t>(</w:t>
      </w:r>
      <w:r w:rsidRPr="00BE15B8">
        <w:rPr>
          <w:rFonts w:asciiTheme="minorHAnsi" w:hAnsiTheme="minorHAnsi"/>
          <w:sz w:val="24"/>
          <w:szCs w:val="24"/>
        </w:rPr>
        <w:t>2008</w:t>
      </w:r>
      <w:r w:rsidR="008D5572" w:rsidRPr="00BE15B8">
        <w:rPr>
          <w:rFonts w:asciiTheme="minorHAnsi" w:hAnsiTheme="minorHAnsi"/>
          <w:sz w:val="24"/>
          <w:szCs w:val="24"/>
        </w:rPr>
        <w:t>)</w:t>
      </w:r>
      <w:r w:rsidRPr="00BE15B8">
        <w:rPr>
          <w:rFonts w:asciiTheme="minorHAnsi" w:hAnsiTheme="minorHAnsi"/>
          <w:sz w:val="24"/>
          <w:szCs w:val="24"/>
        </w:rPr>
        <w:t xml:space="preserve"> Selected Issue: Towards a Better Understanding of Drug-Related Public Expenditure in Europe, Luxembourg, Office for Official Publications of the European Communities, 2008.</w:t>
      </w:r>
    </w:p>
    <w:p w:rsidR="002C3A09" w:rsidRPr="00BE15B8" w:rsidRDefault="002C3A09" w:rsidP="002C3A09">
      <w:pPr>
        <w:autoSpaceDE w:val="0"/>
        <w:autoSpaceDN w:val="0"/>
        <w:adjustRightInd w:val="0"/>
        <w:spacing w:after="0" w:line="240" w:lineRule="auto"/>
        <w:jc w:val="both"/>
        <w:rPr>
          <w:rFonts w:asciiTheme="minorHAnsi" w:hAnsiTheme="minorHAnsi"/>
          <w:iCs/>
          <w:sz w:val="24"/>
          <w:szCs w:val="24"/>
        </w:rPr>
      </w:pPr>
    </w:p>
    <w:p w:rsidR="001A69CA" w:rsidRPr="00BE15B8" w:rsidRDefault="001A69CA" w:rsidP="002C3A09">
      <w:pPr>
        <w:autoSpaceDE w:val="0"/>
        <w:autoSpaceDN w:val="0"/>
        <w:adjustRightInd w:val="0"/>
        <w:spacing w:after="0" w:line="240" w:lineRule="auto"/>
        <w:jc w:val="both"/>
        <w:rPr>
          <w:rFonts w:asciiTheme="minorHAnsi" w:hAnsiTheme="minorHAnsi"/>
          <w:iCs/>
          <w:sz w:val="24"/>
          <w:szCs w:val="24"/>
        </w:rPr>
      </w:pPr>
      <w:r w:rsidRPr="00BE15B8">
        <w:rPr>
          <w:rFonts w:asciiTheme="minorHAnsi" w:hAnsiTheme="minorHAnsi"/>
          <w:sz w:val="24"/>
          <w:szCs w:val="24"/>
          <w:lang w:eastAsia="nl-BE"/>
        </w:rPr>
        <w:t>European Monitoring Centre for Drugs and Drug Addiction (2014), Estimating public expenditure on drug-law offenders in prison in Europe, EMCDDA Papers, Publications Office of the European Union, Luxembourg.</w:t>
      </w:r>
    </w:p>
    <w:p w:rsidR="00E53CFB" w:rsidRPr="00BE15B8" w:rsidRDefault="00E53CFB" w:rsidP="00A9247E">
      <w:pPr>
        <w:spacing w:after="0" w:line="240" w:lineRule="auto"/>
        <w:jc w:val="both"/>
        <w:rPr>
          <w:rFonts w:asciiTheme="minorHAnsi" w:hAnsiTheme="minorHAnsi"/>
          <w:sz w:val="24"/>
          <w:szCs w:val="24"/>
          <w:lang w:eastAsia="nl-BE"/>
        </w:rPr>
      </w:pPr>
    </w:p>
    <w:p w:rsidR="001A69CA" w:rsidRPr="00BE15B8" w:rsidRDefault="001A69CA" w:rsidP="00A9247E">
      <w:pPr>
        <w:spacing w:after="0" w:line="240" w:lineRule="auto"/>
        <w:jc w:val="both"/>
        <w:rPr>
          <w:rFonts w:asciiTheme="minorHAnsi" w:hAnsiTheme="minorHAnsi"/>
          <w:sz w:val="24"/>
          <w:szCs w:val="24"/>
          <w:lang w:eastAsia="nl-BE"/>
        </w:rPr>
      </w:pPr>
      <w:r w:rsidRPr="00BE15B8">
        <w:rPr>
          <w:rFonts w:asciiTheme="minorHAnsi" w:hAnsiTheme="minorHAnsi"/>
          <w:sz w:val="24"/>
          <w:szCs w:val="24"/>
          <w:lang w:eastAsia="nl-BE"/>
        </w:rPr>
        <w:t>European Monitoring Centre for Drugs and Drug Addiction (2014a), Financing drug policy in Europe in the wake of the economic recession, EMCDDA Papers, Publications Office of the European Union, Luxembourg.</w:t>
      </w:r>
    </w:p>
    <w:p w:rsidR="001A69CA" w:rsidRPr="00BE15B8" w:rsidRDefault="001A69CA" w:rsidP="00A9247E">
      <w:pPr>
        <w:spacing w:after="0" w:line="240" w:lineRule="auto"/>
        <w:jc w:val="both"/>
        <w:rPr>
          <w:rFonts w:asciiTheme="minorHAnsi" w:hAnsiTheme="minorHAnsi"/>
          <w:sz w:val="24"/>
          <w:szCs w:val="24"/>
        </w:rPr>
      </w:pPr>
    </w:p>
    <w:p w:rsidR="00E53CFB" w:rsidRDefault="00E53CFB" w:rsidP="00E53CFB">
      <w:pPr>
        <w:autoSpaceDE w:val="0"/>
        <w:autoSpaceDN w:val="0"/>
        <w:adjustRightInd w:val="0"/>
        <w:jc w:val="both"/>
        <w:rPr>
          <w:rFonts w:asciiTheme="minorHAnsi" w:hAnsiTheme="minorHAnsi"/>
          <w:sz w:val="24"/>
          <w:szCs w:val="24"/>
        </w:rPr>
      </w:pPr>
      <w:r w:rsidRPr="00BE15B8">
        <w:rPr>
          <w:rFonts w:asciiTheme="minorHAnsi" w:hAnsiTheme="minorHAnsi"/>
          <w:sz w:val="24"/>
          <w:szCs w:val="24"/>
          <w:lang w:eastAsia="nl-BE"/>
        </w:rPr>
        <w:t xml:space="preserve">European Monitoring Centre for Drugs and Drug Addiction (2014b) European Drug Report – Trends and developments, </w:t>
      </w:r>
      <w:r w:rsidRPr="00BE15B8">
        <w:rPr>
          <w:rFonts w:asciiTheme="minorHAnsi" w:hAnsiTheme="minorHAnsi"/>
          <w:sz w:val="24"/>
          <w:szCs w:val="24"/>
        </w:rPr>
        <w:t>Luxembourg, Office for Official Publications of the European Communities, 2014.</w:t>
      </w:r>
    </w:p>
    <w:p w:rsidR="00A93301" w:rsidRDefault="00A93301" w:rsidP="00A93301">
      <w:pPr>
        <w:autoSpaceDE w:val="0"/>
        <w:autoSpaceDN w:val="0"/>
        <w:adjustRightInd w:val="0"/>
        <w:jc w:val="both"/>
        <w:rPr>
          <w:rFonts w:asciiTheme="minorHAnsi" w:hAnsiTheme="minorHAnsi"/>
          <w:sz w:val="24"/>
          <w:szCs w:val="24"/>
        </w:rPr>
      </w:pPr>
      <w:r w:rsidRPr="00BE15B8">
        <w:rPr>
          <w:rFonts w:asciiTheme="minorHAnsi" w:hAnsiTheme="minorHAnsi"/>
          <w:sz w:val="24"/>
          <w:szCs w:val="24"/>
          <w:lang w:eastAsia="nl-BE"/>
        </w:rPr>
        <w:t>European Monitoring Centre for Drugs and Drug Addiction (201</w:t>
      </w:r>
      <w:r>
        <w:rPr>
          <w:rFonts w:asciiTheme="minorHAnsi" w:hAnsiTheme="minorHAnsi"/>
          <w:sz w:val="24"/>
          <w:szCs w:val="24"/>
          <w:lang w:eastAsia="nl-BE"/>
        </w:rPr>
        <w:t>5</w:t>
      </w:r>
      <w:r w:rsidRPr="00BE15B8">
        <w:rPr>
          <w:rFonts w:asciiTheme="minorHAnsi" w:hAnsiTheme="minorHAnsi"/>
          <w:sz w:val="24"/>
          <w:szCs w:val="24"/>
          <w:lang w:eastAsia="nl-BE"/>
        </w:rPr>
        <w:t xml:space="preserve">) European Drug Report – Trends and developments, </w:t>
      </w:r>
      <w:r w:rsidRPr="00BE15B8">
        <w:rPr>
          <w:rFonts w:asciiTheme="minorHAnsi" w:hAnsiTheme="minorHAnsi"/>
          <w:sz w:val="24"/>
          <w:szCs w:val="24"/>
        </w:rPr>
        <w:t>Luxembourg, Office for Official Publications of the European Communities, 2014.</w:t>
      </w:r>
    </w:p>
    <w:p w:rsidR="00DD6820" w:rsidRDefault="00DD6820" w:rsidP="00E53CFB">
      <w:pPr>
        <w:autoSpaceDE w:val="0"/>
        <w:autoSpaceDN w:val="0"/>
        <w:adjustRightInd w:val="0"/>
        <w:jc w:val="both"/>
        <w:rPr>
          <w:rFonts w:asciiTheme="minorHAnsi" w:hAnsiTheme="minorHAnsi"/>
          <w:sz w:val="24"/>
          <w:szCs w:val="24"/>
          <w:lang w:eastAsia="nl-BE"/>
        </w:rPr>
      </w:pPr>
      <w:r w:rsidRPr="00BE15B8">
        <w:rPr>
          <w:rFonts w:asciiTheme="minorHAnsi" w:hAnsiTheme="minorHAnsi"/>
          <w:sz w:val="24"/>
          <w:szCs w:val="24"/>
          <w:lang w:eastAsia="nl-BE"/>
        </w:rPr>
        <w:t>European Monitoring Centre for</w:t>
      </w:r>
      <w:r>
        <w:rPr>
          <w:rFonts w:asciiTheme="minorHAnsi" w:hAnsiTheme="minorHAnsi"/>
          <w:sz w:val="24"/>
          <w:szCs w:val="24"/>
          <w:lang w:eastAsia="nl-BE"/>
        </w:rPr>
        <w:t xml:space="preserve"> Drugs and Drug Addiction (2016), Countries overviews, </w:t>
      </w:r>
      <w:hyperlink r:id="rId18" w:history="1">
        <w:r w:rsidR="00345E44" w:rsidRPr="00AA156B">
          <w:rPr>
            <w:rStyle w:val="Hyperkobling"/>
            <w:rFonts w:asciiTheme="minorHAnsi" w:hAnsiTheme="minorHAnsi"/>
            <w:sz w:val="24"/>
            <w:szCs w:val="24"/>
            <w:lang w:eastAsia="nl-BE"/>
          </w:rPr>
          <w:t>http://www.emcdda.europa.eu/countries</w:t>
        </w:r>
      </w:hyperlink>
    </w:p>
    <w:p w:rsidR="00345E44" w:rsidRPr="00BE15B8" w:rsidRDefault="00345E44" w:rsidP="00E53CFB">
      <w:pPr>
        <w:autoSpaceDE w:val="0"/>
        <w:autoSpaceDN w:val="0"/>
        <w:adjustRightInd w:val="0"/>
        <w:jc w:val="both"/>
        <w:rPr>
          <w:rFonts w:asciiTheme="minorHAnsi" w:hAnsiTheme="minorHAnsi"/>
          <w:sz w:val="24"/>
          <w:szCs w:val="24"/>
        </w:rPr>
      </w:pPr>
      <w:r w:rsidRPr="00BE15B8">
        <w:rPr>
          <w:rFonts w:asciiTheme="minorHAnsi" w:hAnsiTheme="minorHAnsi"/>
          <w:sz w:val="24"/>
          <w:szCs w:val="24"/>
          <w:lang w:eastAsia="nl-BE"/>
        </w:rPr>
        <w:t>European Monitoring Centre for</w:t>
      </w:r>
      <w:r>
        <w:rPr>
          <w:rFonts w:asciiTheme="minorHAnsi" w:hAnsiTheme="minorHAnsi"/>
          <w:sz w:val="24"/>
          <w:szCs w:val="24"/>
          <w:lang w:eastAsia="nl-BE"/>
        </w:rPr>
        <w:t xml:space="preserve"> Drugs and Drug Addiction and Europol (2016), EU Drug markets report: in-depth analysis, EMCDDA-Europol joint publication, Publications Office of the European Union, Luxembourg</w:t>
      </w:r>
    </w:p>
    <w:p w:rsidR="00E53CFB" w:rsidRPr="00BE15B8" w:rsidRDefault="000277EE" w:rsidP="00A9247E">
      <w:pPr>
        <w:spacing w:after="0" w:line="240" w:lineRule="auto"/>
        <w:jc w:val="both"/>
        <w:rPr>
          <w:rFonts w:asciiTheme="minorHAnsi" w:hAnsiTheme="minorHAnsi"/>
          <w:sz w:val="24"/>
          <w:szCs w:val="24"/>
        </w:rPr>
      </w:pPr>
      <w:r w:rsidRPr="00BE15B8">
        <w:rPr>
          <w:rFonts w:asciiTheme="minorHAnsi" w:hAnsiTheme="minorHAnsi"/>
          <w:sz w:val="24"/>
          <w:szCs w:val="24"/>
        </w:rPr>
        <w:t>Eurostat, 2011, Manu</w:t>
      </w:r>
      <w:r w:rsidR="003C3D7C">
        <w:rPr>
          <w:rFonts w:asciiTheme="minorHAnsi" w:hAnsiTheme="minorHAnsi"/>
          <w:sz w:val="24"/>
          <w:szCs w:val="24"/>
        </w:rPr>
        <w:t>a</w:t>
      </w:r>
      <w:r w:rsidRPr="00BE15B8">
        <w:rPr>
          <w:rFonts w:asciiTheme="minorHAnsi" w:hAnsiTheme="minorHAnsi"/>
          <w:sz w:val="24"/>
          <w:szCs w:val="24"/>
        </w:rPr>
        <w:t>l on Sources and methods for the compilation of COFOG statistics – Classifi</w:t>
      </w:r>
      <w:r w:rsidR="003C3D7C">
        <w:rPr>
          <w:rFonts w:asciiTheme="minorHAnsi" w:hAnsiTheme="minorHAnsi"/>
          <w:sz w:val="24"/>
          <w:szCs w:val="24"/>
        </w:rPr>
        <w:t>c</w:t>
      </w:r>
      <w:r w:rsidRPr="00BE15B8">
        <w:rPr>
          <w:rFonts w:asciiTheme="minorHAnsi" w:hAnsiTheme="minorHAnsi"/>
          <w:sz w:val="24"/>
          <w:szCs w:val="24"/>
        </w:rPr>
        <w:t xml:space="preserve">action of the Functions of Government (COFOG), Eurostat Methodologies and working papers, 2011 Edition, </w:t>
      </w:r>
      <w:r w:rsidR="003C3D7C">
        <w:rPr>
          <w:rFonts w:asciiTheme="minorHAnsi" w:hAnsiTheme="minorHAnsi"/>
          <w:sz w:val="24"/>
          <w:szCs w:val="24"/>
        </w:rPr>
        <w:t>The o</w:t>
      </w:r>
      <w:r w:rsidRPr="00BE15B8">
        <w:rPr>
          <w:rFonts w:asciiTheme="minorHAnsi" w:hAnsiTheme="minorHAnsi"/>
          <w:sz w:val="24"/>
          <w:szCs w:val="24"/>
        </w:rPr>
        <w:t>ffice for official publications of the European communities, Luxembourg</w:t>
      </w:r>
    </w:p>
    <w:p w:rsidR="000277EE" w:rsidRDefault="000277EE" w:rsidP="00A9247E">
      <w:pPr>
        <w:spacing w:after="0" w:line="240" w:lineRule="auto"/>
        <w:jc w:val="both"/>
        <w:rPr>
          <w:rFonts w:asciiTheme="minorHAnsi" w:hAnsiTheme="minorHAnsi"/>
          <w:sz w:val="24"/>
          <w:szCs w:val="24"/>
        </w:rPr>
      </w:pPr>
    </w:p>
    <w:p w:rsidR="00FC7E01" w:rsidRDefault="00FC7E01" w:rsidP="00A9247E">
      <w:pPr>
        <w:spacing w:after="0" w:line="240" w:lineRule="auto"/>
        <w:jc w:val="both"/>
        <w:rPr>
          <w:rFonts w:asciiTheme="minorHAnsi" w:hAnsiTheme="minorHAnsi"/>
          <w:sz w:val="24"/>
          <w:szCs w:val="24"/>
        </w:rPr>
      </w:pPr>
      <w:r w:rsidRPr="009A7B47">
        <w:rPr>
          <w:rFonts w:asciiTheme="minorHAnsi" w:hAnsiTheme="minorHAnsi"/>
          <w:sz w:val="24"/>
          <w:szCs w:val="24"/>
        </w:rPr>
        <w:t>Fazey C.S.J., 2003, International Journal of Drug Policy</w:t>
      </w:r>
      <w:r w:rsidR="00036311">
        <w:rPr>
          <w:rFonts w:asciiTheme="minorHAnsi" w:hAnsiTheme="minorHAnsi"/>
          <w:sz w:val="24"/>
          <w:szCs w:val="24"/>
        </w:rPr>
        <w:t>,</w:t>
      </w:r>
      <w:r w:rsidRPr="009A7B47">
        <w:rPr>
          <w:rFonts w:asciiTheme="minorHAnsi" w:hAnsiTheme="minorHAnsi"/>
          <w:sz w:val="24"/>
          <w:szCs w:val="24"/>
        </w:rPr>
        <w:t xml:space="preserve"> 14:155-169</w:t>
      </w:r>
    </w:p>
    <w:p w:rsidR="0049152A" w:rsidRDefault="0049152A" w:rsidP="0049152A">
      <w:pPr>
        <w:pStyle w:val="Overskrift2"/>
        <w:rPr>
          <w:rFonts w:asciiTheme="minorHAnsi" w:hAnsiTheme="minorHAnsi"/>
          <w:sz w:val="24"/>
          <w:szCs w:val="24"/>
        </w:rPr>
      </w:pPr>
      <w:r w:rsidRPr="00296E85">
        <w:rPr>
          <w:rFonts w:asciiTheme="minorHAnsi" w:eastAsia="Arial Unicode MS" w:hAnsiTheme="minorHAnsi" w:cs="Times New Roman"/>
          <w:b w:val="0"/>
          <w:bCs w:val="0"/>
          <w:color w:val="auto"/>
          <w:sz w:val="24"/>
          <w:szCs w:val="24"/>
          <w:shd w:val="clear" w:color="auto" w:fill="FFFFFF"/>
          <w:lang w:eastAsia="en-US"/>
        </w:rPr>
        <w:t>French Monitoring Centre for Drugs and Drug Addiction</w:t>
      </w:r>
      <w:r>
        <w:rPr>
          <w:rFonts w:asciiTheme="minorHAnsi" w:eastAsia="Arial Unicode MS" w:hAnsiTheme="minorHAnsi" w:cs="Times New Roman"/>
          <w:b w:val="0"/>
          <w:bCs w:val="0"/>
          <w:color w:val="auto"/>
          <w:sz w:val="24"/>
          <w:szCs w:val="24"/>
          <w:shd w:val="clear" w:color="auto" w:fill="FFFFFF"/>
          <w:lang w:eastAsia="en-US"/>
        </w:rPr>
        <w:t xml:space="preserve">, </w:t>
      </w:r>
      <w:r w:rsidRPr="00296E85">
        <w:rPr>
          <w:rStyle w:val="Hyperkobling"/>
          <w:rFonts w:asciiTheme="minorHAnsi" w:eastAsia="Arial Unicode MS" w:hAnsiTheme="minorHAnsi" w:cs="Times New Roman"/>
          <w:b w:val="0"/>
          <w:bCs w:val="0"/>
          <w:color w:val="auto"/>
          <w:sz w:val="24"/>
          <w:szCs w:val="24"/>
          <w:u w:val="none"/>
          <w:lang w:eastAsia="en-US"/>
        </w:rPr>
        <w:t>Recent trends in drug-related public expenditure and drug-related services in France, available on</w:t>
      </w:r>
      <w:r w:rsidRPr="00BE15B8">
        <w:rPr>
          <w:rFonts w:asciiTheme="minorHAnsi" w:hAnsiTheme="minorHAnsi"/>
          <w:sz w:val="24"/>
          <w:szCs w:val="24"/>
        </w:rPr>
        <w:t xml:space="preserve"> </w:t>
      </w:r>
      <w:hyperlink r:id="rId19" w:history="1">
        <w:r w:rsidRPr="00BE15B8">
          <w:rPr>
            <w:rStyle w:val="Hyperkobling"/>
            <w:rFonts w:asciiTheme="minorHAnsi" w:hAnsiTheme="minorHAnsi"/>
            <w:sz w:val="24"/>
            <w:szCs w:val="24"/>
          </w:rPr>
          <w:t>http://en.ofdt.fr/BDD/publications/docs/nr2012si2.pdf</w:t>
        </w:r>
      </w:hyperlink>
      <w:r w:rsidRPr="00BE15B8">
        <w:rPr>
          <w:rFonts w:asciiTheme="minorHAnsi" w:hAnsiTheme="minorHAnsi"/>
          <w:sz w:val="24"/>
          <w:szCs w:val="24"/>
        </w:rPr>
        <w:t xml:space="preserve"> </w:t>
      </w:r>
    </w:p>
    <w:p w:rsidR="0049152A" w:rsidRPr="00BE15B8" w:rsidRDefault="0049152A" w:rsidP="00A9247E">
      <w:pPr>
        <w:spacing w:after="0" w:line="240" w:lineRule="auto"/>
        <w:jc w:val="both"/>
        <w:rPr>
          <w:rFonts w:asciiTheme="minorHAnsi" w:hAnsiTheme="minorHAnsi"/>
          <w:sz w:val="24"/>
          <w:szCs w:val="24"/>
        </w:rPr>
      </w:pPr>
    </w:p>
    <w:p w:rsidR="00A61B32" w:rsidRPr="00BE15B8" w:rsidRDefault="00A61B32" w:rsidP="004B1C4F">
      <w:pPr>
        <w:spacing w:after="0" w:line="240" w:lineRule="auto"/>
        <w:jc w:val="both"/>
        <w:rPr>
          <w:rFonts w:asciiTheme="minorHAnsi" w:hAnsiTheme="minorHAnsi"/>
          <w:sz w:val="24"/>
          <w:szCs w:val="24"/>
        </w:rPr>
      </w:pPr>
      <w:r w:rsidRPr="00BE15B8">
        <w:rPr>
          <w:rFonts w:asciiTheme="minorHAnsi" w:hAnsiTheme="minorHAnsi"/>
          <w:sz w:val="24"/>
          <w:szCs w:val="24"/>
        </w:rPr>
        <w:t>Genetti B. (2014), First component of costs (costs of enforcing the Law ) – conceptual model, methodology and results in Italy. Presented at the conference ‘Preparing a national study on drug-related social costs’, Zagreb  7 – 11 April 2014.</w:t>
      </w:r>
    </w:p>
    <w:p w:rsidR="00AE43B9" w:rsidRDefault="00AE43B9" w:rsidP="004B1C4F">
      <w:pPr>
        <w:spacing w:after="0" w:line="240" w:lineRule="auto"/>
        <w:jc w:val="both"/>
        <w:rPr>
          <w:rFonts w:asciiTheme="minorHAnsi" w:hAnsiTheme="minorHAnsi"/>
          <w:sz w:val="24"/>
          <w:szCs w:val="24"/>
        </w:rPr>
      </w:pPr>
    </w:p>
    <w:p w:rsidR="00B36DCD" w:rsidRDefault="00B36DCD" w:rsidP="009A7B47">
      <w:pPr>
        <w:autoSpaceDE w:val="0"/>
        <w:autoSpaceDN w:val="0"/>
        <w:adjustRightInd w:val="0"/>
        <w:spacing w:after="0" w:line="240" w:lineRule="auto"/>
        <w:rPr>
          <w:rFonts w:asciiTheme="minorHAnsi" w:hAnsiTheme="minorHAnsi"/>
          <w:sz w:val="24"/>
          <w:szCs w:val="24"/>
        </w:rPr>
      </w:pPr>
      <w:r w:rsidRPr="009A7B47">
        <w:rPr>
          <w:rFonts w:asciiTheme="minorHAnsi" w:hAnsiTheme="minorHAnsi"/>
          <w:sz w:val="24"/>
          <w:szCs w:val="24"/>
          <w:lang w:val="de-DE"/>
        </w:rPr>
        <w:t xml:space="preserve">Gold, M.R., Siegel, J.E., Russel, L.B., &amp; Weinstein, M.C. (Eds.) </w:t>
      </w:r>
      <w:r w:rsidRPr="009A7B47">
        <w:rPr>
          <w:rFonts w:asciiTheme="minorHAnsi" w:hAnsiTheme="minorHAnsi"/>
          <w:sz w:val="24"/>
          <w:szCs w:val="24"/>
        </w:rPr>
        <w:t>(1996). Cost-effectiveness in Health and</w:t>
      </w:r>
      <w:r>
        <w:rPr>
          <w:rFonts w:asciiTheme="minorHAnsi" w:hAnsiTheme="minorHAnsi"/>
          <w:sz w:val="24"/>
          <w:szCs w:val="24"/>
        </w:rPr>
        <w:t xml:space="preserve"> </w:t>
      </w:r>
      <w:r w:rsidRPr="009A7B47">
        <w:rPr>
          <w:rFonts w:asciiTheme="minorHAnsi" w:hAnsiTheme="minorHAnsi"/>
          <w:sz w:val="24"/>
          <w:szCs w:val="24"/>
        </w:rPr>
        <w:t>Medicine, New York: Oxford University Press.</w:t>
      </w:r>
    </w:p>
    <w:p w:rsidR="00B36DCD" w:rsidRPr="00BE15B8" w:rsidRDefault="00B36DCD" w:rsidP="004B1C4F">
      <w:pPr>
        <w:spacing w:after="0" w:line="240" w:lineRule="auto"/>
        <w:jc w:val="both"/>
        <w:rPr>
          <w:rFonts w:asciiTheme="minorHAnsi" w:hAnsiTheme="minorHAnsi"/>
          <w:sz w:val="24"/>
          <w:szCs w:val="24"/>
        </w:rPr>
      </w:pPr>
    </w:p>
    <w:p w:rsidR="005962DC" w:rsidRPr="00BE15B8" w:rsidRDefault="009A7126" w:rsidP="005962DC">
      <w:pPr>
        <w:rPr>
          <w:rFonts w:asciiTheme="minorHAnsi" w:hAnsiTheme="minorHAnsi"/>
          <w:sz w:val="24"/>
          <w:szCs w:val="24"/>
        </w:rPr>
      </w:pPr>
      <w:hyperlink r:id="rId20" w:history="1">
        <w:r w:rsidR="005962DC" w:rsidRPr="000853BB">
          <w:rPr>
            <w:rFonts w:asciiTheme="minorHAnsi" w:hAnsiTheme="minorHAnsi"/>
            <w:sz w:val="24"/>
            <w:szCs w:val="24"/>
            <w:lang w:val="pt-PT"/>
          </w:rPr>
          <w:t>Gonçalves R</w:t>
        </w:r>
      </w:hyperlink>
      <w:r w:rsidR="005962DC" w:rsidRPr="000853BB">
        <w:rPr>
          <w:rFonts w:asciiTheme="minorHAnsi" w:hAnsiTheme="minorHAnsi"/>
          <w:sz w:val="24"/>
          <w:szCs w:val="24"/>
          <w:lang w:val="pt-PT"/>
        </w:rPr>
        <w:t xml:space="preserve">, </w:t>
      </w:r>
      <w:hyperlink r:id="rId21" w:history="1">
        <w:r w:rsidR="005962DC" w:rsidRPr="000853BB">
          <w:rPr>
            <w:rFonts w:asciiTheme="minorHAnsi" w:hAnsiTheme="minorHAnsi"/>
            <w:sz w:val="24"/>
            <w:szCs w:val="24"/>
            <w:lang w:val="pt-PT"/>
          </w:rPr>
          <w:t>Lourenço A</w:t>
        </w:r>
      </w:hyperlink>
      <w:r w:rsidR="005962DC" w:rsidRPr="000853BB">
        <w:rPr>
          <w:rFonts w:asciiTheme="minorHAnsi" w:hAnsiTheme="minorHAnsi"/>
          <w:sz w:val="24"/>
          <w:szCs w:val="24"/>
          <w:lang w:val="pt-PT"/>
        </w:rPr>
        <w:t xml:space="preserve">, </w:t>
      </w:r>
      <w:hyperlink r:id="rId22" w:history="1">
        <w:r w:rsidR="005962DC" w:rsidRPr="000853BB">
          <w:rPr>
            <w:rFonts w:asciiTheme="minorHAnsi" w:hAnsiTheme="minorHAnsi"/>
            <w:sz w:val="24"/>
            <w:szCs w:val="24"/>
            <w:lang w:val="pt-PT"/>
          </w:rPr>
          <w:t>Silva SN</w:t>
        </w:r>
      </w:hyperlink>
      <w:r w:rsidR="005962DC" w:rsidRPr="000853BB">
        <w:rPr>
          <w:rFonts w:asciiTheme="minorHAnsi" w:hAnsiTheme="minorHAnsi"/>
          <w:sz w:val="24"/>
          <w:szCs w:val="24"/>
          <w:lang w:val="pt-PT"/>
        </w:rPr>
        <w:t xml:space="preserve">. </w:t>
      </w:r>
      <w:r w:rsidR="005962DC" w:rsidRPr="00BE15B8">
        <w:rPr>
          <w:rFonts w:asciiTheme="minorHAnsi" w:hAnsiTheme="minorHAnsi"/>
          <w:sz w:val="24"/>
          <w:szCs w:val="24"/>
        </w:rPr>
        <w:t xml:space="preserve">(2015), A social cost perspective in the wake of the Portuguese strategy for the fight against drugs. </w:t>
      </w:r>
      <w:hyperlink r:id="rId23" w:tooltip="The International journal on drug policy." w:history="1">
        <w:r w:rsidR="005962DC" w:rsidRPr="00BE15B8">
          <w:rPr>
            <w:rFonts w:asciiTheme="minorHAnsi" w:hAnsiTheme="minorHAnsi"/>
            <w:sz w:val="24"/>
            <w:szCs w:val="24"/>
          </w:rPr>
          <w:t>International Journal of Drug Policy.</w:t>
        </w:r>
      </w:hyperlink>
      <w:r w:rsidR="005962DC" w:rsidRPr="00BE15B8">
        <w:rPr>
          <w:rFonts w:asciiTheme="minorHAnsi" w:hAnsiTheme="minorHAnsi"/>
          <w:sz w:val="24"/>
          <w:szCs w:val="24"/>
        </w:rPr>
        <w:t xml:space="preserve"> 2015 Feb; 26(2):199-209.</w:t>
      </w: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Kopp, P. &amp; Fenoglio, P. (2002). Calculating the social cost of illicit drugs. </w:t>
      </w:r>
      <w:r w:rsidRPr="00BE15B8">
        <w:rPr>
          <w:rStyle w:val="Utheving"/>
          <w:rFonts w:asciiTheme="minorHAnsi" w:hAnsiTheme="minorHAnsi"/>
          <w:sz w:val="24"/>
          <w:szCs w:val="24"/>
        </w:rPr>
        <w:t>Pompidou Group</w:t>
      </w:r>
      <w:r w:rsidRPr="00BE15B8">
        <w:rPr>
          <w:rFonts w:asciiTheme="minorHAnsi" w:hAnsiTheme="minorHAnsi"/>
          <w:sz w:val="24"/>
          <w:szCs w:val="24"/>
        </w:rPr>
        <w:t>, Council Of Europe Publishing.</w:t>
      </w:r>
    </w:p>
    <w:p w:rsidR="001A69CA" w:rsidRPr="00BE15B8" w:rsidRDefault="001A69CA" w:rsidP="00A9247E">
      <w:pPr>
        <w:spacing w:after="0" w:line="240" w:lineRule="auto"/>
        <w:ind w:left="720" w:hanging="720"/>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Kopp, P. &amp; Fenoglio, P. (2003). Public spending on drugs in the European Union during the 1990s, Lisbon, EMCDDA.</w:t>
      </w:r>
    </w:p>
    <w:p w:rsidR="003D0511" w:rsidRPr="00BE15B8" w:rsidRDefault="003D0511" w:rsidP="00A9247E">
      <w:pPr>
        <w:spacing w:after="0" w:line="240" w:lineRule="auto"/>
        <w:jc w:val="both"/>
        <w:rPr>
          <w:rFonts w:asciiTheme="minorHAnsi" w:hAnsiTheme="minorHAnsi"/>
          <w:sz w:val="24"/>
          <w:szCs w:val="24"/>
        </w:rPr>
      </w:pPr>
    </w:p>
    <w:p w:rsidR="003D0511" w:rsidRPr="000853BB" w:rsidRDefault="003D0511" w:rsidP="003D0511">
      <w:pPr>
        <w:pStyle w:val="HTML-forhndsformatert"/>
        <w:shd w:val="clear" w:color="auto" w:fill="FFFFFF"/>
        <w:jc w:val="both"/>
        <w:rPr>
          <w:rFonts w:asciiTheme="minorHAnsi" w:hAnsiTheme="minorHAnsi" w:cs="Times New Roman"/>
          <w:sz w:val="24"/>
          <w:szCs w:val="24"/>
          <w:lang w:val="fr-FR"/>
        </w:rPr>
      </w:pPr>
      <w:r w:rsidRPr="000853BB">
        <w:rPr>
          <w:rFonts w:asciiTheme="minorHAnsi" w:hAnsiTheme="minorHAnsi" w:cs="Times New Roman"/>
          <w:sz w:val="24"/>
          <w:szCs w:val="24"/>
          <w:lang w:val="fr-FR"/>
        </w:rPr>
        <w:t>Kopp, P. (2006). Économie de la drogue, Paris, Éditions La Découverte.</w:t>
      </w:r>
    </w:p>
    <w:p w:rsidR="003D0511" w:rsidRPr="000853BB" w:rsidRDefault="003D0511" w:rsidP="003D0511">
      <w:pPr>
        <w:pStyle w:val="HTML-forhndsformatert"/>
        <w:shd w:val="clear" w:color="auto" w:fill="FFFFFF"/>
        <w:jc w:val="both"/>
        <w:rPr>
          <w:rFonts w:asciiTheme="minorHAnsi" w:hAnsiTheme="minorHAnsi" w:cs="Times New Roman"/>
          <w:sz w:val="24"/>
          <w:szCs w:val="24"/>
          <w:lang w:val="fr-FR"/>
        </w:rPr>
      </w:pPr>
    </w:p>
    <w:p w:rsidR="003D0511" w:rsidRPr="000853BB" w:rsidRDefault="003D0511" w:rsidP="003D0511">
      <w:pPr>
        <w:pStyle w:val="HTML-forhndsformatert"/>
        <w:shd w:val="clear" w:color="auto" w:fill="FFFFFF"/>
        <w:jc w:val="both"/>
        <w:rPr>
          <w:rFonts w:asciiTheme="minorHAnsi" w:hAnsiTheme="minorHAnsi" w:cs="Times New Roman"/>
          <w:sz w:val="24"/>
          <w:szCs w:val="24"/>
          <w:lang w:val="fr-FR"/>
        </w:rPr>
      </w:pPr>
      <w:r w:rsidRPr="000853BB">
        <w:rPr>
          <w:rFonts w:asciiTheme="minorHAnsi" w:hAnsiTheme="minorHAnsi" w:cs="Times New Roman"/>
          <w:sz w:val="24"/>
          <w:szCs w:val="24"/>
          <w:lang w:val="fr-FR"/>
        </w:rPr>
        <w:t>Kopp, P. (2015). Le côut social des drogues en France, OFDT.</w:t>
      </w:r>
    </w:p>
    <w:p w:rsidR="003D0511" w:rsidRPr="000853BB" w:rsidRDefault="003D0511" w:rsidP="00A9247E">
      <w:pPr>
        <w:spacing w:after="0" w:line="240" w:lineRule="auto"/>
        <w:jc w:val="both"/>
        <w:rPr>
          <w:rFonts w:asciiTheme="minorHAnsi" w:hAnsiTheme="minorHAnsi"/>
          <w:sz w:val="24"/>
          <w:szCs w:val="24"/>
          <w:lang w:val="fr-FR"/>
        </w:rPr>
      </w:pPr>
    </w:p>
    <w:p w:rsidR="001A69CA" w:rsidRPr="00BE15B8" w:rsidRDefault="00931638" w:rsidP="00A9247E">
      <w:pPr>
        <w:spacing w:after="0" w:line="240" w:lineRule="auto"/>
        <w:jc w:val="both"/>
        <w:rPr>
          <w:rFonts w:asciiTheme="minorHAnsi" w:hAnsiTheme="minorHAnsi"/>
          <w:sz w:val="24"/>
          <w:szCs w:val="24"/>
        </w:rPr>
      </w:pPr>
      <w:r w:rsidRPr="000853BB">
        <w:rPr>
          <w:rFonts w:asciiTheme="minorHAnsi" w:eastAsiaTheme="minorHAnsi" w:hAnsiTheme="minorHAnsi"/>
          <w:sz w:val="24"/>
          <w:szCs w:val="24"/>
          <w:lang w:val="nl-NL"/>
        </w:rPr>
        <w:t xml:space="preserve">Lievens, D., Laenen, F. V., Caulkins, J. &amp; De Ruyver, B. (2012). </w:t>
      </w:r>
      <w:r w:rsidRPr="00BE15B8">
        <w:rPr>
          <w:rFonts w:asciiTheme="minorHAnsi" w:eastAsiaTheme="minorHAnsi" w:hAnsiTheme="minorHAnsi"/>
          <w:sz w:val="24"/>
          <w:szCs w:val="24"/>
        </w:rPr>
        <w:t>Drugs in Figures III - Study of public expenditures on drug control and drug problems, European criminal justice and policy: Governance of Security Research Paper Series, GofS Vol. 7 (Governance of Security (GofS) Research Paper Series), Maklu Publishers, Alperdoon</w:t>
      </w:r>
    </w:p>
    <w:p w:rsidR="008642FC" w:rsidRPr="00BE15B8" w:rsidRDefault="008642FC" w:rsidP="008642FC">
      <w:pPr>
        <w:spacing w:after="0" w:line="240" w:lineRule="auto"/>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Moore, T., J. (2005). Monograph No. 01: What is Australia’s “drug budget”? The policy mix of illicit drug-related government spending in Australia. Fitzroy: Turning Point Alcohol and Drug Centre. </w:t>
      </w:r>
    </w:p>
    <w:p w:rsidR="003A1C85" w:rsidRDefault="003A1C85" w:rsidP="00A9247E">
      <w:pPr>
        <w:spacing w:after="0" w:line="240" w:lineRule="auto"/>
        <w:jc w:val="both"/>
        <w:rPr>
          <w:rFonts w:asciiTheme="minorHAnsi" w:hAnsiTheme="minorHAnsi"/>
          <w:sz w:val="24"/>
          <w:szCs w:val="24"/>
        </w:rPr>
      </w:pPr>
    </w:p>
    <w:p w:rsidR="003766A9" w:rsidRPr="003766A9" w:rsidRDefault="003766A9" w:rsidP="003766A9">
      <w:pPr>
        <w:autoSpaceDE w:val="0"/>
        <w:autoSpaceDN w:val="0"/>
        <w:adjustRightInd w:val="0"/>
        <w:spacing w:after="0" w:line="240" w:lineRule="auto"/>
        <w:rPr>
          <w:rFonts w:asciiTheme="minorHAnsi" w:eastAsiaTheme="minorHAnsi" w:hAnsiTheme="minorHAnsi" w:cs="Cambria"/>
          <w:sz w:val="24"/>
        </w:rPr>
      </w:pPr>
      <w:r w:rsidRPr="003766A9">
        <w:rPr>
          <w:rFonts w:asciiTheme="minorHAnsi" w:eastAsiaTheme="minorHAnsi" w:hAnsiTheme="minorHAnsi" w:cs="Cambria"/>
          <w:sz w:val="24"/>
        </w:rPr>
        <w:t>Moore, T. (2008). The Size and Mix of Government Spending on Illicit Drug Policy in Australia.</w:t>
      </w:r>
      <w:r>
        <w:rPr>
          <w:rFonts w:asciiTheme="minorHAnsi" w:eastAsiaTheme="minorHAnsi" w:hAnsiTheme="minorHAnsi" w:cs="Cambria"/>
          <w:sz w:val="24"/>
        </w:rPr>
        <w:t xml:space="preserve"> </w:t>
      </w:r>
      <w:r w:rsidRPr="003766A9">
        <w:rPr>
          <w:rFonts w:asciiTheme="minorHAnsi" w:eastAsiaTheme="minorHAnsi" w:hAnsiTheme="minorHAnsi" w:cs="Cambria,Italic"/>
          <w:i/>
          <w:iCs/>
          <w:sz w:val="24"/>
        </w:rPr>
        <w:t xml:space="preserve">Drug and Alcohol Review, vol. 27, </w:t>
      </w:r>
      <w:r w:rsidRPr="003766A9">
        <w:rPr>
          <w:rFonts w:asciiTheme="minorHAnsi" w:eastAsiaTheme="minorHAnsi" w:hAnsiTheme="minorHAnsi" w:cs="Cambria"/>
          <w:sz w:val="24"/>
        </w:rPr>
        <w:t>404-413.</w:t>
      </w:r>
    </w:p>
    <w:p w:rsidR="003766A9" w:rsidRDefault="003766A9" w:rsidP="003766A9">
      <w:pPr>
        <w:spacing w:after="0" w:line="240" w:lineRule="auto"/>
        <w:jc w:val="both"/>
        <w:rPr>
          <w:rFonts w:ascii="Cambria" w:eastAsiaTheme="minorHAnsi" w:hAnsi="Cambria" w:cs="Cambria"/>
        </w:rPr>
      </w:pPr>
    </w:p>
    <w:p w:rsidR="00F90097" w:rsidRDefault="00E364F8" w:rsidP="003766A9">
      <w:pPr>
        <w:spacing w:after="0" w:line="240" w:lineRule="auto"/>
        <w:jc w:val="both"/>
        <w:rPr>
          <w:rFonts w:asciiTheme="minorHAnsi" w:hAnsiTheme="minorHAnsi"/>
          <w:sz w:val="24"/>
          <w:szCs w:val="24"/>
        </w:rPr>
      </w:pPr>
      <w:r w:rsidRPr="00E364F8">
        <w:rPr>
          <w:rFonts w:asciiTheme="minorHAnsi" w:hAnsiTheme="minorHAnsi"/>
          <w:sz w:val="24"/>
          <w:szCs w:val="24"/>
        </w:rPr>
        <w:t>Official Journal of the European Union</w:t>
      </w:r>
      <w:r>
        <w:rPr>
          <w:rFonts w:asciiTheme="minorHAnsi" w:hAnsiTheme="minorHAnsi"/>
          <w:sz w:val="24"/>
          <w:szCs w:val="24"/>
        </w:rPr>
        <w:t xml:space="preserve">, 2013, </w:t>
      </w:r>
      <w:r w:rsidRPr="00E364F8">
        <w:rPr>
          <w:rFonts w:asciiTheme="minorHAnsi" w:hAnsiTheme="minorHAnsi"/>
          <w:sz w:val="24"/>
          <w:szCs w:val="24"/>
        </w:rPr>
        <w:t>EU  ACTION  PLAN  ON  DRUGS  2013-2016</w:t>
      </w:r>
      <w:r>
        <w:rPr>
          <w:rFonts w:asciiTheme="minorHAnsi" w:hAnsiTheme="minorHAnsi"/>
          <w:sz w:val="24"/>
          <w:szCs w:val="24"/>
        </w:rPr>
        <w:t xml:space="preserve">, 2013/C  351/01, </w:t>
      </w:r>
      <w:r w:rsidRPr="00E364F8">
        <w:rPr>
          <w:rFonts w:asciiTheme="minorHAnsi" w:hAnsiTheme="minorHAnsi"/>
          <w:sz w:val="24"/>
          <w:szCs w:val="24"/>
        </w:rPr>
        <w:t>30.11.2013</w:t>
      </w:r>
    </w:p>
    <w:p w:rsidR="00E364F8" w:rsidRPr="00BE15B8" w:rsidRDefault="00E364F8" w:rsidP="00A9247E">
      <w:pPr>
        <w:spacing w:after="0" w:line="240" w:lineRule="auto"/>
        <w:jc w:val="both"/>
        <w:rPr>
          <w:rFonts w:asciiTheme="minorHAnsi" w:hAnsiTheme="minorHAnsi"/>
          <w:sz w:val="24"/>
          <w:szCs w:val="24"/>
        </w:rPr>
      </w:pPr>
    </w:p>
    <w:p w:rsidR="00E85628" w:rsidRPr="00BE15B8" w:rsidRDefault="00E85628" w:rsidP="00E85628">
      <w:pPr>
        <w:pStyle w:val="HTML-forhndsformatert"/>
        <w:shd w:val="clear" w:color="auto" w:fill="FFFFFF"/>
        <w:jc w:val="both"/>
        <w:rPr>
          <w:rFonts w:asciiTheme="minorHAnsi" w:eastAsiaTheme="minorHAnsi" w:hAnsiTheme="minorHAnsi" w:cs="Times New Roman"/>
          <w:sz w:val="24"/>
          <w:szCs w:val="24"/>
          <w:lang w:val="en-GB" w:eastAsia="en-US"/>
        </w:rPr>
      </w:pPr>
      <w:r w:rsidRPr="00BE15B8">
        <w:rPr>
          <w:rFonts w:asciiTheme="minorHAnsi" w:eastAsiaTheme="minorHAnsi" w:hAnsiTheme="minorHAnsi" w:cs="Times New Roman"/>
          <w:sz w:val="24"/>
          <w:szCs w:val="24"/>
          <w:lang w:val="en-GB" w:eastAsia="en-US"/>
        </w:rPr>
        <w:t xml:space="preserve">Potapchik, E., Popovich L., Social cost of substance abuse in Russia, VALUE IN HEALTH REGIONAL ISSUES 4C(2014)1–5; </w:t>
      </w:r>
    </w:p>
    <w:p w:rsidR="003D0511" w:rsidRPr="00BE15B8" w:rsidRDefault="003D0511" w:rsidP="003D0511">
      <w:pPr>
        <w:pStyle w:val="HTML-forhndsformatert"/>
        <w:shd w:val="clear" w:color="auto" w:fill="FFFFFF"/>
        <w:jc w:val="both"/>
        <w:rPr>
          <w:rFonts w:asciiTheme="minorHAnsi" w:eastAsiaTheme="minorHAnsi" w:hAnsiTheme="minorHAnsi" w:cs="Times New Roman"/>
          <w:sz w:val="24"/>
          <w:szCs w:val="24"/>
          <w:lang w:val="en-GB" w:eastAsia="en-US"/>
        </w:rPr>
      </w:pPr>
    </w:p>
    <w:p w:rsidR="003766A9" w:rsidRPr="003766A9" w:rsidRDefault="003766A9" w:rsidP="003766A9">
      <w:pPr>
        <w:autoSpaceDE w:val="0"/>
        <w:autoSpaceDN w:val="0"/>
        <w:adjustRightInd w:val="0"/>
        <w:spacing w:after="0" w:line="240" w:lineRule="auto"/>
        <w:rPr>
          <w:rFonts w:asciiTheme="minorHAnsi" w:eastAsiaTheme="minorHAnsi" w:hAnsiTheme="minorHAnsi" w:cs="Cambria"/>
          <w:sz w:val="24"/>
        </w:rPr>
      </w:pPr>
      <w:r w:rsidRPr="003766A9">
        <w:rPr>
          <w:rFonts w:asciiTheme="minorHAnsi" w:eastAsiaTheme="minorHAnsi" w:hAnsiTheme="minorHAnsi" w:cs="Cambria"/>
          <w:sz w:val="24"/>
        </w:rPr>
        <w:t>Ramstedt, M. (2006). What drug policies cost. Estimating drug policy expenditures in Sweden,</w:t>
      </w:r>
      <w:r>
        <w:rPr>
          <w:rFonts w:asciiTheme="minorHAnsi" w:eastAsiaTheme="minorHAnsi" w:hAnsiTheme="minorHAnsi" w:cs="Cambria"/>
          <w:sz w:val="24"/>
        </w:rPr>
        <w:t xml:space="preserve"> </w:t>
      </w:r>
      <w:r w:rsidRPr="003766A9">
        <w:rPr>
          <w:rFonts w:asciiTheme="minorHAnsi" w:eastAsiaTheme="minorHAnsi" w:hAnsiTheme="minorHAnsi" w:cs="Cambria"/>
          <w:sz w:val="24"/>
        </w:rPr>
        <w:t xml:space="preserve">2002: work in progress. </w:t>
      </w:r>
      <w:r w:rsidRPr="003766A9">
        <w:rPr>
          <w:rFonts w:asciiTheme="minorHAnsi" w:eastAsiaTheme="minorHAnsi" w:hAnsiTheme="minorHAnsi" w:cs="Cambria,Italic"/>
          <w:i/>
          <w:iCs/>
          <w:sz w:val="24"/>
        </w:rPr>
        <w:t xml:space="preserve">Addiction, vol. 101, </w:t>
      </w:r>
      <w:r w:rsidRPr="003766A9">
        <w:rPr>
          <w:rFonts w:asciiTheme="minorHAnsi" w:eastAsiaTheme="minorHAnsi" w:hAnsiTheme="minorHAnsi" w:cs="Cambria"/>
          <w:sz w:val="24"/>
        </w:rPr>
        <w:t>330-338.</w:t>
      </w:r>
    </w:p>
    <w:p w:rsidR="003766A9" w:rsidRDefault="003766A9" w:rsidP="005962DC">
      <w:pPr>
        <w:spacing w:after="0" w:line="240" w:lineRule="auto"/>
        <w:jc w:val="both"/>
        <w:rPr>
          <w:rFonts w:asciiTheme="minorHAnsi" w:hAnsiTheme="minorHAnsi"/>
          <w:sz w:val="24"/>
          <w:szCs w:val="24"/>
          <w:lang w:val="da-DK"/>
        </w:rPr>
      </w:pPr>
    </w:p>
    <w:p w:rsidR="005962DC" w:rsidRPr="00BE15B8" w:rsidRDefault="005962DC" w:rsidP="005962DC">
      <w:pPr>
        <w:spacing w:after="0" w:line="240" w:lineRule="auto"/>
        <w:jc w:val="both"/>
        <w:rPr>
          <w:rFonts w:asciiTheme="minorHAnsi" w:hAnsiTheme="minorHAnsi"/>
          <w:sz w:val="24"/>
          <w:szCs w:val="24"/>
        </w:rPr>
      </w:pPr>
      <w:r w:rsidRPr="000853BB">
        <w:rPr>
          <w:rFonts w:asciiTheme="minorHAnsi" w:hAnsiTheme="minorHAnsi"/>
          <w:sz w:val="24"/>
          <w:szCs w:val="24"/>
          <w:lang w:val="da-DK"/>
        </w:rPr>
        <w:t xml:space="preserve">Reuter, P., Ramstedt, M. &amp; Rigter, H. (2004). </w:t>
      </w:r>
      <w:r w:rsidRPr="00BE15B8">
        <w:rPr>
          <w:rFonts w:asciiTheme="minorHAnsi" w:hAnsiTheme="minorHAnsi"/>
          <w:sz w:val="24"/>
          <w:szCs w:val="24"/>
        </w:rPr>
        <w:t>Developing a Framework for Estimating Government Drug Policy Expenditures. Lisbon: EMCDDA.</w:t>
      </w:r>
    </w:p>
    <w:p w:rsidR="003D0511" w:rsidRPr="00BE15B8" w:rsidRDefault="003D0511" w:rsidP="00A9247E">
      <w:pPr>
        <w:pStyle w:val="Fotnotetekst"/>
        <w:jc w:val="both"/>
        <w:rPr>
          <w:rFonts w:asciiTheme="minorHAnsi" w:hAnsiTheme="minorHAnsi"/>
          <w:sz w:val="24"/>
          <w:szCs w:val="24"/>
        </w:rPr>
      </w:pPr>
    </w:p>
    <w:p w:rsidR="001A69CA" w:rsidRPr="00BE15B8" w:rsidRDefault="001A69CA" w:rsidP="00A9247E">
      <w:pPr>
        <w:pStyle w:val="Fotnotetekst"/>
        <w:jc w:val="both"/>
        <w:rPr>
          <w:rFonts w:asciiTheme="minorHAnsi" w:hAnsiTheme="minorHAnsi"/>
          <w:sz w:val="24"/>
          <w:szCs w:val="24"/>
        </w:rPr>
      </w:pPr>
      <w:r w:rsidRPr="00BE15B8">
        <w:rPr>
          <w:rFonts w:asciiTheme="minorHAnsi" w:hAnsiTheme="minorHAnsi"/>
          <w:sz w:val="24"/>
          <w:szCs w:val="24"/>
        </w:rPr>
        <w:t>Reuter, P. 2006. “What drug policies cost. Estimating government drug policy expenditures”. Addiction, 101 (3), p. 315-322.</w:t>
      </w:r>
    </w:p>
    <w:p w:rsidR="00C50C7C" w:rsidRPr="00BE15B8" w:rsidRDefault="00C50C7C" w:rsidP="00A9247E">
      <w:pPr>
        <w:spacing w:after="0" w:line="240" w:lineRule="auto"/>
        <w:jc w:val="both"/>
        <w:rPr>
          <w:rFonts w:asciiTheme="minorHAnsi" w:hAnsiTheme="minorHAnsi"/>
          <w:sz w:val="24"/>
          <w:szCs w:val="24"/>
        </w:rPr>
      </w:pPr>
    </w:p>
    <w:p w:rsidR="003D0511" w:rsidRPr="00BE15B8" w:rsidRDefault="003D0511"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Rigter, Henk, “Drug policy expenditures in the Netherlands, 2003”, in </w:t>
      </w:r>
      <w:r w:rsidRPr="00BE15B8">
        <w:rPr>
          <w:rFonts w:asciiTheme="minorHAnsi" w:hAnsiTheme="minorHAnsi"/>
          <w:i/>
          <w:iCs/>
          <w:sz w:val="24"/>
          <w:szCs w:val="24"/>
        </w:rPr>
        <w:t>Developing a Framework for Estimating Government Drug Policy Expenditures</w:t>
      </w:r>
      <w:r w:rsidRPr="00BE15B8">
        <w:rPr>
          <w:rFonts w:asciiTheme="minorHAnsi" w:hAnsiTheme="minorHAnsi"/>
          <w:sz w:val="24"/>
          <w:szCs w:val="24"/>
        </w:rPr>
        <w:t>, Peter Reuter, Mats Ramstedt and Henk Rigter, eds. (Lisbon, European Monitoring Centre for Drugs and Drug Addiction, 2004), pp. 37-73.</w:t>
      </w:r>
    </w:p>
    <w:p w:rsidR="003D0511" w:rsidRDefault="003D0511" w:rsidP="00A9247E">
      <w:pPr>
        <w:spacing w:after="0" w:line="240" w:lineRule="auto"/>
        <w:jc w:val="both"/>
        <w:rPr>
          <w:rFonts w:asciiTheme="minorHAnsi" w:hAnsiTheme="minorHAnsi"/>
          <w:sz w:val="24"/>
          <w:szCs w:val="24"/>
        </w:rPr>
      </w:pPr>
    </w:p>
    <w:p w:rsidR="003766A9" w:rsidRPr="003766A9" w:rsidRDefault="003766A9" w:rsidP="003766A9">
      <w:pPr>
        <w:autoSpaceDE w:val="0"/>
        <w:autoSpaceDN w:val="0"/>
        <w:adjustRightInd w:val="0"/>
        <w:spacing w:after="0" w:line="240" w:lineRule="auto"/>
        <w:rPr>
          <w:rFonts w:asciiTheme="minorHAnsi" w:eastAsiaTheme="minorHAnsi" w:hAnsiTheme="minorHAnsi" w:cs="Cambria"/>
          <w:sz w:val="24"/>
        </w:rPr>
      </w:pPr>
      <w:r w:rsidRPr="003766A9">
        <w:rPr>
          <w:rFonts w:asciiTheme="minorHAnsi" w:eastAsiaTheme="minorHAnsi" w:hAnsiTheme="minorHAnsi" w:cs="Cambria"/>
          <w:sz w:val="24"/>
        </w:rPr>
        <w:t>Rigter, H. (2006). What Drug Policies Cost. Drug Policy Spending in the Netherlands in 2003.</w:t>
      </w:r>
    </w:p>
    <w:p w:rsidR="003766A9" w:rsidRPr="003766A9" w:rsidRDefault="003766A9" w:rsidP="003766A9">
      <w:pPr>
        <w:spacing w:after="0" w:line="240" w:lineRule="auto"/>
        <w:jc w:val="both"/>
        <w:rPr>
          <w:rFonts w:asciiTheme="minorHAnsi" w:eastAsiaTheme="minorHAnsi" w:hAnsiTheme="minorHAnsi" w:cs="Cambria"/>
          <w:sz w:val="24"/>
          <w:lang w:val="nb-NO"/>
        </w:rPr>
      </w:pPr>
      <w:r w:rsidRPr="003766A9">
        <w:rPr>
          <w:rFonts w:asciiTheme="minorHAnsi" w:eastAsiaTheme="minorHAnsi" w:hAnsiTheme="minorHAnsi" w:cs="Cambria,Italic"/>
          <w:i/>
          <w:iCs/>
          <w:sz w:val="24"/>
          <w:lang w:val="nb-NO"/>
        </w:rPr>
        <w:t xml:space="preserve">Addiction, vol. 101, </w:t>
      </w:r>
      <w:r w:rsidRPr="003766A9">
        <w:rPr>
          <w:rFonts w:asciiTheme="minorHAnsi" w:eastAsiaTheme="minorHAnsi" w:hAnsiTheme="minorHAnsi" w:cs="Cambria"/>
          <w:sz w:val="24"/>
          <w:lang w:val="nb-NO"/>
        </w:rPr>
        <w:t>323-329.</w:t>
      </w:r>
    </w:p>
    <w:p w:rsidR="003766A9" w:rsidRPr="003766A9" w:rsidRDefault="003766A9" w:rsidP="003766A9">
      <w:pPr>
        <w:spacing w:after="0" w:line="240" w:lineRule="auto"/>
        <w:jc w:val="both"/>
        <w:rPr>
          <w:rFonts w:asciiTheme="minorHAnsi" w:hAnsiTheme="minorHAnsi"/>
          <w:sz w:val="24"/>
          <w:szCs w:val="24"/>
        </w:rPr>
      </w:pPr>
    </w:p>
    <w:p w:rsidR="003766A9" w:rsidRPr="00BE15B8" w:rsidRDefault="003766A9" w:rsidP="00A9247E">
      <w:pPr>
        <w:spacing w:after="0" w:line="240" w:lineRule="auto"/>
        <w:jc w:val="both"/>
        <w:rPr>
          <w:rFonts w:asciiTheme="minorHAnsi" w:hAnsiTheme="minorHAnsi"/>
          <w:sz w:val="24"/>
          <w:szCs w:val="24"/>
        </w:rPr>
      </w:pPr>
    </w:p>
    <w:p w:rsidR="001A69CA" w:rsidRPr="00BE15B8" w:rsidRDefault="001A69CA" w:rsidP="00A9247E">
      <w:pPr>
        <w:spacing w:after="0" w:line="240" w:lineRule="auto"/>
        <w:jc w:val="both"/>
        <w:rPr>
          <w:rFonts w:asciiTheme="minorHAnsi" w:hAnsiTheme="minorHAnsi"/>
          <w:sz w:val="24"/>
          <w:szCs w:val="24"/>
        </w:rPr>
      </w:pPr>
      <w:r w:rsidRPr="00BE15B8">
        <w:rPr>
          <w:rFonts w:asciiTheme="minorHAnsi" w:hAnsiTheme="minorHAnsi"/>
          <w:sz w:val="24"/>
          <w:szCs w:val="24"/>
        </w:rPr>
        <w:t xml:space="preserve">Single, E., Collins, D., Easton, B., Harwood, H., Lapsley, H., Kopp, P., et al. (2003). International Guidelines for Estimating the Economic Costs of Substances Abuse. </w:t>
      </w:r>
      <w:r w:rsidR="00FF0F9C">
        <w:rPr>
          <w:rFonts w:asciiTheme="minorHAnsi" w:hAnsiTheme="minorHAnsi"/>
          <w:sz w:val="24"/>
          <w:szCs w:val="24"/>
        </w:rPr>
        <w:t>2</w:t>
      </w:r>
      <w:r w:rsidR="00FF0F9C" w:rsidRPr="00FE0275">
        <w:rPr>
          <w:rFonts w:asciiTheme="minorHAnsi" w:hAnsiTheme="minorHAnsi"/>
          <w:sz w:val="24"/>
          <w:szCs w:val="24"/>
          <w:vertAlign w:val="superscript"/>
        </w:rPr>
        <w:t>nd</w:t>
      </w:r>
      <w:r w:rsidR="00FF0F9C">
        <w:rPr>
          <w:rFonts w:asciiTheme="minorHAnsi" w:hAnsiTheme="minorHAnsi"/>
          <w:sz w:val="24"/>
          <w:szCs w:val="24"/>
        </w:rPr>
        <w:t xml:space="preserve"> Edition, </w:t>
      </w:r>
      <w:r w:rsidRPr="00BE15B8">
        <w:rPr>
          <w:rFonts w:asciiTheme="minorHAnsi" w:hAnsiTheme="minorHAnsi"/>
          <w:sz w:val="24"/>
          <w:szCs w:val="24"/>
        </w:rPr>
        <w:t>Geneva: World Health Organization.</w:t>
      </w:r>
    </w:p>
    <w:p w:rsidR="00931638" w:rsidRDefault="00931638" w:rsidP="00A9247E">
      <w:pPr>
        <w:spacing w:after="0" w:line="240" w:lineRule="auto"/>
        <w:jc w:val="both"/>
        <w:rPr>
          <w:rFonts w:asciiTheme="minorHAnsi" w:hAnsiTheme="minorHAnsi"/>
          <w:sz w:val="24"/>
          <w:szCs w:val="24"/>
        </w:rPr>
      </w:pPr>
    </w:p>
    <w:p w:rsidR="003766A9" w:rsidRPr="003766A9" w:rsidRDefault="003766A9" w:rsidP="003766A9">
      <w:pPr>
        <w:spacing w:after="0" w:line="240" w:lineRule="auto"/>
        <w:jc w:val="both"/>
        <w:rPr>
          <w:rFonts w:asciiTheme="minorHAnsi" w:eastAsiaTheme="minorHAnsi" w:hAnsiTheme="minorHAnsi" w:cs="Cambria"/>
          <w:sz w:val="24"/>
        </w:rPr>
      </w:pPr>
    </w:p>
    <w:p w:rsidR="00931638" w:rsidRPr="00BE15B8" w:rsidRDefault="00931638" w:rsidP="00931638">
      <w:pPr>
        <w:pStyle w:val="HTML-forhndsformatert"/>
        <w:shd w:val="clear" w:color="auto" w:fill="FFFFFF"/>
        <w:jc w:val="both"/>
        <w:rPr>
          <w:rFonts w:asciiTheme="minorHAnsi" w:eastAsiaTheme="minorHAnsi" w:hAnsiTheme="minorHAnsi" w:cs="Times New Roman"/>
          <w:sz w:val="24"/>
          <w:szCs w:val="24"/>
          <w:lang w:val="en-GB" w:eastAsia="en-US"/>
        </w:rPr>
      </w:pPr>
      <w:r w:rsidRPr="00BE15B8">
        <w:rPr>
          <w:rFonts w:asciiTheme="minorHAnsi" w:eastAsiaTheme="minorHAnsi" w:hAnsiTheme="minorHAnsi" w:cs="Times New Roman"/>
          <w:sz w:val="24"/>
          <w:szCs w:val="24"/>
          <w:lang w:val="en-GB" w:eastAsia="en-US"/>
        </w:rPr>
        <w:t xml:space="preserve">Single, E., (2009). Why we should still estimate the costs of substance abuse even if we needn't pay undue attention to the bottom line. Drug and Alcohol Review, </w:t>
      </w:r>
      <w:hyperlink r:id="rId24" w:history="1">
        <w:r w:rsidRPr="00BE15B8">
          <w:rPr>
            <w:rFonts w:asciiTheme="minorHAnsi" w:eastAsiaTheme="minorHAnsi" w:hAnsiTheme="minorHAnsi" w:cs="Times New Roman"/>
            <w:sz w:val="24"/>
            <w:szCs w:val="24"/>
            <w:lang w:val="en-GB" w:eastAsia="en-US"/>
          </w:rPr>
          <w:t xml:space="preserve">Volume 28, Issue 2, </w:t>
        </w:r>
      </w:hyperlink>
      <w:r w:rsidRPr="00BE15B8">
        <w:rPr>
          <w:rFonts w:asciiTheme="minorHAnsi" w:eastAsiaTheme="minorHAnsi" w:hAnsiTheme="minorHAnsi" w:cs="Times New Roman"/>
          <w:sz w:val="24"/>
          <w:szCs w:val="24"/>
          <w:lang w:val="en-GB" w:eastAsia="en-US"/>
        </w:rPr>
        <w:t>pages 117–121, March 2009.</w:t>
      </w:r>
    </w:p>
    <w:p w:rsidR="00931638" w:rsidRPr="00BE15B8" w:rsidRDefault="00931638" w:rsidP="00A9247E">
      <w:pPr>
        <w:spacing w:after="0" w:line="240" w:lineRule="auto"/>
        <w:jc w:val="both"/>
        <w:rPr>
          <w:rFonts w:asciiTheme="minorHAnsi" w:hAnsiTheme="minorHAnsi"/>
          <w:sz w:val="24"/>
          <w:szCs w:val="24"/>
        </w:rPr>
      </w:pPr>
    </w:p>
    <w:p w:rsidR="001A69CA" w:rsidRPr="00BE15B8" w:rsidRDefault="001A69CA" w:rsidP="00A9247E">
      <w:pPr>
        <w:pStyle w:val="Overskrift2"/>
        <w:shd w:val="clear" w:color="auto" w:fill="FFFFFF"/>
        <w:spacing w:before="0"/>
        <w:jc w:val="both"/>
        <w:rPr>
          <w:rFonts w:asciiTheme="minorHAnsi" w:eastAsia="Arial Unicode MS" w:hAnsiTheme="minorHAnsi" w:cs="Times New Roman"/>
          <w:b w:val="0"/>
          <w:color w:val="auto"/>
          <w:sz w:val="24"/>
          <w:szCs w:val="24"/>
          <w:shd w:val="clear" w:color="auto" w:fill="FFFFFF"/>
        </w:rPr>
      </w:pPr>
    </w:p>
    <w:p w:rsidR="002C3A09" w:rsidRPr="00BE15B8" w:rsidRDefault="001A69CA" w:rsidP="002C3A09">
      <w:pPr>
        <w:rPr>
          <w:rFonts w:asciiTheme="minorHAnsi" w:eastAsia="Arial Unicode MS" w:hAnsiTheme="minorHAnsi"/>
          <w:sz w:val="24"/>
          <w:szCs w:val="24"/>
        </w:rPr>
      </w:pPr>
      <w:r w:rsidRPr="00CA2EE7">
        <w:rPr>
          <w:rFonts w:asciiTheme="minorHAnsi" w:eastAsia="Arial Unicode MS" w:hAnsiTheme="minorHAnsi"/>
          <w:sz w:val="24"/>
          <w:szCs w:val="24"/>
          <w:highlight w:val="yellow"/>
          <w:shd w:val="clear" w:color="auto" w:fill="FFFFFF"/>
        </w:rPr>
        <w:t xml:space="preserve">Serpelloni, G., Gomma, M., Genetti, B.,  Zermiani, M., Rimondo, C.,  Mollica, R., Gryczynski, J., O'Grady, K.E., Schwartz, R.P., </w:t>
      </w:r>
      <w:hyperlink r:id="rId25" w:history="1">
        <w:r w:rsidRPr="00CA2EE7">
          <w:rPr>
            <w:rStyle w:val="Hyperkobling"/>
            <w:rFonts w:asciiTheme="minorHAnsi" w:eastAsia="Arial Unicode MS" w:hAnsiTheme="minorHAnsi"/>
            <w:color w:val="auto"/>
            <w:sz w:val="24"/>
            <w:szCs w:val="24"/>
            <w:highlight w:val="yellow"/>
            <w:u w:val="none"/>
          </w:rPr>
          <w:t>Italy's electronic health record system for opioid agonist treatment</w:t>
        </w:r>
      </w:hyperlink>
      <w:r w:rsidRPr="00CA2EE7">
        <w:rPr>
          <w:rFonts w:asciiTheme="minorHAnsi" w:eastAsia="Arial Unicode MS" w:hAnsiTheme="minorHAnsi"/>
          <w:sz w:val="24"/>
          <w:szCs w:val="24"/>
          <w:highlight w:val="yellow"/>
        </w:rPr>
        <w:t xml:space="preserve">, </w:t>
      </w:r>
      <w:r w:rsidRPr="00CA2EE7">
        <w:rPr>
          <w:rFonts w:asciiTheme="minorHAnsi" w:eastAsia="Arial Unicode MS" w:hAnsiTheme="minorHAnsi"/>
          <w:iCs/>
          <w:sz w:val="24"/>
          <w:szCs w:val="24"/>
          <w:highlight w:val="yellow"/>
          <w:shd w:val="clear" w:color="auto" w:fill="FFFFFF"/>
        </w:rPr>
        <w:t>Journal of Substance Abuse Treatment</w:t>
      </w:r>
      <w:r w:rsidRPr="00CA2EE7">
        <w:rPr>
          <w:rFonts w:asciiTheme="minorHAnsi" w:eastAsia="Arial Unicode MS" w:hAnsiTheme="minorHAnsi"/>
          <w:sz w:val="24"/>
          <w:szCs w:val="24"/>
          <w:highlight w:val="yellow"/>
          <w:shd w:val="clear" w:color="auto" w:fill="FFFFFF"/>
        </w:rPr>
        <w:t>,</w:t>
      </w:r>
      <w:r w:rsidRPr="00CA2EE7">
        <w:rPr>
          <w:rStyle w:val="apple-converted-space"/>
          <w:rFonts w:asciiTheme="minorHAnsi" w:eastAsia="Arial Unicode MS" w:hAnsiTheme="minorHAnsi"/>
          <w:sz w:val="24"/>
          <w:szCs w:val="24"/>
          <w:highlight w:val="yellow"/>
          <w:shd w:val="clear" w:color="auto" w:fill="FFFFFF"/>
        </w:rPr>
        <w:t> </w:t>
      </w:r>
      <w:r w:rsidRPr="00CA2EE7">
        <w:rPr>
          <w:rFonts w:asciiTheme="minorHAnsi" w:eastAsia="Arial Unicode MS" w:hAnsiTheme="minorHAnsi"/>
          <w:iCs/>
          <w:sz w:val="24"/>
          <w:szCs w:val="24"/>
          <w:highlight w:val="yellow"/>
          <w:shd w:val="clear" w:color="auto" w:fill="FFFFFF"/>
        </w:rPr>
        <w:t>Volume 45, Issue 2</w:t>
      </w:r>
      <w:r w:rsidRPr="00CA2EE7">
        <w:rPr>
          <w:rFonts w:asciiTheme="minorHAnsi" w:eastAsia="Arial Unicode MS" w:hAnsiTheme="minorHAnsi"/>
          <w:sz w:val="24"/>
          <w:szCs w:val="24"/>
          <w:highlight w:val="yellow"/>
          <w:shd w:val="clear" w:color="auto" w:fill="FFFFFF"/>
        </w:rPr>
        <w:t>,</w:t>
      </w:r>
      <w:r w:rsidRPr="00CA2EE7">
        <w:rPr>
          <w:rStyle w:val="apple-converted-space"/>
          <w:rFonts w:asciiTheme="minorHAnsi" w:eastAsia="Arial Unicode MS" w:hAnsiTheme="minorHAnsi"/>
          <w:sz w:val="24"/>
          <w:szCs w:val="24"/>
          <w:highlight w:val="yellow"/>
          <w:shd w:val="clear" w:color="auto" w:fill="FFFFFF"/>
        </w:rPr>
        <w:t> </w:t>
      </w:r>
      <w:r w:rsidRPr="00CA2EE7">
        <w:rPr>
          <w:rFonts w:asciiTheme="minorHAnsi" w:eastAsia="Arial Unicode MS" w:hAnsiTheme="minorHAnsi"/>
          <w:iCs/>
          <w:sz w:val="24"/>
          <w:szCs w:val="24"/>
          <w:highlight w:val="yellow"/>
          <w:shd w:val="clear" w:color="auto" w:fill="FFFFFF"/>
        </w:rPr>
        <w:t>August 2013</w:t>
      </w:r>
      <w:r w:rsidRPr="00CA2EE7">
        <w:rPr>
          <w:rFonts w:asciiTheme="minorHAnsi" w:eastAsia="Arial Unicode MS" w:hAnsiTheme="minorHAnsi"/>
          <w:sz w:val="24"/>
          <w:szCs w:val="24"/>
          <w:highlight w:val="yellow"/>
          <w:shd w:val="clear" w:color="auto" w:fill="FFFFFF"/>
        </w:rPr>
        <w:t>,</w:t>
      </w:r>
      <w:r w:rsidRPr="00CA2EE7">
        <w:rPr>
          <w:rStyle w:val="apple-converted-space"/>
          <w:rFonts w:asciiTheme="minorHAnsi" w:eastAsia="Arial Unicode MS" w:hAnsiTheme="minorHAnsi"/>
          <w:sz w:val="24"/>
          <w:szCs w:val="24"/>
          <w:highlight w:val="yellow"/>
          <w:shd w:val="clear" w:color="auto" w:fill="FFFFFF"/>
        </w:rPr>
        <w:t> </w:t>
      </w:r>
      <w:r w:rsidRPr="00CA2EE7">
        <w:rPr>
          <w:rFonts w:asciiTheme="minorHAnsi" w:eastAsia="Arial Unicode MS" w:hAnsiTheme="minorHAnsi"/>
          <w:iCs/>
          <w:sz w:val="24"/>
          <w:szCs w:val="24"/>
          <w:highlight w:val="yellow"/>
          <w:shd w:val="clear" w:color="auto" w:fill="FFFFFF"/>
        </w:rPr>
        <w:t>Pages 190-195</w:t>
      </w:r>
    </w:p>
    <w:p w:rsidR="008866FB" w:rsidRPr="00BE15B8" w:rsidRDefault="00793D3C" w:rsidP="00BB2460">
      <w:pPr>
        <w:rPr>
          <w:rFonts w:asciiTheme="minorHAnsi" w:hAnsiTheme="minorHAnsi"/>
          <w:i/>
          <w:sz w:val="24"/>
          <w:szCs w:val="24"/>
          <w:u w:val="single"/>
        </w:rPr>
      </w:pPr>
      <w:r w:rsidRPr="009A7B47">
        <w:rPr>
          <w:rFonts w:asciiTheme="minorHAnsi" w:hAnsiTheme="minorHAnsi"/>
          <w:sz w:val="24"/>
          <w:szCs w:val="24"/>
        </w:rPr>
        <w:t>Vander Laenen F. Lievens D. (forthcoming) A cross-national comparison of public expenditures on drug treatment, context is key, at Drug-related treatment expenditure: a methodological insight, Lisbon, EMCDDA</w:t>
      </w:r>
    </w:p>
    <w:sectPr w:rsidR="008866FB" w:rsidRPr="00BE15B8" w:rsidSect="00B54DCB">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1B" w:rsidRDefault="00DC261B" w:rsidP="00750EE9">
      <w:pPr>
        <w:spacing w:after="0" w:line="240" w:lineRule="auto"/>
      </w:pPr>
      <w:r>
        <w:separator/>
      </w:r>
    </w:p>
  </w:endnote>
  <w:endnote w:type="continuationSeparator" w:id="0">
    <w:p w:rsidR="00DC261B" w:rsidRDefault="00DC261B" w:rsidP="007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modern"/>
    <w:notTrueType/>
    <w:pitch w:val="variable"/>
    <w:sig w:usb0="00000001" w:usb1="1000207A" w:usb2="00000000" w:usb3="00000000" w:csb0="0000009F" w:csb1="00000000"/>
  </w:font>
  <w:font w:name="AdvP497E2">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FuturaBT-Book">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Futur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573151"/>
      <w:docPartObj>
        <w:docPartGallery w:val="Page Numbers (Bottom of Page)"/>
        <w:docPartUnique/>
      </w:docPartObj>
    </w:sdtPr>
    <w:sdtEndPr>
      <w:rPr>
        <w:noProof/>
      </w:rPr>
    </w:sdtEndPr>
    <w:sdtContent>
      <w:p w:rsidR="009A7126" w:rsidRDefault="009A7126">
        <w:pPr>
          <w:pStyle w:val="Bunntekst"/>
          <w:jc w:val="right"/>
        </w:pPr>
        <w:r>
          <w:fldChar w:fldCharType="begin"/>
        </w:r>
        <w:r>
          <w:instrText xml:space="preserve"> PAGE   \* MERGEFORMAT </w:instrText>
        </w:r>
        <w:r>
          <w:fldChar w:fldCharType="separate"/>
        </w:r>
        <w:r w:rsidR="00D96CC1">
          <w:rPr>
            <w:noProof/>
          </w:rPr>
          <w:t>15</w:t>
        </w:r>
        <w:r>
          <w:rPr>
            <w:noProof/>
          </w:rPr>
          <w:fldChar w:fldCharType="end"/>
        </w:r>
      </w:p>
    </w:sdtContent>
  </w:sdt>
  <w:p w:rsidR="009A7126" w:rsidRDefault="009A712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1B" w:rsidRDefault="00DC261B" w:rsidP="00750EE9">
      <w:pPr>
        <w:spacing w:after="0" w:line="240" w:lineRule="auto"/>
      </w:pPr>
      <w:r>
        <w:separator/>
      </w:r>
    </w:p>
  </w:footnote>
  <w:footnote w:type="continuationSeparator" w:id="0">
    <w:p w:rsidR="00DC261B" w:rsidRDefault="00DC261B" w:rsidP="00750EE9">
      <w:pPr>
        <w:spacing w:after="0" w:line="240" w:lineRule="auto"/>
      </w:pPr>
      <w:r>
        <w:continuationSeparator/>
      </w:r>
    </w:p>
  </w:footnote>
  <w:footnote w:id="1">
    <w:p w:rsidR="009A7126" w:rsidRDefault="009A7126" w:rsidP="006944FA">
      <w:pPr>
        <w:pStyle w:val="Fotnotetekst"/>
      </w:pPr>
      <w:r>
        <w:rPr>
          <w:rStyle w:val="Fotnotereferanse"/>
        </w:rPr>
        <w:footnoteRef/>
      </w:r>
      <w:r>
        <w:t xml:space="preserve"> </w:t>
      </w:r>
      <w:r w:rsidRPr="00744E0B">
        <w:rPr>
          <w:sz w:val="16"/>
          <w:szCs w:val="16"/>
        </w:rPr>
        <w:t xml:space="preserve">National estimates use sometimes 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p>
  </w:footnote>
  <w:footnote w:id="2">
    <w:p w:rsidR="009A7126" w:rsidRDefault="009A7126">
      <w:pPr>
        <w:pStyle w:val="Fotnotetekst"/>
      </w:pPr>
      <w:r>
        <w:rPr>
          <w:rStyle w:val="Fotnotereferanse"/>
        </w:rPr>
        <w:footnoteRef/>
      </w:r>
      <w:r>
        <w:t xml:space="preserve"> </w:t>
      </w:r>
      <w:r>
        <w:rPr>
          <w:rFonts w:asciiTheme="minorHAnsi" w:eastAsiaTheme="minorEastAsia" w:hAnsiTheme="minorHAnsi"/>
          <w:color w:val="000000" w:themeColor="text1"/>
          <w:kern w:val="24"/>
        </w:rPr>
        <w:t xml:space="preserve">Despite being possible also to use a bottom-up approach, since police activity is normally financed by the budget of central government, a pragmatic approach frequently used is to start estimates from these aggregated budgets. In this case, estimates for public spending are relatively complete, considering all relevant costs. Additionally, this method facilitates the international comparability of results, since there are </w:t>
      </w:r>
      <w:r>
        <w:rPr>
          <w:rFonts w:asciiTheme="minorHAnsi" w:eastAsiaTheme="minorEastAsia" w:hAnsiTheme="minorHAnsi"/>
          <w:color w:val="000000" w:themeColor="text1"/>
          <w:kern w:val="24"/>
        </w:rPr>
        <w:t xml:space="preserve">at least </w:t>
      </w:r>
      <w:r>
        <w:rPr>
          <w:rFonts w:asciiTheme="minorHAnsi" w:eastAsiaTheme="minorEastAsia" w:hAnsiTheme="minorHAnsi"/>
          <w:color w:val="000000" w:themeColor="text1"/>
          <w:kern w:val="24"/>
        </w:rPr>
        <w:t xml:space="preserve">comparable data available for </w:t>
      </w:r>
      <w:r>
        <w:rPr>
          <w:rFonts w:asciiTheme="minorHAnsi" w:eastAsiaTheme="minorEastAsia" w:hAnsiTheme="minorHAnsi"/>
          <w:color w:val="000000" w:themeColor="text1"/>
          <w:kern w:val="24"/>
        </w:rPr>
        <w:t xml:space="preserve">most </w:t>
      </w:r>
      <w:r>
        <w:rPr>
          <w:rFonts w:asciiTheme="minorHAnsi" w:eastAsiaTheme="minorEastAsia" w:hAnsiTheme="minorHAnsi"/>
          <w:color w:val="000000" w:themeColor="text1"/>
          <w:kern w:val="24"/>
        </w:rPr>
        <w:t xml:space="preserve">European countries. </w:t>
      </w:r>
    </w:p>
  </w:footnote>
  <w:footnote w:id="3">
    <w:p w:rsidR="009A7126" w:rsidRPr="002C04FA" w:rsidRDefault="009A7126" w:rsidP="006944FA">
      <w:pPr>
        <w:pStyle w:val="Fotnotetekst"/>
        <w:rPr>
          <w:sz w:val="16"/>
          <w:szCs w:val="16"/>
        </w:rPr>
      </w:pPr>
      <w:r>
        <w:rPr>
          <w:rStyle w:val="Fotnotereferanse"/>
        </w:rPr>
        <w:footnoteRef/>
      </w:r>
      <w:r>
        <w:t xml:space="preserve"> </w:t>
      </w:r>
      <w:r w:rsidRPr="002C04FA">
        <w:rPr>
          <w:rFonts w:eastAsiaTheme="minorEastAsia" w:cstheme="minorBidi"/>
          <w:color w:val="000000" w:themeColor="text1"/>
          <w:kern w:val="24"/>
          <w:sz w:val="16"/>
          <w:szCs w:val="16"/>
        </w:rPr>
        <w:t>Since Moolenar 2009 did not estimate the costs of demand reduction initiatives results are not provided here.</w:t>
      </w:r>
    </w:p>
  </w:footnote>
  <w:footnote w:id="4">
    <w:p w:rsidR="009A7126" w:rsidRDefault="009A7126" w:rsidP="007C5937">
      <w:pPr>
        <w:pStyle w:val="Fotnotetekst"/>
      </w:pPr>
      <w:r>
        <w:rPr>
          <w:rStyle w:val="Fotnotereferanse"/>
        </w:rPr>
        <w:footnoteRef/>
      </w:r>
      <w:r>
        <w:t xml:space="preserve"> </w:t>
      </w:r>
      <w:r w:rsidRPr="00731F6C">
        <w:rPr>
          <w:sz w:val="16"/>
          <w:szCs w:val="16"/>
        </w:rPr>
        <w:t>See http://www.emcdda.europa.eu/topics/drug-related-public-expenditure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EAB"/>
    <w:multiLevelType w:val="multilevel"/>
    <w:tmpl w:val="D30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3"/>
  </w:num>
  <w:num w:numId="5">
    <w:abstractNumId w:val="15"/>
  </w:num>
  <w:num w:numId="6">
    <w:abstractNumId w:val="9"/>
  </w:num>
  <w:num w:numId="7">
    <w:abstractNumId w:val="2"/>
  </w:num>
  <w:num w:numId="8">
    <w:abstractNumId w:val="8"/>
  </w:num>
  <w:num w:numId="9">
    <w:abstractNumId w:val="4"/>
  </w:num>
  <w:num w:numId="10">
    <w:abstractNumId w:val="12"/>
  </w:num>
  <w:num w:numId="11">
    <w:abstractNumId w:val="11"/>
  </w:num>
  <w:num w:numId="12">
    <w:abstractNumId w:val="6"/>
  </w:num>
  <w:num w:numId="13">
    <w:abstractNumId w:val="7"/>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EE"/>
    <w:rsid w:val="000004E0"/>
    <w:rsid w:val="00001C34"/>
    <w:rsid w:val="00001F81"/>
    <w:rsid w:val="00003543"/>
    <w:rsid w:val="000054A5"/>
    <w:rsid w:val="00012746"/>
    <w:rsid w:val="00012D83"/>
    <w:rsid w:val="00013858"/>
    <w:rsid w:val="00017A31"/>
    <w:rsid w:val="000223A4"/>
    <w:rsid w:val="000234FF"/>
    <w:rsid w:val="00026F7B"/>
    <w:rsid w:val="000277EE"/>
    <w:rsid w:val="00030150"/>
    <w:rsid w:val="000315A6"/>
    <w:rsid w:val="00033A63"/>
    <w:rsid w:val="000359E2"/>
    <w:rsid w:val="00036311"/>
    <w:rsid w:val="000365A6"/>
    <w:rsid w:val="00041C7C"/>
    <w:rsid w:val="00042722"/>
    <w:rsid w:val="000462D0"/>
    <w:rsid w:val="00050AEE"/>
    <w:rsid w:val="00050D6D"/>
    <w:rsid w:val="0005556B"/>
    <w:rsid w:val="00056BAC"/>
    <w:rsid w:val="00056D8E"/>
    <w:rsid w:val="000624F8"/>
    <w:rsid w:val="000647CC"/>
    <w:rsid w:val="0006628B"/>
    <w:rsid w:val="00066FE9"/>
    <w:rsid w:val="0008060D"/>
    <w:rsid w:val="00084CCD"/>
    <w:rsid w:val="00084DB6"/>
    <w:rsid w:val="000853BB"/>
    <w:rsid w:val="00085DE2"/>
    <w:rsid w:val="00091375"/>
    <w:rsid w:val="000919E6"/>
    <w:rsid w:val="000970F5"/>
    <w:rsid w:val="000A13D5"/>
    <w:rsid w:val="000A3FE0"/>
    <w:rsid w:val="000B6FF4"/>
    <w:rsid w:val="000B7787"/>
    <w:rsid w:val="000B7991"/>
    <w:rsid w:val="000C17CB"/>
    <w:rsid w:val="000C3617"/>
    <w:rsid w:val="000D0E72"/>
    <w:rsid w:val="000D2DF8"/>
    <w:rsid w:val="000D6FE0"/>
    <w:rsid w:val="000E643C"/>
    <w:rsid w:val="000F0A23"/>
    <w:rsid w:val="000F294D"/>
    <w:rsid w:val="000F6331"/>
    <w:rsid w:val="000F6A5B"/>
    <w:rsid w:val="00104456"/>
    <w:rsid w:val="0011116D"/>
    <w:rsid w:val="00114B16"/>
    <w:rsid w:val="001172A0"/>
    <w:rsid w:val="00120277"/>
    <w:rsid w:val="001214D8"/>
    <w:rsid w:val="00121652"/>
    <w:rsid w:val="001263F0"/>
    <w:rsid w:val="00126B58"/>
    <w:rsid w:val="0013177D"/>
    <w:rsid w:val="0013251A"/>
    <w:rsid w:val="001368F2"/>
    <w:rsid w:val="0014097D"/>
    <w:rsid w:val="00142050"/>
    <w:rsid w:val="00145993"/>
    <w:rsid w:val="00146B3E"/>
    <w:rsid w:val="00151700"/>
    <w:rsid w:val="001523FA"/>
    <w:rsid w:val="00152AC1"/>
    <w:rsid w:val="001531CA"/>
    <w:rsid w:val="0015330A"/>
    <w:rsid w:val="0015682C"/>
    <w:rsid w:val="00157376"/>
    <w:rsid w:val="00163CD7"/>
    <w:rsid w:val="00163F8D"/>
    <w:rsid w:val="00171F09"/>
    <w:rsid w:val="001734B3"/>
    <w:rsid w:val="00173E73"/>
    <w:rsid w:val="0017533B"/>
    <w:rsid w:val="0017568F"/>
    <w:rsid w:val="00176BB7"/>
    <w:rsid w:val="001809B9"/>
    <w:rsid w:val="00180B5E"/>
    <w:rsid w:val="00184368"/>
    <w:rsid w:val="00190E07"/>
    <w:rsid w:val="00190EF4"/>
    <w:rsid w:val="00191BA0"/>
    <w:rsid w:val="00191E26"/>
    <w:rsid w:val="001934D2"/>
    <w:rsid w:val="001A032A"/>
    <w:rsid w:val="001A0D36"/>
    <w:rsid w:val="001A101C"/>
    <w:rsid w:val="001A6567"/>
    <w:rsid w:val="001A69CA"/>
    <w:rsid w:val="001B3E37"/>
    <w:rsid w:val="001B4DC4"/>
    <w:rsid w:val="001C5274"/>
    <w:rsid w:val="001C57F7"/>
    <w:rsid w:val="001C7756"/>
    <w:rsid w:val="001D0365"/>
    <w:rsid w:val="001D1E87"/>
    <w:rsid w:val="001D2C49"/>
    <w:rsid w:val="001D5953"/>
    <w:rsid w:val="001D6143"/>
    <w:rsid w:val="001D7881"/>
    <w:rsid w:val="001E07E5"/>
    <w:rsid w:val="001E0BDF"/>
    <w:rsid w:val="001E1781"/>
    <w:rsid w:val="001E2614"/>
    <w:rsid w:val="001E31C8"/>
    <w:rsid w:val="001E3368"/>
    <w:rsid w:val="001E3559"/>
    <w:rsid w:val="001E449F"/>
    <w:rsid w:val="001E479F"/>
    <w:rsid w:val="001E79C4"/>
    <w:rsid w:val="001F14E6"/>
    <w:rsid w:val="001F2199"/>
    <w:rsid w:val="001F5DD6"/>
    <w:rsid w:val="001F7451"/>
    <w:rsid w:val="00201CD8"/>
    <w:rsid w:val="00202F0D"/>
    <w:rsid w:val="00202F22"/>
    <w:rsid w:val="00205268"/>
    <w:rsid w:val="0020575D"/>
    <w:rsid w:val="00206F09"/>
    <w:rsid w:val="00207CEF"/>
    <w:rsid w:val="002106F4"/>
    <w:rsid w:val="00214E91"/>
    <w:rsid w:val="002156D9"/>
    <w:rsid w:val="00215D7E"/>
    <w:rsid w:val="00221B25"/>
    <w:rsid w:val="0022294B"/>
    <w:rsid w:val="00224F72"/>
    <w:rsid w:val="0022505F"/>
    <w:rsid w:val="00227FF9"/>
    <w:rsid w:val="002323BB"/>
    <w:rsid w:val="00237349"/>
    <w:rsid w:val="002428D9"/>
    <w:rsid w:val="00246EA5"/>
    <w:rsid w:val="00247E1C"/>
    <w:rsid w:val="0025272F"/>
    <w:rsid w:val="0025380C"/>
    <w:rsid w:val="00253D7B"/>
    <w:rsid w:val="00254241"/>
    <w:rsid w:val="0025428D"/>
    <w:rsid w:val="0025509F"/>
    <w:rsid w:val="00256685"/>
    <w:rsid w:val="00261C99"/>
    <w:rsid w:val="00263B3E"/>
    <w:rsid w:val="00265DE2"/>
    <w:rsid w:val="00270DF2"/>
    <w:rsid w:val="00276223"/>
    <w:rsid w:val="002804BE"/>
    <w:rsid w:val="00284D64"/>
    <w:rsid w:val="0028668C"/>
    <w:rsid w:val="00287451"/>
    <w:rsid w:val="0029508B"/>
    <w:rsid w:val="00295E29"/>
    <w:rsid w:val="0029786A"/>
    <w:rsid w:val="00297E3B"/>
    <w:rsid w:val="002A32F8"/>
    <w:rsid w:val="002A5D8C"/>
    <w:rsid w:val="002B3D4B"/>
    <w:rsid w:val="002B4E6E"/>
    <w:rsid w:val="002B505D"/>
    <w:rsid w:val="002B543C"/>
    <w:rsid w:val="002B5E99"/>
    <w:rsid w:val="002B77C6"/>
    <w:rsid w:val="002B7919"/>
    <w:rsid w:val="002C271F"/>
    <w:rsid w:val="002C3A09"/>
    <w:rsid w:val="002C4275"/>
    <w:rsid w:val="002D32F4"/>
    <w:rsid w:val="002D3CAA"/>
    <w:rsid w:val="002E0120"/>
    <w:rsid w:val="002E1F77"/>
    <w:rsid w:val="002E2A08"/>
    <w:rsid w:val="002F20EF"/>
    <w:rsid w:val="002F23EC"/>
    <w:rsid w:val="002F55CD"/>
    <w:rsid w:val="002F57EC"/>
    <w:rsid w:val="002F5828"/>
    <w:rsid w:val="002F58DF"/>
    <w:rsid w:val="0030287B"/>
    <w:rsid w:val="00304764"/>
    <w:rsid w:val="00306BF8"/>
    <w:rsid w:val="003103BC"/>
    <w:rsid w:val="00314497"/>
    <w:rsid w:val="00315DD1"/>
    <w:rsid w:val="003236F2"/>
    <w:rsid w:val="00324A76"/>
    <w:rsid w:val="003267AB"/>
    <w:rsid w:val="003326C6"/>
    <w:rsid w:val="0033351A"/>
    <w:rsid w:val="00337CB7"/>
    <w:rsid w:val="003425AA"/>
    <w:rsid w:val="00345E44"/>
    <w:rsid w:val="00350127"/>
    <w:rsid w:val="003504C2"/>
    <w:rsid w:val="003515F1"/>
    <w:rsid w:val="003539CC"/>
    <w:rsid w:val="00355AFB"/>
    <w:rsid w:val="0036192B"/>
    <w:rsid w:val="003619E6"/>
    <w:rsid w:val="00372055"/>
    <w:rsid w:val="003732F1"/>
    <w:rsid w:val="003734CD"/>
    <w:rsid w:val="003745BD"/>
    <w:rsid w:val="00375409"/>
    <w:rsid w:val="003766A9"/>
    <w:rsid w:val="00385648"/>
    <w:rsid w:val="0038763C"/>
    <w:rsid w:val="00387728"/>
    <w:rsid w:val="00391900"/>
    <w:rsid w:val="003939DA"/>
    <w:rsid w:val="00393DA7"/>
    <w:rsid w:val="00393ED9"/>
    <w:rsid w:val="00394338"/>
    <w:rsid w:val="003979C2"/>
    <w:rsid w:val="003A0861"/>
    <w:rsid w:val="003A1C85"/>
    <w:rsid w:val="003A2F71"/>
    <w:rsid w:val="003A4E20"/>
    <w:rsid w:val="003A7661"/>
    <w:rsid w:val="003B2006"/>
    <w:rsid w:val="003B2599"/>
    <w:rsid w:val="003B667E"/>
    <w:rsid w:val="003B6CF3"/>
    <w:rsid w:val="003B7140"/>
    <w:rsid w:val="003B7828"/>
    <w:rsid w:val="003B7F95"/>
    <w:rsid w:val="003C3D7C"/>
    <w:rsid w:val="003C3FB3"/>
    <w:rsid w:val="003C4A7A"/>
    <w:rsid w:val="003C5D8C"/>
    <w:rsid w:val="003C7F0D"/>
    <w:rsid w:val="003D0511"/>
    <w:rsid w:val="003E01D0"/>
    <w:rsid w:val="003F10BF"/>
    <w:rsid w:val="003F1D8F"/>
    <w:rsid w:val="003F7D93"/>
    <w:rsid w:val="00400B50"/>
    <w:rsid w:val="004142F5"/>
    <w:rsid w:val="00421AFF"/>
    <w:rsid w:val="00422FEF"/>
    <w:rsid w:val="00427C5F"/>
    <w:rsid w:val="00433423"/>
    <w:rsid w:val="00435097"/>
    <w:rsid w:val="0043607D"/>
    <w:rsid w:val="00440E1D"/>
    <w:rsid w:val="00441C90"/>
    <w:rsid w:val="004515BB"/>
    <w:rsid w:val="00456EAA"/>
    <w:rsid w:val="004656BF"/>
    <w:rsid w:val="00472BA5"/>
    <w:rsid w:val="00480DF6"/>
    <w:rsid w:val="00480E8B"/>
    <w:rsid w:val="00482902"/>
    <w:rsid w:val="00482F30"/>
    <w:rsid w:val="00483D70"/>
    <w:rsid w:val="0049152A"/>
    <w:rsid w:val="0049152C"/>
    <w:rsid w:val="00493625"/>
    <w:rsid w:val="004955EA"/>
    <w:rsid w:val="0049570D"/>
    <w:rsid w:val="00495E41"/>
    <w:rsid w:val="004B1C4F"/>
    <w:rsid w:val="004B1F79"/>
    <w:rsid w:val="004B285D"/>
    <w:rsid w:val="004C26BB"/>
    <w:rsid w:val="004D2513"/>
    <w:rsid w:val="004E2000"/>
    <w:rsid w:val="004E4C9C"/>
    <w:rsid w:val="004F5A3C"/>
    <w:rsid w:val="00502D12"/>
    <w:rsid w:val="00504963"/>
    <w:rsid w:val="0050621A"/>
    <w:rsid w:val="00506742"/>
    <w:rsid w:val="00506833"/>
    <w:rsid w:val="00507635"/>
    <w:rsid w:val="00510B5F"/>
    <w:rsid w:val="00510D1D"/>
    <w:rsid w:val="00510EC1"/>
    <w:rsid w:val="00513390"/>
    <w:rsid w:val="005144A2"/>
    <w:rsid w:val="005151DE"/>
    <w:rsid w:val="00515480"/>
    <w:rsid w:val="005179E0"/>
    <w:rsid w:val="0052326E"/>
    <w:rsid w:val="00524FE3"/>
    <w:rsid w:val="005270F5"/>
    <w:rsid w:val="005300C1"/>
    <w:rsid w:val="005323F8"/>
    <w:rsid w:val="0053489F"/>
    <w:rsid w:val="005350D6"/>
    <w:rsid w:val="005355BF"/>
    <w:rsid w:val="00536079"/>
    <w:rsid w:val="00536C92"/>
    <w:rsid w:val="00540AB1"/>
    <w:rsid w:val="00541120"/>
    <w:rsid w:val="00543525"/>
    <w:rsid w:val="00545206"/>
    <w:rsid w:val="005454F6"/>
    <w:rsid w:val="00546376"/>
    <w:rsid w:val="00547FDC"/>
    <w:rsid w:val="00551F26"/>
    <w:rsid w:val="005562B1"/>
    <w:rsid w:val="00556B2A"/>
    <w:rsid w:val="00557C53"/>
    <w:rsid w:val="00561AC6"/>
    <w:rsid w:val="0056450D"/>
    <w:rsid w:val="00565AD4"/>
    <w:rsid w:val="005672ED"/>
    <w:rsid w:val="005737EB"/>
    <w:rsid w:val="0057547A"/>
    <w:rsid w:val="0057650C"/>
    <w:rsid w:val="005768E6"/>
    <w:rsid w:val="0058061F"/>
    <w:rsid w:val="005817EC"/>
    <w:rsid w:val="00581BF7"/>
    <w:rsid w:val="00581E4A"/>
    <w:rsid w:val="005823A7"/>
    <w:rsid w:val="00585BF9"/>
    <w:rsid w:val="00587CDC"/>
    <w:rsid w:val="00590EC0"/>
    <w:rsid w:val="00591B40"/>
    <w:rsid w:val="00593A69"/>
    <w:rsid w:val="005946F0"/>
    <w:rsid w:val="005962DC"/>
    <w:rsid w:val="0059659E"/>
    <w:rsid w:val="005A0DFA"/>
    <w:rsid w:val="005A2BBF"/>
    <w:rsid w:val="005A36A5"/>
    <w:rsid w:val="005A49E0"/>
    <w:rsid w:val="005B0D26"/>
    <w:rsid w:val="005B1286"/>
    <w:rsid w:val="005B3B6F"/>
    <w:rsid w:val="005B41FB"/>
    <w:rsid w:val="005B59F4"/>
    <w:rsid w:val="005C631B"/>
    <w:rsid w:val="005C77C9"/>
    <w:rsid w:val="005D06AF"/>
    <w:rsid w:val="005D11C8"/>
    <w:rsid w:val="005D193B"/>
    <w:rsid w:val="005D3518"/>
    <w:rsid w:val="005D5814"/>
    <w:rsid w:val="005E0564"/>
    <w:rsid w:val="005E19B0"/>
    <w:rsid w:val="005E27CB"/>
    <w:rsid w:val="005F04B4"/>
    <w:rsid w:val="005F1923"/>
    <w:rsid w:val="005F794A"/>
    <w:rsid w:val="005F7CCB"/>
    <w:rsid w:val="00601304"/>
    <w:rsid w:val="006073B3"/>
    <w:rsid w:val="00615820"/>
    <w:rsid w:val="006204FC"/>
    <w:rsid w:val="00623506"/>
    <w:rsid w:val="006240B4"/>
    <w:rsid w:val="00625739"/>
    <w:rsid w:val="0062578E"/>
    <w:rsid w:val="00625E1B"/>
    <w:rsid w:val="006274EA"/>
    <w:rsid w:val="00631E1A"/>
    <w:rsid w:val="0064157B"/>
    <w:rsid w:val="0064289D"/>
    <w:rsid w:val="00642BF6"/>
    <w:rsid w:val="00643930"/>
    <w:rsid w:val="00644AF8"/>
    <w:rsid w:val="00651076"/>
    <w:rsid w:val="00654DFC"/>
    <w:rsid w:val="00655A9C"/>
    <w:rsid w:val="006627FE"/>
    <w:rsid w:val="00672A0C"/>
    <w:rsid w:val="00673B90"/>
    <w:rsid w:val="0068172A"/>
    <w:rsid w:val="006837DA"/>
    <w:rsid w:val="006837EF"/>
    <w:rsid w:val="006844A6"/>
    <w:rsid w:val="0068755F"/>
    <w:rsid w:val="0069062F"/>
    <w:rsid w:val="00694306"/>
    <w:rsid w:val="006944FA"/>
    <w:rsid w:val="00694958"/>
    <w:rsid w:val="006A347B"/>
    <w:rsid w:val="006A4EAD"/>
    <w:rsid w:val="006A5AFB"/>
    <w:rsid w:val="006A75DA"/>
    <w:rsid w:val="006B136A"/>
    <w:rsid w:val="006B17BB"/>
    <w:rsid w:val="006B215B"/>
    <w:rsid w:val="006B2AE4"/>
    <w:rsid w:val="006B2D41"/>
    <w:rsid w:val="006B4EBE"/>
    <w:rsid w:val="006B5913"/>
    <w:rsid w:val="006B65F6"/>
    <w:rsid w:val="006B6D3E"/>
    <w:rsid w:val="006B78CD"/>
    <w:rsid w:val="006B7D16"/>
    <w:rsid w:val="006C076F"/>
    <w:rsid w:val="006C0EDE"/>
    <w:rsid w:val="006C5623"/>
    <w:rsid w:val="006C6323"/>
    <w:rsid w:val="006C7A24"/>
    <w:rsid w:val="006D4F94"/>
    <w:rsid w:val="006E020E"/>
    <w:rsid w:val="006E34C2"/>
    <w:rsid w:val="006E4014"/>
    <w:rsid w:val="006E5F0A"/>
    <w:rsid w:val="006F11B0"/>
    <w:rsid w:val="006F224F"/>
    <w:rsid w:val="006F28BB"/>
    <w:rsid w:val="006F2D8C"/>
    <w:rsid w:val="006F33F2"/>
    <w:rsid w:val="006F40DF"/>
    <w:rsid w:val="007012F6"/>
    <w:rsid w:val="00701CE3"/>
    <w:rsid w:val="007026BC"/>
    <w:rsid w:val="007107F1"/>
    <w:rsid w:val="00711219"/>
    <w:rsid w:val="007142B3"/>
    <w:rsid w:val="0071587C"/>
    <w:rsid w:val="00716868"/>
    <w:rsid w:val="0072251A"/>
    <w:rsid w:val="00727868"/>
    <w:rsid w:val="00731475"/>
    <w:rsid w:val="0073535B"/>
    <w:rsid w:val="00737910"/>
    <w:rsid w:val="00737F76"/>
    <w:rsid w:val="00741A77"/>
    <w:rsid w:val="00742F01"/>
    <w:rsid w:val="00743AC9"/>
    <w:rsid w:val="00745DAF"/>
    <w:rsid w:val="007465F8"/>
    <w:rsid w:val="00750EE9"/>
    <w:rsid w:val="00752FA9"/>
    <w:rsid w:val="007563F1"/>
    <w:rsid w:val="00765525"/>
    <w:rsid w:val="00766E54"/>
    <w:rsid w:val="0077076F"/>
    <w:rsid w:val="0077581E"/>
    <w:rsid w:val="00776093"/>
    <w:rsid w:val="00776CA1"/>
    <w:rsid w:val="007836E7"/>
    <w:rsid w:val="007845A6"/>
    <w:rsid w:val="0079067C"/>
    <w:rsid w:val="00791CF5"/>
    <w:rsid w:val="00792AFF"/>
    <w:rsid w:val="00793D3C"/>
    <w:rsid w:val="00793FAF"/>
    <w:rsid w:val="007941AF"/>
    <w:rsid w:val="00794711"/>
    <w:rsid w:val="00797057"/>
    <w:rsid w:val="00797446"/>
    <w:rsid w:val="007A2B04"/>
    <w:rsid w:val="007A68ED"/>
    <w:rsid w:val="007A7BBB"/>
    <w:rsid w:val="007A7E71"/>
    <w:rsid w:val="007B0852"/>
    <w:rsid w:val="007B12C9"/>
    <w:rsid w:val="007B1F9A"/>
    <w:rsid w:val="007B2ED2"/>
    <w:rsid w:val="007B734C"/>
    <w:rsid w:val="007C42C2"/>
    <w:rsid w:val="007C5937"/>
    <w:rsid w:val="007D42DE"/>
    <w:rsid w:val="007D44A2"/>
    <w:rsid w:val="007E0243"/>
    <w:rsid w:val="007E054A"/>
    <w:rsid w:val="007E11E2"/>
    <w:rsid w:val="007E2183"/>
    <w:rsid w:val="007E2591"/>
    <w:rsid w:val="007E2F6E"/>
    <w:rsid w:val="007E4AEF"/>
    <w:rsid w:val="007E55B9"/>
    <w:rsid w:val="007F0A51"/>
    <w:rsid w:val="007F100D"/>
    <w:rsid w:val="007F1362"/>
    <w:rsid w:val="007F16A8"/>
    <w:rsid w:val="007F24C7"/>
    <w:rsid w:val="007F5178"/>
    <w:rsid w:val="007F7E10"/>
    <w:rsid w:val="00802E56"/>
    <w:rsid w:val="008033AF"/>
    <w:rsid w:val="00805A4B"/>
    <w:rsid w:val="0080744E"/>
    <w:rsid w:val="0081209F"/>
    <w:rsid w:val="0081271E"/>
    <w:rsid w:val="0081353F"/>
    <w:rsid w:val="00813EF2"/>
    <w:rsid w:val="00821456"/>
    <w:rsid w:val="00832B3A"/>
    <w:rsid w:val="00834375"/>
    <w:rsid w:val="00834CD6"/>
    <w:rsid w:val="00837CD9"/>
    <w:rsid w:val="008447A9"/>
    <w:rsid w:val="008479DE"/>
    <w:rsid w:val="00852C94"/>
    <w:rsid w:val="00857CFC"/>
    <w:rsid w:val="00861714"/>
    <w:rsid w:val="00861909"/>
    <w:rsid w:val="00862825"/>
    <w:rsid w:val="00863B97"/>
    <w:rsid w:val="008642FC"/>
    <w:rsid w:val="00865532"/>
    <w:rsid w:val="00865B8C"/>
    <w:rsid w:val="00870FAD"/>
    <w:rsid w:val="00874BD5"/>
    <w:rsid w:val="00875307"/>
    <w:rsid w:val="00883D93"/>
    <w:rsid w:val="008861E5"/>
    <w:rsid w:val="008866FB"/>
    <w:rsid w:val="00886B3D"/>
    <w:rsid w:val="008918A9"/>
    <w:rsid w:val="0089211D"/>
    <w:rsid w:val="008948A5"/>
    <w:rsid w:val="0089590F"/>
    <w:rsid w:val="008A263C"/>
    <w:rsid w:val="008A3BB9"/>
    <w:rsid w:val="008A3FC8"/>
    <w:rsid w:val="008A4BC2"/>
    <w:rsid w:val="008A7213"/>
    <w:rsid w:val="008B7009"/>
    <w:rsid w:val="008C4D37"/>
    <w:rsid w:val="008C507D"/>
    <w:rsid w:val="008D1458"/>
    <w:rsid w:val="008D201F"/>
    <w:rsid w:val="008D2675"/>
    <w:rsid w:val="008D4EB9"/>
    <w:rsid w:val="008D5572"/>
    <w:rsid w:val="008F093C"/>
    <w:rsid w:val="008F4C26"/>
    <w:rsid w:val="00900158"/>
    <w:rsid w:val="00904CF3"/>
    <w:rsid w:val="00905756"/>
    <w:rsid w:val="0091161D"/>
    <w:rsid w:val="00912C5F"/>
    <w:rsid w:val="00916525"/>
    <w:rsid w:val="009170F0"/>
    <w:rsid w:val="009218E3"/>
    <w:rsid w:val="00921B0B"/>
    <w:rsid w:val="0092522F"/>
    <w:rsid w:val="00926B8A"/>
    <w:rsid w:val="00931638"/>
    <w:rsid w:val="00931E95"/>
    <w:rsid w:val="00932020"/>
    <w:rsid w:val="00935358"/>
    <w:rsid w:val="0093620C"/>
    <w:rsid w:val="009379CD"/>
    <w:rsid w:val="00941B01"/>
    <w:rsid w:val="00941EC2"/>
    <w:rsid w:val="00942EE2"/>
    <w:rsid w:val="00943D51"/>
    <w:rsid w:val="009451EB"/>
    <w:rsid w:val="00945F44"/>
    <w:rsid w:val="009467E7"/>
    <w:rsid w:val="00946AFB"/>
    <w:rsid w:val="00950737"/>
    <w:rsid w:val="0095077B"/>
    <w:rsid w:val="00951492"/>
    <w:rsid w:val="00957134"/>
    <w:rsid w:val="0096003A"/>
    <w:rsid w:val="00960EBD"/>
    <w:rsid w:val="009630AB"/>
    <w:rsid w:val="00967DE2"/>
    <w:rsid w:val="00980302"/>
    <w:rsid w:val="00984137"/>
    <w:rsid w:val="00993010"/>
    <w:rsid w:val="009A2C22"/>
    <w:rsid w:val="009A30F9"/>
    <w:rsid w:val="009A3784"/>
    <w:rsid w:val="009A7126"/>
    <w:rsid w:val="009A7B47"/>
    <w:rsid w:val="009B5FC7"/>
    <w:rsid w:val="009C135A"/>
    <w:rsid w:val="009C1CF9"/>
    <w:rsid w:val="009C2A62"/>
    <w:rsid w:val="009C5019"/>
    <w:rsid w:val="009C53EF"/>
    <w:rsid w:val="009C5DF5"/>
    <w:rsid w:val="009C6C50"/>
    <w:rsid w:val="009C7881"/>
    <w:rsid w:val="009D1DEA"/>
    <w:rsid w:val="009D3B09"/>
    <w:rsid w:val="009E2F27"/>
    <w:rsid w:val="009E31AB"/>
    <w:rsid w:val="009E4045"/>
    <w:rsid w:val="009E5B78"/>
    <w:rsid w:val="009E6CEF"/>
    <w:rsid w:val="009F4DAC"/>
    <w:rsid w:val="00A001AB"/>
    <w:rsid w:val="00A00291"/>
    <w:rsid w:val="00A05154"/>
    <w:rsid w:val="00A063AB"/>
    <w:rsid w:val="00A1063A"/>
    <w:rsid w:val="00A14AF1"/>
    <w:rsid w:val="00A174ED"/>
    <w:rsid w:val="00A17932"/>
    <w:rsid w:val="00A2124A"/>
    <w:rsid w:val="00A21324"/>
    <w:rsid w:val="00A24244"/>
    <w:rsid w:val="00A24FB3"/>
    <w:rsid w:val="00A261F3"/>
    <w:rsid w:val="00A267B5"/>
    <w:rsid w:val="00A326B6"/>
    <w:rsid w:val="00A35982"/>
    <w:rsid w:val="00A37F6A"/>
    <w:rsid w:val="00A41434"/>
    <w:rsid w:val="00A41AE3"/>
    <w:rsid w:val="00A5151E"/>
    <w:rsid w:val="00A53E26"/>
    <w:rsid w:val="00A55925"/>
    <w:rsid w:val="00A6132B"/>
    <w:rsid w:val="00A61B32"/>
    <w:rsid w:val="00A62F3C"/>
    <w:rsid w:val="00A63FA0"/>
    <w:rsid w:val="00A64368"/>
    <w:rsid w:val="00A657A3"/>
    <w:rsid w:val="00A67BAA"/>
    <w:rsid w:val="00A730A6"/>
    <w:rsid w:val="00A73EEB"/>
    <w:rsid w:val="00A75669"/>
    <w:rsid w:val="00A75CC1"/>
    <w:rsid w:val="00A811A5"/>
    <w:rsid w:val="00A83852"/>
    <w:rsid w:val="00A913CD"/>
    <w:rsid w:val="00A9247E"/>
    <w:rsid w:val="00A93301"/>
    <w:rsid w:val="00A93F6E"/>
    <w:rsid w:val="00A96B9C"/>
    <w:rsid w:val="00A97CAB"/>
    <w:rsid w:val="00AA1A07"/>
    <w:rsid w:val="00AA241C"/>
    <w:rsid w:val="00AA55E3"/>
    <w:rsid w:val="00AB4AF5"/>
    <w:rsid w:val="00AB5473"/>
    <w:rsid w:val="00AB642F"/>
    <w:rsid w:val="00AB6596"/>
    <w:rsid w:val="00AB7D86"/>
    <w:rsid w:val="00AC2426"/>
    <w:rsid w:val="00AC6F82"/>
    <w:rsid w:val="00AC7B35"/>
    <w:rsid w:val="00AD0090"/>
    <w:rsid w:val="00AD1C58"/>
    <w:rsid w:val="00AD58DC"/>
    <w:rsid w:val="00AD6982"/>
    <w:rsid w:val="00AE43B9"/>
    <w:rsid w:val="00AF187C"/>
    <w:rsid w:val="00AF1B07"/>
    <w:rsid w:val="00AF1EF8"/>
    <w:rsid w:val="00AF20F1"/>
    <w:rsid w:val="00AF3462"/>
    <w:rsid w:val="00AF48C5"/>
    <w:rsid w:val="00AF512A"/>
    <w:rsid w:val="00AF626B"/>
    <w:rsid w:val="00B00117"/>
    <w:rsid w:val="00B0106C"/>
    <w:rsid w:val="00B024ED"/>
    <w:rsid w:val="00B0251E"/>
    <w:rsid w:val="00B026DA"/>
    <w:rsid w:val="00B02DF5"/>
    <w:rsid w:val="00B03CB0"/>
    <w:rsid w:val="00B0436B"/>
    <w:rsid w:val="00B11880"/>
    <w:rsid w:val="00B12320"/>
    <w:rsid w:val="00B13082"/>
    <w:rsid w:val="00B1570D"/>
    <w:rsid w:val="00B17773"/>
    <w:rsid w:val="00B20DB4"/>
    <w:rsid w:val="00B23F07"/>
    <w:rsid w:val="00B23FB3"/>
    <w:rsid w:val="00B248A8"/>
    <w:rsid w:val="00B275F3"/>
    <w:rsid w:val="00B27A87"/>
    <w:rsid w:val="00B30C8C"/>
    <w:rsid w:val="00B34A00"/>
    <w:rsid w:val="00B3523E"/>
    <w:rsid w:val="00B36DCD"/>
    <w:rsid w:val="00B4056A"/>
    <w:rsid w:val="00B40AA1"/>
    <w:rsid w:val="00B42095"/>
    <w:rsid w:val="00B45810"/>
    <w:rsid w:val="00B45D34"/>
    <w:rsid w:val="00B46AC4"/>
    <w:rsid w:val="00B50444"/>
    <w:rsid w:val="00B53394"/>
    <w:rsid w:val="00B536C2"/>
    <w:rsid w:val="00B54386"/>
    <w:rsid w:val="00B54DCB"/>
    <w:rsid w:val="00B54FC9"/>
    <w:rsid w:val="00B55F5C"/>
    <w:rsid w:val="00B56063"/>
    <w:rsid w:val="00B56B2B"/>
    <w:rsid w:val="00B5738B"/>
    <w:rsid w:val="00B64BB1"/>
    <w:rsid w:val="00B71B8F"/>
    <w:rsid w:val="00B72CBB"/>
    <w:rsid w:val="00B72CCF"/>
    <w:rsid w:val="00B7373E"/>
    <w:rsid w:val="00B73E4D"/>
    <w:rsid w:val="00B767A7"/>
    <w:rsid w:val="00B82227"/>
    <w:rsid w:val="00B82E25"/>
    <w:rsid w:val="00B83F9C"/>
    <w:rsid w:val="00B840F1"/>
    <w:rsid w:val="00B8544C"/>
    <w:rsid w:val="00B8757D"/>
    <w:rsid w:val="00B90ECF"/>
    <w:rsid w:val="00B92D80"/>
    <w:rsid w:val="00B93263"/>
    <w:rsid w:val="00B93430"/>
    <w:rsid w:val="00B9492B"/>
    <w:rsid w:val="00B94FC9"/>
    <w:rsid w:val="00B9788D"/>
    <w:rsid w:val="00BA6AEB"/>
    <w:rsid w:val="00BA6D6B"/>
    <w:rsid w:val="00BB010A"/>
    <w:rsid w:val="00BB2460"/>
    <w:rsid w:val="00BB2CED"/>
    <w:rsid w:val="00BB3091"/>
    <w:rsid w:val="00BB4552"/>
    <w:rsid w:val="00BB5108"/>
    <w:rsid w:val="00BB5C9E"/>
    <w:rsid w:val="00BB752B"/>
    <w:rsid w:val="00BB7557"/>
    <w:rsid w:val="00BC1A0C"/>
    <w:rsid w:val="00BC4139"/>
    <w:rsid w:val="00BC4F24"/>
    <w:rsid w:val="00BD7639"/>
    <w:rsid w:val="00BE036C"/>
    <w:rsid w:val="00BE15B8"/>
    <w:rsid w:val="00BE2575"/>
    <w:rsid w:val="00BE3D5A"/>
    <w:rsid w:val="00BE48BE"/>
    <w:rsid w:val="00BE7C7A"/>
    <w:rsid w:val="00BF0FDF"/>
    <w:rsid w:val="00BF1CE4"/>
    <w:rsid w:val="00BF32D1"/>
    <w:rsid w:val="00BF477A"/>
    <w:rsid w:val="00BF6691"/>
    <w:rsid w:val="00BF7247"/>
    <w:rsid w:val="00BF74F9"/>
    <w:rsid w:val="00C0411C"/>
    <w:rsid w:val="00C04750"/>
    <w:rsid w:val="00C04C61"/>
    <w:rsid w:val="00C069B3"/>
    <w:rsid w:val="00C128AF"/>
    <w:rsid w:val="00C17543"/>
    <w:rsid w:val="00C2228C"/>
    <w:rsid w:val="00C27A88"/>
    <w:rsid w:val="00C36FD7"/>
    <w:rsid w:val="00C41DFE"/>
    <w:rsid w:val="00C426A1"/>
    <w:rsid w:val="00C426D3"/>
    <w:rsid w:val="00C50C7C"/>
    <w:rsid w:val="00C5293C"/>
    <w:rsid w:val="00C54409"/>
    <w:rsid w:val="00C54452"/>
    <w:rsid w:val="00C547E6"/>
    <w:rsid w:val="00C57515"/>
    <w:rsid w:val="00C61C32"/>
    <w:rsid w:val="00C6286B"/>
    <w:rsid w:val="00C64F6B"/>
    <w:rsid w:val="00C663F7"/>
    <w:rsid w:val="00C66E69"/>
    <w:rsid w:val="00C701B7"/>
    <w:rsid w:val="00C701D3"/>
    <w:rsid w:val="00C70D62"/>
    <w:rsid w:val="00C715EA"/>
    <w:rsid w:val="00C718CD"/>
    <w:rsid w:val="00C7365A"/>
    <w:rsid w:val="00C753F8"/>
    <w:rsid w:val="00C77AE3"/>
    <w:rsid w:val="00C81BB4"/>
    <w:rsid w:val="00C83FE6"/>
    <w:rsid w:val="00C8434B"/>
    <w:rsid w:val="00C85A98"/>
    <w:rsid w:val="00C86822"/>
    <w:rsid w:val="00C874AB"/>
    <w:rsid w:val="00C90CDE"/>
    <w:rsid w:val="00C91571"/>
    <w:rsid w:val="00C93138"/>
    <w:rsid w:val="00CA237D"/>
    <w:rsid w:val="00CA2EE7"/>
    <w:rsid w:val="00CA4656"/>
    <w:rsid w:val="00CA4976"/>
    <w:rsid w:val="00CA54C9"/>
    <w:rsid w:val="00CA65F3"/>
    <w:rsid w:val="00CB28DC"/>
    <w:rsid w:val="00CB4924"/>
    <w:rsid w:val="00CC237E"/>
    <w:rsid w:val="00CC6811"/>
    <w:rsid w:val="00CC7065"/>
    <w:rsid w:val="00CC70DC"/>
    <w:rsid w:val="00CC7313"/>
    <w:rsid w:val="00CD066D"/>
    <w:rsid w:val="00CD17E5"/>
    <w:rsid w:val="00CD46B9"/>
    <w:rsid w:val="00CD4EB3"/>
    <w:rsid w:val="00CE0C8B"/>
    <w:rsid w:val="00CF182F"/>
    <w:rsid w:val="00CF4927"/>
    <w:rsid w:val="00D01AE0"/>
    <w:rsid w:val="00D071BD"/>
    <w:rsid w:val="00D1049C"/>
    <w:rsid w:val="00D12CE9"/>
    <w:rsid w:val="00D13F2C"/>
    <w:rsid w:val="00D14EB9"/>
    <w:rsid w:val="00D15419"/>
    <w:rsid w:val="00D15E85"/>
    <w:rsid w:val="00D174DE"/>
    <w:rsid w:val="00D209FA"/>
    <w:rsid w:val="00D264C6"/>
    <w:rsid w:val="00D34AA2"/>
    <w:rsid w:val="00D35091"/>
    <w:rsid w:val="00D35E7E"/>
    <w:rsid w:val="00D40D71"/>
    <w:rsid w:val="00D45E8E"/>
    <w:rsid w:val="00D50D1D"/>
    <w:rsid w:val="00D51D55"/>
    <w:rsid w:val="00D52384"/>
    <w:rsid w:val="00D5567C"/>
    <w:rsid w:val="00D5614D"/>
    <w:rsid w:val="00D606E1"/>
    <w:rsid w:val="00D6298C"/>
    <w:rsid w:val="00D64BB9"/>
    <w:rsid w:val="00D717C8"/>
    <w:rsid w:val="00D72997"/>
    <w:rsid w:val="00D75616"/>
    <w:rsid w:val="00D80E3C"/>
    <w:rsid w:val="00D82D38"/>
    <w:rsid w:val="00D85E80"/>
    <w:rsid w:val="00D90BAB"/>
    <w:rsid w:val="00D940B4"/>
    <w:rsid w:val="00D947D6"/>
    <w:rsid w:val="00D95299"/>
    <w:rsid w:val="00D96CC1"/>
    <w:rsid w:val="00DA056F"/>
    <w:rsid w:val="00DA0D06"/>
    <w:rsid w:val="00DA1E7F"/>
    <w:rsid w:val="00DA3E11"/>
    <w:rsid w:val="00DA454C"/>
    <w:rsid w:val="00DB1E7A"/>
    <w:rsid w:val="00DB21D1"/>
    <w:rsid w:val="00DB24D6"/>
    <w:rsid w:val="00DB4475"/>
    <w:rsid w:val="00DB5C37"/>
    <w:rsid w:val="00DB77EB"/>
    <w:rsid w:val="00DC00CF"/>
    <w:rsid w:val="00DC261B"/>
    <w:rsid w:val="00DD2F5C"/>
    <w:rsid w:val="00DD3D94"/>
    <w:rsid w:val="00DD53DB"/>
    <w:rsid w:val="00DD6820"/>
    <w:rsid w:val="00DE1E1E"/>
    <w:rsid w:val="00DE27DA"/>
    <w:rsid w:val="00DE2923"/>
    <w:rsid w:val="00DE5332"/>
    <w:rsid w:val="00DE589C"/>
    <w:rsid w:val="00DE737B"/>
    <w:rsid w:val="00DE7529"/>
    <w:rsid w:val="00DF0BA4"/>
    <w:rsid w:val="00DF2242"/>
    <w:rsid w:val="00DF69A4"/>
    <w:rsid w:val="00E119C5"/>
    <w:rsid w:val="00E12308"/>
    <w:rsid w:val="00E1259A"/>
    <w:rsid w:val="00E12930"/>
    <w:rsid w:val="00E14565"/>
    <w:rsid w:val="00E15E85"/>
    <w:rsid w:val="00E15F28"/>
    <w:rsid w:val="00E16BFF"/>
    <w:rsid w:val="00E16C48"/>
    <w:rsid w:val="00E170AC"/>
    <w:rsid w:val="00E201C1"/>
    <w:rsid w:val="00E216FC"/>
    <w:rsid w:val="00E26CFF"/>
    <w:rsid w:val="00E320C1"/>
    <w:rsid w:val="00E334C4"/>
    <w:rsid w:val="00E35A79"/>
    <w:rsid w:val="00E364F8"/>
    <w:rsid w:val="00E40392"/>
    <w:rsid w:val="00E4523D"/>
    <w:rsid w:val="00E45B1C"/>
    <w:rsid w:val="00E45BAE"/>
    <w:rsid w:val="00E45F08"/>
    <w:rsid w:val="00E46A5B"/>
    <w:rsid w:val="00E46EE2"/>
    <w:rsid w:val="00E53AB4"/>
    <w:rsid w:val="00E53CFB"/>
    <w:rsid w:val="00E53E98"/>
    <w:rsid w:val="00E569AA"/>
    <w:rsid w:val="00E600CF"/>
    <w:rsid w:val="00E60C3E"/>
    <w:rsid w:val="00E611EA"/>
    <w:rsid w:val="00E61652"/>
    <w:rsid w:val="00E63580"/>
    <w:rsid w:val="00E64E2E"/>
    <w:rsid w:val="00E65B1C"/>
    <w:rsid w:val="00E6753F"/>
    <w:rsid w:val="00E70CC0"/>
    <w:rsid w:val="00E729C4"/>
    <w:rsid w:val="00E73FEE"/>
    <w:rsid w:val="00E800D1"/>
    <w:rsid w:val="00E81724"/>
    <w:rsid w:val="00E81731"/>
    <w:rsid w:val="00E82F1C"/>
    <w:rsid w:val="00E85628"/>
    <w:rsid w:val="00E85D2D"/>
    <w:rsid w:val="00E85F95"/>
    <w:rsid w:val="00E86F42"/>
    <w:rsid w:val="00E94BF5"/>
    <w:rsid w:val="00E96561"/>
    <w:rsid w:val="00EA0164"/>
    <w:rsid w:val="00EA1934"/>
    <w:rsid w:val="00EA252D"/>
    <w:rsid w:val="00EA52A5"/>
    <w:rsid w:val="00EA7C6A"/>
    <w:rsid w:val="00EB06F2"/>
    <w:rsid w:val="00EB0C36"/>
    <w:rsid w:val="00EB1823"/>
    <w:rsid w:val="00EB22F2"/>
    <w:rsid w:val="00EB3705"/>
    <w:rsid w:val="00EB5F81"/>
    <w:rsid w:val="00EB6270"/>
    <w:rsid w:val="00EC0612"/>
    <w:rsid w:val="00EC182E"/>
    <w:rsid w:val="00EC29BE"/>
    <w:rsid w:val="00EC4EA1"/>
    <w:rsid w:val="00EC5F9B"/>
    <w:rsid w:val="00EC6669"/>
    <w:rsid w:val="00EC716F"/>
    <w:rsid w:val="00ED0695"/>
    <w:rsid w:val="00ED180C"/>
    <w:rsid w:val="00ED4AF0"/>
    <w:rsid w:val="00EE0274"/>
    <w:rsid w:val="00EE0EA5"/>
    <w:rsid w:val="00EE16A0"/>
    <w:rsid w:val="00EE3435"/>
    <w:rsid w:val="00EE3681"/>
    <w:rsid w:val="00EE442F"/>
    <w:rsid w:val="00EE5145"/>
    <w:rsid w:val="00EE6CC1"/>
    <w:rsid w:val="00EF1CEE"/>
    <w:rsid w:val="00EF2DEA"/>
    <w:rsid w:val="00EF30A5"/>
    <w:rsid w:val="00EF56D2"/>
    <w:rsid w:val="00EF5C2A"/>
    <w:rsid w:val="00F0279F"/>
    <w:rsid w:val="00F030CB"/>
    <w:rsid w:val="00F03B3B"/>
    <w:rsid w:val="00F04F83"/>
    <w:rsid w:val="00F05062"/>
    <w:rsid w:val="00F059DF"/>
    <w:rsid w:val="00F116E8"/>
    <w:rsid w:val="00F11B01"/>
    <w:rsid w:val="00F134FF"/>
    <w:rsid w:val="00F17D08"/>
    <w:rsid w:val="00F21C79"/>
    <w:rsid w:val="00F22653"/>
    <w:rsid w:val="00F25B5D"/>
    <w:rsid w:val="00F25C4B"/>
    <w:rsid w:val="00F31323"/>
    <w:rsid w:val="00F34163"/>
    <w:rsid w:val="00F346F2"/>
    <w:rsid w:val="00F34A53"/>
    <w:rsid w:val="00F34C94"/>
    <w:rsid w:val="00F35A00"/>
    <w:rsid w:val="00F42D60"/>
    <w:rsid w:val="00F44490"/>
    <w:rsid w:val="00F459CF"/>
    <w:rsid w:val="00F50475"/>
    <w:rsid w:val="00F50EE5"/>
    <w:rsid w:val="00F514D7"/>
    <w:rsid w:val="00F538C3"/>
    <w:rsid w:val="00F553C0"/>
    <w:rsid w:val="00F56056"/>
    <w:rsid w:val="00F57423"/>
    <w:rsid w:val="00F60584"/>
    <w:rsid w:val="00F607F2"/>
    <w:rsid w:val="00F61968"/>
    <w:rsid w:val="00F64487"/>
    <w:rsid w:val="00F652B2"/>
    <w:rsid w:val="00F66C71"/>
    <w:rsid w:val="00F728C5"/>
    <w:rsid w:val="00F72D8C"/>
    <w:rsid w:val="00F74774"/>
    <w:rsid w:val="00F76162"/>
    <w:rsid w:val="00F764C8"/>
    <w:rsid w:val="00F76FFC"/>
    <w:rsid w:val="00F80CA4"/>
    <w:rsid w:val="00F82E0D"/>
    <w:rsid w:val="00F8426F"/>
    <w:rsid w:val="00F84F31"/>
    <w:rsid w:val="00F90097"/>
    <w:rsid w:val="00F90497"/>
    <w:rsid w:val="00F933D0"/>
    <w:rsid w:val="00F93E1D"/>
    <w:rsid w:val="00FA1616"/>
    <w:rsid w:val="00FA166A"/>
    <w:rsid w:val="00FA2CC7"/>
    <w:rsid w:val="00FA768A"/>
    <w:rsid w:val="00FB0077"/>
    <w:rsid w:val="00FB1061"/>
    <w:rsid w:val="00FB1BC7"/>
    <w:rsid w:val="00FB2162"/>
    <w:rsid w:val="00FB5D5E"/>
    <w:rsid w:val="00FC4219"/>
    <w:rsid w:val="00FC48B8"/>
    <w:rsid w:val="00FC58D0"/>
    <w:rsid w:val="00FC5924"/>
    <w:rsid w:val="00FC6771"/>
    <w:rsid w:val="00FC7E01"/>
    <w:rsid w:val="00FD2642"/>
    <w:rsid w:val="00FD53FC"/>
    <w:rsid w:val="00FD603D"/>
    <w:rsid w:val="00FE0275"/>
    <w:rsid w:val="00FE3023"/>
    <w:rsid w:val="00FE7731"/>
    <w:rsid w:val="00FE7F5C"/>
    <w:rsid w:val="00FF0F9C"/>
    <w:rsid w:val="00FF5552"/>
    <w:rsid w:val="00FF5988"/>
    <w:rsid w:val="00FF599A"/>
    <w:rsid w:val="00FF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20E00-C945-48AC-9500-BA457917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EE"/>
    <w:rPr>
      <w:rFonts w:ascii="Calibri" w:eastAsia="Calibri" w:hAnsi="Calibri" w:cs="Times New Roman"/>
      <w:lang w:val="en-GB"/>
    </w:rPr>
  </w:style>
  <w:style w:type="paragraph" w:styleId="Overskrift1">
    <w:name w:val="heading 1"/>
    <w:basedOn w:val="Normal"/>
    <w:next w:val="Normal"/>
    <w:link w:val="Overskrift1Tegn"/>
    <w:uiPriority w:val="9"/>
    <w:qFormat/>
    <w:rsid w:val="002428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C4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Overskrift4">
    <w:name w:val="heading 4"/>
    <w:basedOn w:val="Normal"/>
    <w:next w:val="Normal"/>
    <w:link w:val="Overskrift4Tegn"/>
    <w:uiPriority w:val="9"/>
    <w:unhideWhenUsed/>
    <w:qFormat/>
    <w:rsid w:val="00631E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EF1CEE"/>
  </w:style>
  <w:style w:type="paragraph" w:styleId="NormalWeb">
    <w:name w:val="Normal (Web)"/>
    <w:basedOn w:val="Normal"/>
    <w:uiPriority w:val="99"/>
    <w:unhideWhenUsed/>
    <w:rsid w:val="00EF1CEE"/>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Stil1">
    <w:name w:val="Stil1"/>
    <w:qFormat/>
    <w:rsid w:val="00EF1CEE"/>
    <w:pPr>
      <w:spacing w:after="160" w:line="259" w:lineRule="auto"/>
    </w:pPr>
    <w:rPr>
      <w:rFonts w:ascii="Calibri" w:eastAsia="Times New Roman" w:hAnsi="Calibri" w:cs="Times New Roman"/>
      <w:lang w:val="en-GB"/>
    </w:rPr>
  </w:style>
  <w:style w:type="paragraph" w:styleId="HTML-forhndsformatert">
    <w:name w:val="HTML Preformatted"/>
    <w:basedOn w:val="Normal"/>
    <w:link w:val="HTML-forhndsformatertTegn"/>
    <w:uiPriority w:val="99"/>
    <w:unhideWhenUsed/>
    <w:rsid w:val="00EF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forhndsformatertTegn">
    <w:name w:val="HTML-forhåndsformatert Tegn"/>
    <w:basedOn w:val="Standardskriftforavsnitt"/>
    <w:link w:val="HTML-forhndsformatert"/>
    <w:uiPriority w:val="99"/>
    <w:rsid w:val="00EF1CEE"/>
    <w:rPr>
      <w:rFonts w:ascii="Courier New" w:eastAsia="Times New Roman" w:hAnsi="Courier New" w:cs="Courier New"/>
      <w:sz w:val="20"/>
      <w:szCs w:val="20"/>
      <w:lang w:eastAsia="hr-HR"/>
    </w:rPr>
  </w:style>
  <w:style w:type="character" w:customStyle="1" w:styleId="Overskrift2Tegn">
    <w:name w:val="Overskrift 2 Tegn"/>
    <w:basedOn w:val="Standardskriftforavsnitt"/>
    <w:link w:val="Overskrift2"/>
    <w:uiPriority w:val="9"/>
    <w:rsid w:val="00FC4219"/>
    <w:rPr>
      <w:rFonts w:asciiTheme="majorHAnsi" w:eastAsiaTheme="majorEastAsia" w:hAnsiTheme="majorHAnsi" w:cstheme="majorBidi"/>
      <w:b/>
      <w:bCs/>
      <w:color w:val="4F81BD" w:themeColor="accent1"/>
      <w:sz w:val="26"/>
      <w:szCs w:val="26"/>
      <w:lang w:val="en-GB" w:eastAsia="nl-NL"/>
    </w:rPr>
  </w:style>
  <w:style w:type="paragraph" w:styleId="Fotnotetekst">
    <w:name w:val="footnote text"/>
    <w:aliases w:val="Voetnoottekst Char"/>
    <w:basedOn w:val="Normal"/>
    <w:link w:val="FotnotetekstTegn"/>
    <w:uiPriority w:val="99"/>
    <w:rsid w:val="00FC4219"/>
    <w:pPr>
      <w:spacing w:after="0" w:line="240" w:lineRule="auto"/>
    </w:pPr>
    <w:rPr>
      <w:rFonts w:ascii="Arial" w:hAnsi="Arial"/>
      <w:sz w:val="20"/>
      <w:szCs w:val="20"/>
    </w:rPr>
  </w:style>
  <w:style w:type="character" w:customStyle="1" w:styleId="FotnotetekstTegn">
    <w:name w:val="Fotnotetekst Tegn"/>
    <w:aliases w:val="Voetnoottekst Char Tegn"/>
    <w:basedOn w:val="Standardskriftforavsnitt"/>
    <w:link w:val="Fotnotetekst"/>
    <w:uiPriority w:val="99"/>
    <w:rsid w:val="00FC4219"/>
    <w:rPr>
      <w:rFonts w:ascii="Arial" w:eastAsia="Calibri" w:hAnsi="Arial" w:cs="Times New Roman"/>
      <w:sz w:val="20"/>
      <w:szCs w:val="20"/>
      <w:lang w:val="en-GB"/>
    </w:rPr>
  </w:style>
  <w:style w:type="character" w:styleId="Utheving">
    <w:name w:val="Emphasis"/>
    <w:basedOn w:val="Standardskriftforavsnitt"/>
    <w:qFormat/>
    <w:rsid w:val="00FC4219"/>
    <w:rPr>
      <w:i/>
      <w:iCs/>
    </w:rPr>
  </w:style>
  <w:style w:type="character" w:styleId="Hyperkobling">
    <w:name w:val="Hyperlink"/>
    <w:basedOn w:val="Standardskriftforavsnitt"/>
    <w:uiPriority w:val="99"/>
    <w:unhideWhenUsed/>
    <w:rsid w:val="00FC4219"/>
    <w:rPr>
      <w:color w:val="0000FF"/>
      <w:u w:val="single"/>
    </w:rPr>
  </w:style>
  <w:style w:type="table" w:styleId="Tabellrutenett">
    <w:name w:val="Table Grid"/>
    <w:basedOn w:val="Vanligtabell"/>
    <w:rsid w:val="0089211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tnotereferanse">
    <w:name w:val="footnote reference"/>
    <w:basedOn w:val="Standardskriftforavsnitt"/>
    <w:uiPriority w:val="99"/>
    <w:rsid w:val="00750EE9"/>
    <w:rPr>
      <w:vertAlign w:val="superscript"/>
    </w:rPr>
  </w:style>
  <w:style w:type="character" w:customStyle="1" w:styleId="shorttext">
    <w:name w:val="short_text"/>
    <w:basedOn w:val="Standardskriftforavsnitt"/>
    <w:rsid w:val="00750EE9"/>
  </w:style>
  <w:style w:type="character" w:customStyle="1" w:styleId="hps">
    <w:name w:val="hps"/>
    <w:basedOn w:val="Standardskriftforavsnitt"/>
    <w:rsid w:val="00750EE9"/>
  </w:style>
  <w:style w:type="character" w:styleId="Merknadsreferanse">
    <w:name w:val="annotation reference"/>
    <w:basedOn w:val="Standardskriftforavsnitt"/>
    <w:uiPriority w:val="99"/>
    <w:semiHidden/>
    <w:unhideWhenUsed/>
    <w:rsid w:val="00AF512A"/>
    <w:rPr>
      <w:sz w:val="16"/>
      <w:szCs w:val="16"/>
    </w:rPr>
  </w:style>
  <w:style w:type="paragraph" w:styleId="Merknadstekst">
    <w:name w:val="annotation text"/>
    <w:basedOn w:val="Normal"/>
    <w:link w:val="MerknadstekstTegn"/>
    <w:uiPriority w:val="99"/>
    <w:unhideWhenUsed/>
    <w:rsid w:val="00AF512A"/>
    <w:pPr>
      <w:spacing w:line="240" w:lineRule="auto"/>
    </w:pPr>
    <w:rPr>
      <w:sz w:val="20"/>
      <w:szCs w:val="20"/>
    </w:rPr>
  </w:style>
  <w:style w:type="character" w:customStyle="1" w:styleId="MerknadstekstTegn">
    <w:name w:val="Merknadstekst Tegn"/>
    <w:basedOn w:val="Standardskriftforavsnitt"/>
    <w:link w:val="Merknadstekst"/>
    <w:uiPriority w:val="99"/>
    <w:rsid w:val="00AF512A"/>
    <w:rPr>
      <w:rFonts w:ascii="Calibri" w:eastAsia="Calibri" w:hAnsi="Calibri"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AF512A"/>
    <w:rPr>
      <w:b/>
      <w:bCs/>
    </w:rPr>
  </w:style>
  <w:style w:type="character" w:customStyle="1" w:styleId="KommentaremneTegn">
    <w:name w:val="Kommentaremne Tegn"/>
    <w:basedOn w:val="MerknadstekstTegn"/>
    <w:link w:val="Kommentaremne"/>
    <w:uiPriority w:val="99"/>
    <w:semiHidden/>
    <w:rsid w:val="00AF512A"/>
    <w:rPr>
      <w:rFonts w:ascii="Calibri" w:eastAsia="Calibri" w:hAnsi="Calibri" w:cs="Times New Roman"/>
      <w:b/>
      <w:bCs/>
      <w:sz w:val="20"/>
      <w:szCs w:val="20"/>
      <w:lang w:val="en-GB"/>
    </w:rPr>
  </w:style>
  <w:style w:type="paragraph" w:styleId="Bobletekst">
    <w:name w:val="Balloon Text"/>
    <w:basedOn w:val="Normal"/>
    <w:link w:val="BobletekstTegn"/>
    <w:uiPriority w:val="99"/>
    <w:semiHidden/>
    <w:unhideWhenUsed/>
    <w:rsid w:val="00AF51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512A"/>
    <w:rPr>
      <w:rFonts w:ascii="Tahoma" w:eastAsia="Calibri" w:hAnsi="Tahoma" w:cs="Tahoma"/>
      <w:sz w:val="16"/>
      <w:szCs w:val="16"/>
      <w:lang w:val="en-GB"/>
    </w:rPr>
  </w:style>
  <w:style w:type="paragraph" w:customStyle="1" w:styleId="Default">
    <w:name w:val="Default"/>
    <w:rsid w:val="001A0D36"/>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E1259A"/>
    <w:rPr>
      <w:rFonts w:cs="Trivia Sans Light"/>
      <w:color w:val="000000"/>
      <w:sz w:val="11"/>
      <w:szCs w:val="11"/>
    </w:rPr>
  </w:style>
  <w:style w:type="paragraph" w:styleId="Topptekst">
    <w:name w:val="header"/>
    <w:basedOn w:val="Normal"/>
    <w:link w:val="TopptekstTegn"/>
    <w:uiPriority w:val="99"/>
    <w:unhideWhenUsed/>
    <w:rsid w:val="00805A4B"/>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805A4B"/>
    <w:rPr>
      <w:rFonts w:ascii="Calibri" w:eastAsia="Calibri" w:hAnsi="Calibri" w:cs="Times New Roman"/>
      <w:lang w:val="en-GB"/>
    </w:rPr>
  </w:style>
  <w:style w:type="paragraph" w:styleId="Bunntekst">
    <w:name w:val="footer"/>
    <w:basedOn w:val="Normal"/>
    <w:link w:val="BunntekstTegn"/>
    <w:uiPriority w:val="99"/>
    <w:unhideWhenUsed/>
    <w:rsid w:val="00805A4B"/>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805A4B"/>
    <w:rPr>
      <w:rFonts w:ascii="Calibri" w:eastAsia="Calibri" w:hAnsi="Calibri" w:cs="Times New Roman"/>
      <w:lang w:val="en-GB"/>
    </w:rPr>
  </w:style>
  <w:style w:type="character" w:customStyle="1" w:styleId="tgc">
    <w:name w:val="_tgc"/>
    <w:basedOn w:val="Standardskriftforavsnitt"/>
    <w:rsid w:val="00BF6691"/>
  </w:style>
  <w:style w:type="paragraph" w:styleId="Listeavsnitt">
    <w:name w:val="List Paragraph"/>
    <w:basedOn w:val="Normal"/>
    <w:uiPriority w:val="34"/>
    <w:qFormat/>
    <w:rsid w:val="00BF6691"/>
    <w:pPr>
      <w:ind w:left="720"/>
      <w:contextualSpacing/>
    </w:pPr>
  </w:style>
  <w:style w:type="character" w:styleId="Sluttnotereferanse">
    <w:name w:val="endnote reference"/>
    <w:basedOn w:val="Standardskriftforavsnitt"/>
    <w:uiPriority w:val="99"/>
    <w:semiHidden/>
    <w:unhideWhenUsed/>
    <w:rsid w:val="005F04B4"/>
    <w:rPr>
      <w:vertAlign w:val="superscript"/>
    </w:rPr>
  </w:style>
  <w:style w:type="character" w:customStyle="1" w:styleId="Overskrift4Tegn">
    <w:name w:val="Overskrift 4 Tegn"/>
    <w:basedOn w:val="Standardskriftforavsnitt"/>
    <w:link w:val="Overskrift4"/>
    <w:uiPriority w:val="9"/>
    <w:rsid w:val="00631E1A"/>
    <w:rPr>
      <w:rFonts w:asciiTheme="majorHAnsi" w:eastAsiaTheme="majorEastAsia" w:hAnsiTheme="majorHAnsi" w:cstheme="majorBidi"/>
      <w:b/>
      <w:bCs/>
      <w:i/>
      <w:iCs/>
      <w:color w:val="4F81BD" w:themeColor="accent1"/>
      <w:lang w:val="en-GB"/>
    </w:rPr>
  </w:style>
  <w:style w:type="paragraph" w:customStyle="1" w:styleId="Pa16">
    <w:name w:val="Pa16"/>
    <w:basedOn w:val="Normal"/>
    <w:next w:val="Normal"/>
    <w:uiPriority w:val="99"/>
    <w:rsid w:val="00F74774"/>
    <w:pPr>
      <w:autoSpaceDE w:val="0"/>
      <w:autoSpaceDN w:val="0"/>
      <w:adjustRightInd w:val="0"/>
      <w:spacing w:after="0" w:line="161" w:lineRule="atLeast"/>
    </w:pPr>
    <w:rPr>
      <w:rFonts w:ascii="Trivia Sans Medium" w:eastAsiaTheme="minorHAnsi" w:hAnsi="Trivia Sans Medium" w:cstheme="minorBidi"/>
      <w:sz w:val="24"/>
      <w:szCs w:val="24"/>
    </w:rPr>
  </w:style>
  <w:style w:type="character" w:customStyle="1" w:styleId="Overskrift1Tegn">
    <w:name w:val="Overskrift 1 Tegn"/>
    <w:basedOn w:val="Standardskriftforavsnitt"/>
    <w:link w:val="Overskrift1"/>
    <w:uiPriority w:val="9"/>
    <w:rsid w:val="002428D9"/>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223">
      <w:bodyDiv w:val="1"/>
      <w:marLeft w:val="0"/>
      <w:marRight w:val="0"/>
      <w:marTop w:val="0"/>
      <w:marBottom w:val="0"/>
      <w:divBdr>
        <w:top w:val="none" w:sz="0" w:space="0" w:color="auto"/>
        <w:left w:val="none" w:sz="0" w:space="0" w:color="auto"/>
        <w:bottom w:val="none" w:sz="0" w:space="0" w:color="auto"/>
        <w:right w:val="none" w:sz="0" w:space="0" w:color="auto"/>
      </w:divBdr>
    </w:div>
    <w:div w:id="81534273">
      <w:bodyDiv w:val="1"/>
      <w:marLeft w:val="0"/>
      <w:marRight w:val="0"/>
      <w:marTop w:val="0"/>
      <w:marBottom w:val="0"/>
      <w:divBdr>
        <w:top w:val="none" w:sz="0" w:space="0" w:color="auto"/>
        <w:left w:val="none" w:sz="0" w:space="0" w:color="auto"/>
        <w:bottom w:val="none" w:sz="0" w:space="0" w:color="auto"/>
        <w:right w:val="none" w:sz="0" w:space="0" w:color="auto"/>
      </w:divBdr>
      <w:divsChild>
        <w:div w:id="65300805">
          <w:marLeft w:val="0"/>
          <w:marRight w:val="0"/>
          <w:marTop w:val="0"/>
          <w:marBottom w:val="0"/>
          <w:divBdr>
            <w:top w:val="none" w:sz="0" w:space="0" w:color="auto"/>
            <w:left w:val="none" w:sz="0" w:space="0" w:color="auto"/>
            <w:bottom w:val="none" w:sz="0" w:space="0" w:color="auto"/>
            <w:right w:val="none" w:sz="0" w:space="0" w:color="auto"/>
          </w:divBdr>
        </w:div>
        <w:div w:id="737483271">
          <w:marLeft w:val="0"/>
          <w:marRight w:val="0"/>
          <w:marTop w:val="0"/>
          <w:marBottom w:val="0"/>
          <w:divBdr>
            <w:top w:val="none" w:sz="0" w:space="0" w:color="auto"/>
            <w:left w:val="none" w:sz="0" w:space="0" w:color="auto"/>
            <w:bottom w:val="none" w:sz="0" w:space="0" w:color="auto"/>
            <w:right w:val="none" w:sz="0" w:space="0" w:color="auto"/>
          </w:divBdr>
        </w:div>
      </w:divsChild>
    </w:div>
    <w:div w:id="118382881">
      <w:bodyDiv w:val="1"/>
      <w:marLeft w:val="0"/>
      <w:marRight w:val="0"/>
      <w:marTop w:val="0"/>
      <w:marBottom w:val="0"/>
      <w:divBdr>
        <w:top w:val="none" w:sz="0" w:space="0" w:color="auto"/>
        <w:left w:val="none" w:sz="0" w:space="0" w:color="auto"/>
        <w:bottom w:val="none" w:sz="0" w:space="0" w:color="auto"/>
        <w:right w:val="none" w:sz="0" w:space="0" w:color="auto"/>
      </w:divBdr>
    </w:div>
    <w:div w:id="149056834">
      <w:bodyDiv w:val="1"/>
      <w:marLeft w:val="0"/>
      <w:marRight w:val="0"/>
      <w:marTop w:val="0"/>
      <w:marBottom w:val="0"/>
      <w:divBdr>
        <w:top w:val="none" w:sz="0" w:space="0" w:color="auto"/>
        <w:left w:val="none" w:sz="0" w:space="0" w:color="auto"/>
        <w:bottom w:val="none" w:sz="0" w:space="0" w:color="auto"/>
        <w:right w:val="none" w:sz="0" w:space="0" w:color="auto"/>
      </w:divBdr>
    </w:div>
    <w:div w:id="1016544872">
      <w:bodyDiv w:val="1"/>
      <w:marLeft w:val="0"/>
      <w:marRight w:val="0"/>
      <w:marTop w:val="0"/>
      <w:marBottom w:val="0"/>
      <w:divBdr>
        <w:top w:val="none" w:sz="0" w:space="0" w:color="auto"/>
        <w:left w:val="none" w:sz="0" w:space="0" w:color="auto"/>
        <w:bottom w:val="none" w:sz="0" w:space="0" w:color="auto"/>
        <w:right w:val="none" w:sz="0" w:space="0" w:color="auto"/>
      </w:divBdr>
    </w:div>
    <w:div w:id="1380931437">
      <w:bodyDiv w:val="1"/>
      <w:marLeft w:val="0"/>
      <w:marRight w:val="0"/>
      <w:marTop w:val="0"/>
      <w:marBottom w:val="0"/>
      <w:divBdr>
        <w:top w:val="none" w:sz="0" w:space="0" w:color="auto"/>
        <w:left w:val="none" w:sz="0" w:space="0" w:color="auto"/>
        <w:bottom w:val="none" w:sz="0" w:space="0" w:color="auto"/>
        <w:right w:val="none" w:sz="0" w:space="0" w:color="auto"/>
      </w:divBdr>
    </w:div>
    <w:div w:id="21385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who.int/gho/data/node.main-euro.A1229?lang=en&amp;showonly=RSUD" TargetMode="External"/><Relationship Id="rId18" Type="http://schemas.openxmlformats.org/officeDocument/2006/relationships/hyperlink" Target="http://www.emcdda.europa.eu/countr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Louren%C3%A7o%20A%5BAuthor%5D&amp;cauthor=true&amp;cauthor_uid=25265899" TargetMode="External"/><Relationship Id="rId7" Type="http://schemas.openxmlformats.org/officeDocument/2006/relationships/endnotes" Target="endnotes.xml"/><Relationship Id="rId12" Type="http://schemas.openxmlformats.org/officeDocument/2006/relationships/hyperlink" Target="http://apps.who.int/gho/data/node.main-euro.A1221?lang=en&amp;showonly=RSUD" TargetMode="External"/><Relationship Id="rId17" Type="http://schemas.openxmlformats.org/officeDocument/2006/relationships/hyperlink" Target="http://apps.who.int/gho/data/node.main-euro.A1333?lang=en&amp;showonly=RSUD" TargetMode="External"/><Relationship Id="rId25" Type="http://schemas.openxmlformats.org/officeDocument/2006/relationships/hyperlink" Target="http://www.sciencedirect.com/science/article/pii/S074054721300038X" TargetMode="External"/><Relationship Id="rId2" Type="http://schemas.openxmlformats.org/officeDocument/2006/relationships/numbering" Target="numbering.xml"/><Relationship Id="rId16" Type="http://schemas.openxmlformats.org/officeDocument/2006/relationships/hyperlink" Target="http://apps.who.int/gho/data/node.main-euro.A1319?lang=en&amp;showonly=RSUD" TargetMode="External"/><Relationship Id="rId20" Type="http://schemas.openxmlformats.org/officeDocument/2006/relationships/hyperlink" Target="http://www.ncbi.nlm.nih.gov/pubmed/?term=Gon%C3%A7alves%20R%5BAuthor%5D&amp;cauthor=true&amp;cauthor_uid=25265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gho/data/node.main-euro.A1211?lang=en&amp;showonly=RSUD" TargetMode="External"/><Relationship Id="rId24" Type="http://schemas.openxmlformats.org/officeDocument/2006/relationships/hyperlink" Target="http://onlinelibrary.wiley.com/doi/10.1111/dar.2009.28.issue-2/issuetoc" TargetMode="External"/><Relationship Id="rId5" Type="http://schemas.openxmlformats.org/officeDocument/2006/relationships/webSettings" Target="webSettings.xml"/><Relationship Id="rId15" Type="http://schemas.openxmlformats.org/officeDocument/2006/relationships/hyperlink" Target="http://apps.who.int/gho/data/node.main-euro.A1280?lang=en&amp;showonly=RSUD" TargetMode="External"/><Relationship Id="rId23" Type="http://schemas.openxmlformats.org/officeDocument/2006/relationships/hyperlink" Target="http://www.ncbi.nlm.nih.gov/pubmed/25265899" TargetMode="External"/><Relationship Id="rId28" Type="http://schemas.openxmlformats.org/officeDocument/2006/relationships/theme" Target="theme/theme1.xml"/><Relationship Id="rId10" Type="http://schemas.openxmlformats.org/officeDocument/2006/relationships/hyperlink" Target="http://www.eizg.hr/hr-HR/dr-sc-Jelena-Budak-59.aspx" TargetMode="External"/><Relationship Id="rId19" Type="http://schemas.openxmlformats.org/officeDocument/2006/relationships/hyperlink" Target="http://en.ofdt.fr/BDD/publications/docs/nr2012si2.pdf" TargetMode="External"/><Relationship Id="rId4" Type="http://schemas.openxmlformats.org/officeDocument/2006/relationships/settings" Target="settings.xml"/><Relationship Id="rId9" Type="http://schemas.openxmlformats.org/officeDocument/2006/relationships/hyperlink" Target="http://www.eizg.hr/hr-HR/dr-sc-Sandra-Svaljek-49.aspx" TargetMode="External"/><Relationship Id="rId14" Type="http://schemas.openxmlformats.org/officeDocument/2006/relationships/hyperlink" Target="http://apps.who.int/gho/data/node.main-euro.A1233?lang=en&amp;showonly=RSUD" TargetMode="External"/><Relationship Id="rId22" Type="http://schemas.openxmlformats.org/officeDocument/2006/relationships/hyperlink" Target="http://www.ncbi.nlm.nih.gov/pubmed/?term=Silva%20SN%5BAuthor%5D&amp;cauthor=true&amp;cauthor_uid=25265899"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EF74-BC13-4714-8D78-F579BE46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12265</Words>
  <Characters>65006</Characters>
  <Application>Microsoft Office Word</Application>
  <DocSecurity>0</DocSecurity>
  <Lines>541</Lines>
  <Paragraphs>154</Paragraphs>
  <ScaleCrop>false</ScaleCrop>
  <HeadingPairs>
    <vt:vector size="8" baseType="variant">
      <vt:variant>
        <vt:lpstr>Tittel</vt:lpstr>
      </vt:variant>
      <vt:variant>
        <vt:i4>1</vt:i4>
      </vt:variant>
      <vt:variant>
        <vt:lpstr>Title</vt:lpstr>
      </vt:variant>
      <vt:variant>
        <vt:i4>1</vt:i4>
      </vt:variant>
      <vt:variant>
        <vt:lpstr>Título</vt:lpstr>
      </vt:variant>
      <vt:variant>
        <vt:i4>1</vt:i4>
      </vt:variant>
      <vt:variant>
        <vt:lpstr>Naslov</vt:lpstr>
      </vt:variant>
      <vt:variant>
        <vt:i4>1</vt:i4>
      </vt:variant>
    </vt:vector>
  </HeadingPairs>
  <TitlesOfParts>
    <vt:vector size="4" baseType="lpstr">
      <vt:lpstr/>
      <vt:lpstr/>
      <vt:lpstr/>
      <vt:lpstr/>
    </vt:vector>
  </TitlesOfParts>
  <Company>Hewlett-Packard Company</Company>
  <LinksUpToDate>false</LinksUpToDate>
  <CharactersWithSpaces>77117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Bretteville-Jensen, Anne Line</cp:lastModifiedBy>
  <cp:revision>7</cp:revision>
  <cp:lastPrinted>2016-10-13T06:31:00Z</cp:lastPrinted>
  <dcterms:created xsi:type="dcterms:W3CDTF">2016-12-06T09:24:00Z</dcterms:created>
  <dcterms:modified xsi:type="dcterms:W3CDTF">2016-12-06T20:34:00Z</dcterms:modified>
</cp:coreProperties>
</file>