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7EB1" w14:textId="77777777" w:rsidR="009C27E9" w:rsidRDefault="009C27E9" w:rsidP="009C27E9">
      <w:pPr>
        <w:jc w:val="right"/>
        <w:rPr>
          <w:sz w:val="22"/>
          <w:lang w:val="en-GB"/>
        </w:rPr>
      </w:pPr>
      <w:r w:rsidRPr="009C27E9">
        <w:rPr>
          <w:sz w:val="22"/>
          <w:lang w:val="en-GB"/>
        </w:rPr>
        <w:t>GSC INTERNAL DOCUMENT</w:t>
      </w:r>
    </w:p>
    <w:p w14:paraId="3346F6B6" w14:textId="1DEE0A28" w:rsidR="00045117" w:rsidRPr="009C27E9" w:rsidRDefault="00A30364" w:rsidP="00A30364">
      <w:pPr>
        <w:jc w:val="right"/>
        <w:rPr>
          <w:sz w:val="22"/>
          <w:lang w:val="en-GB"/>
        </w:rPr>
      </w:pPr>
      <w:r>
        <w:rPr>
          <w:sz w:val="22"/>
          <w:lang w:val="en-GB"/>
        </w:rPr>
        <w:t>4</w:t>
      </w:r>
      <w:r w:rsidR="00045117">
        <w:rPr>
          <w:sz w:val="22"/>
          <w:lang w:val="en-GB"/>
        </w:rPr>
        <w:t>/0</w:t>
      </w:r>
      <w:r>
        <w:rPr>
          <w:sz w:val="22"/>
          <w:lang w:val="en-GB"/>
        </w:rPr>
        <w:t>9</w:t>
      </w:r>
      <w:r w:rsidR="00045117">
        <w:rPr>
          <w:sz w:val="22"/>
          <w:lang w:val="en-GB"/>
        </w:rPr>
        <w:t>/2018</w:t>
      </w:r>
    </w:p>
    <w:p w14:paraId="4473769D" w14:textId="77777777" w:rsidR="009C27E9" w:rsidRDefault="009C27E9" w:rsidP="008D5E8E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1C9A3E5A" w14:textId="77777777" w:rsidR="00CA68D3" w:rsidRDefault="00C522A8" w:rsidP="00045117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C522A8">
        <w:rPr>
          <w:b/>
          <w:bCs/>
          <w:sz w:val="28"/>
          <w:szCs w:val="28"/>
          <w:u w:val="single"/>
          <w:lang w:val="en-GB"/>
        </w:rPr>
        <w:t xml:space="preserve">CURRENT </w:t>
      </w:r>
      <w:r w:rsidR="00045117">
        <w:rPr>
          <w:b/>
          <w:bCs/>
          <w:sz w:val="28"/>
          <w:szCs w:val="28"/>
          <w:u w:val="single"/>
          <w:lang w:val="en-GB"/>
        </w:rPr>
        <w:t xml:space="preserve">PRACTICE ON </w:t>
      </w:r>
      <w:r w:rsidR="008D5E8E">
        <w:rPr>
          <w:b/>
          <w:bCs/>
          <w:sz w:val="28"/>
          <w:szCs w:val="28"/>
          <w:u w:val="single"/>
          <w:lang w:val="en-GB"/>
        </w:rPr>
        <w:t>ACCESS TO DOCUMENTS</w:t>
      </w:r>
      <w:r w:rsidRPr="00C522A8">
        <w:rPr>
          <w:b/>
          <w:bCs/>
          <w:sz w:val="28"/>
          <w:szCs w:val="28"/>
          <w:u w:val="single"/>
          <w:lang w:val="en-GB"/>
        </w:rPr>
        <w:t xml:space="preserve"> AT THE GSC</w:t>
      </w:r>
    </w:p>
    <w:p w14:paraId="6456C9F3" w14:textId="77777777" w:rsidR="00C522A8" w:rsidRDefault="00C522A8" w:rsidP="00C522A8">
      <w:pPr>
        <w:rPr>
          <w:szCs w:val="24"/>
          <w:lang w:val="en-GB"/>
        </w:rPr>
      </w:pPr>
    </w:p>
    <w:p w14:paraId="708E6583" w14:textId="77777777" w:rsidR="00C06DBD" w:rsidRPr="000460F2" w:rsidRDefault="00C06DBD" w:rsidP="000460F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  <w:u w:val="single"/>
          <w:lang w:val="en-GB"/>
        </w:rPr>
      </w:pPr>
      <w:r w:rsidRPr="000460F2">
        <w:rPr>
          <w:rFonts w:asciiTheme="majorBidi" w:hAnsiTheme="majorBidi" w:cstheme="majorBidi"/>
          <w:b/>
          <w:bCs/>
          <w:szCs w:val="24"/>
          <w:u w:val="single"/>
          <w:lang w:val="en-GB"/>
        </w:rPr>
        <w:t>Principles</w:t>
      </w:r>
    </w:p>
    <w:p w14:paraId="21D9448F" w14:textId="77777777" w:rsidR="00C06DBD" w:rsidRDefault="00C06DBD" w:rsidP="00C522A8">
      <w:pPr>
        <w:rPr>
          <w:rFonts w:asciiTheme="majorBidi" w:hAnsiTheme="majorBidi" w:cstheme="majorBidi"/>
          <w:szCs w:val="24"/>
          <w:lang w:val="en-GB"/>
        </w:rPr>
      </w:pPr>
    </w:p>
    <w:p w14:paraId="2727E011" w14:textId="77777777" w:rsidR="00C522A8" w:rsidRPr="008D5E8E" w:rsidRDefault="00C522A8" w:rsidP="0067693E">
      <w:pPr>
        <w:rPr>
          <w:rFonts w:asciiTheme="majorBidi" w:hAnsiTheme="majorBidi" w:cstheme="majorBidi"/>
          <w:szCs w:val="24"/>
          <w:lang w:val="en-GB"/>
        </w:rPr>
      </w:pPr>
      <w:r w:rsidRPr="008D5E8E">
        <w:rPr>
          <w:rFonts w:asciiTheme="majorBidi" w:hAnsiTheme="majorBidi" w:cstheme="majorBidi"/>
          <w:szCs w:val="24"/>
          <w:lang w:val="en-GB"/>
        </w:rPr>
        <w:t>The implementation of the general principles on public access to documents</w:t>
      </w:r>
      <w:r w:rsidR="00106368">
        <w:rPr>
          <w:rFonts w:asciiTheme="majorBidi" w:hAnsiTheme="majorBidi" w:cstheme="majorBidi"/>
          <w:szCs w:val="24"/>
          <w:lang w:val="en-GB"/>
        </w:rPr>
        <w:t>,</w:t>
      </w:r>
      <w:r w:rsidRPr="008D5E8E">
        <w:rPr>
          <w:rFonts w:asciiTheme="majorBidi" w:hAnsiTheme="majorBidi" w:cstheme="majorBidi"/>
          <w:szCs w:val="24"/>
          <w:lang w:val="en-GB"/>
        </w:rPr>
        <w:t xml:space="preserve"> enshrined in Regulation 1019/2001, </w:t>
      </w:r>
      <w:r w:rsidR="00A455F1">
        <w:rPr>
          <w:rFonts w:asciiTheme="majorBidi" w:hAnsiTheme="majorBidi" w:cstheme="majorBidi"/>
          <w:szCs w:val="24"/>
          <w:lang w:val="en-GB"/>
        </w:rPr>
        <w:t>is</w:t>
      </w:r>
      <w:r w:rsidRPr="008D5E8E">
        <w:rPr>
          <w:rFonts w:asciiTheme="majorBidi" w:hAnsiTheme="majorBidi" w:cstheme="majorBidi"/>
          <w:szCs w:val="24"/>
          <w:lang w:val="en-GB"/>
        </w:rPr>
        <w:t xml:space="preserve"> contained in Article 10 and Annex II of the Council's Rules of Procedure.</w:t>
      </w:r>
      <w:r w:rsidRPr="008D5E8E">
        <w:rPr>
          <w:rStyle w:val="FootnoteReference"/>
          <w:rFonts w:asciiTheme="majorBidi" w:hAnsiTheme="majorBidi" w:cstheme="majorBidi"/>
          <w:szCs w:val="24"/>
          <w:lang w:val="en-GB"/>
        </w:rPr>
        <w:footnoteReference w:id="1"/>
      </w:r>
      <w:r w:rsidRPr="008D5E8E">
        <w:rPr>
          <w:rFonts w:asciiTheme="majorBidi" w:hAnsiTheme="majorBidi" w:cstheme="majorBidi"/>
          <w:szCs w:val="24"/>
          <w:lang w:val="en-GB"/>
        </w:rPr>
        <w:t xml:space="preserve"> </w:t>
      </w:r>
    </w:p>
    <w:p w14:paraId="3FCBB5E8" w14:textId="77777777" w:rsidR="00C522A8" w:rsidRPr="008D5E8E" w:rsidRDefault="00C522A8" w:rsidP="00C522A8">
      <w:pPr>
        <w:rPr>
          <w:rFonts w:asciiTheme="majorBidi" w:hAnsiTheme="majorBidi" w:cstheme="majorBidi"/>
          <w:szCs w:val="24"/>
          <w:lang w:val="en-GB"/>
        </w:rPr>
      </w:pPr>
    </w:p>
    <w:p w14:paraId="050E54EF" w14:textId="0CCE9919" w:rsidR="00EF4DCC" w:rsidRDefault="00EF4DCC" w:rsidP="00EC7584">
      <w:pPr>
        <w:rPr>
          <w:rFonts w:asciiTheme="majorBidi" w:hAnsiTheme="majorBidi" w:cstheme="majorBidi"/>
          <w:szCs w:val="24"/>
          <w:lang w:val="en-GB"/>
        </w:rPr>
      </w:pPr>
      <w:r w:rsidRPr="008D5E8E">
        <w:rPr>
          <w:rFonts w:asciiTheme="majorBidi" w:hAnsiTheme="majorBidi" w:cstheme="majorBidi"/>
          <w:szCs w:val="24"/>
          <w:lang w:val="en-GB"/>
        </w:rPr>
        <w:t>These principles include the establishment of a public register of documents which currently includes approx</w:t>
      </w:r>
      <w:r w:rsidR="00BB1526">
        <w:rPr>
          <w:rFonts w:asciiTheme="majorBidi" w:hAnsiTheme="majorBidi" w:cstheme="majorBidi"/>
          <w:szCs w:val="24"/>
          <w:lang w:val="en-GB"/>
        </w:rPr>
        <w:t>imately</w:t>
      </w:r>
      <w:r w:rsidRPr="008D5E8E">
        <w:rPr>
          <w:rFonts w:asciiTheme="majorBidi" w:hAnsiTheme="majorBidi" w:cstheme="majorBidi"/>
          <w:szCs w:val="24"/>
          <w:lang w:val="en-GB"/>
        </w:rPr>
        <w:t>. 380.00</w:t>
      </w:r>
      <w:r w:rsidR="00EC7584">
        <w:rPr>
          <w:rFonts w:asciiTheme="majorBidi" w:hAnsiTheme="majorBidi" w:cstheme="majorBidi"/>
          <w:szCs w:val="24"/>
          <w:lang w:val="en-GB"/>
        </w:rPr>
        <w:t>0</w:t>
      </w:r>
      <w:r w:rsidRPr="008D5E8E">
        <w:rPr>
          <w:rFonts w:asciiTheme="majorBidi" w:hAnsiTheme="majorBidi" w:cstheme="majorBidi"/>
          <w:szCs w:val="24"/>
          <w:lang w:val="en-GB"/>
        </w:rPr>
        <w:t xml:space="preserve"> documents</w:t>
      </w:r>
      <w:r w:rsidR="00EC7584">
        <w:rPr>
          <w:rFonts w:asciiTheme="majorBidi" w:hAnsiTheme="majorBidi" w:cstheme="majorBidi"/>
          <w:szCs w:val="24"/>
          <w:lang w:val="en-GB"/>
        </w:rPr>
        <w:t xml:space="preserve"> (excluding linguistic versions of the same document)</w:t>
      </w:r>
      <w:r w:rsidRPr="008D5E8E">
        <w:rPr>
          <w:rFonts w:asciiTheme="majorBidi" w:hAnsiTheme="majorBidi" w:cstheme="majorBidi"/>
          <w:szCs w:val="24"/>
          <w:lang w:val="en-GB"/>
        </w:rPr>
        <w:t xml:space="preserve"> of which 70% are public.</w:t>
      </w:r>
    </w:p>
    <w:p w14:paraId="11DD0B86" w14:textId="77777777" w:rsidR="008D5E8E" w:rsidRDefault="008D5E8E" w:rsidP="008D5E8E">
      <w:pPr>
        <w:rPr>
          <w:szCs w:val="24"/>
          <w:lang w:val="en-GB"/>
        </w:rPr>
      </w:pPr>
    </w:p>
    <w:p w14:paraId="680FDE15" w14:textId="7B216ACF" w:rsidR="008D5E8E" w:rsidRPr="00EB35CF" w:rsidRDefault="008D5E8E" w:rsidP="00AC2BAA">
      <w:pPr>
        <w:rPr>
          <w:szCs w:val="24"/>
          <w:u w:val="single"/>
          <w:lang w:val="en-GB"/>
        </w:rPr>
      </w:pPr>
      <w:r>
        <w:rPr>
          <w:szCs w:val="24"/>
          <w:lang w:val="en-GB"/>
        </w:rPr>
        <w:t xml:space="preserve">Article 11 of this Annex lists the type of documents which are to be </w:t>
      </w:r>
      <w:r w:rsidRPr="00EB35CF">
        <w:rPr>
          <w:szCs w:val="24"/>
          <w:u w:val="single"/>
          <w:lang w:val="en-GB"/>
        </w:rPr>
        <w:t>directly accessible to the public upon circulation</w:t>
      </w:r>
      <w:r>
        <w:rPr>
          <w:szCs w:val="24"/>
          <w:u w:val="single"/>
          <w:lang w:val="en-GB"/>
        </w:rPr>
        <w:t xml:space="preserve"> </w:t>
      </w:r>
      <w:r w:rsidRPr="00EB35CF">
        <w:rPr>
          <w:szCs w:val="24"/>
          <w:lang w:val="en-GB"/>
        </w:rPr>
        <w:t>(e.g</w:t>
      </w:r>
      <w:r w:rsidRPr="00A455F1">
        <w:rPr>
          <w:szCs w:val="24"/>
          <w:lang w:val="en-GB"/>
        </w:rPr>
        <w:t xml:space="preserve">. </w:t>
      </w:r>
      <w:r w:rsidRPr="00A455F1">
        <w:rPr>
          <w:szCs w:val="24"/>
        </w:rPr>
        <w:t>p</w:t>
      </w:r>
      <w:r w:rsidRPr="00C522A8">
        <w:rPr>
          <w:szCs w:val="24"/>
        </w:rPr>
        <w:t>rovisional agenda</w:t>
      </w:r>
      <w:r>
        <w:rPr>
          <w:szCs w:val="24"/>
        </w:rPr>
        <w:t>s</w:t>
      </w:r>
      <w:r w:rsidRPr="00C522A8">
        <w:rPr>
          <w:szCs w:val="24"/>
        </w:rPr>
        <w:t xml:space="preserve"> for meetings of the Council</w:t>
      </w:r>
      <w:r>
        <w:rPr>
          <w:szCs w:val="24"/>
        </w:rPr>
        <w:t xml:space="preserve">) </w:t>
      </w:r>
      <w:r w:rsidRPr="00C522A8">
        <w:rPr>
          <w:szCs w:val="24"/>
        </w:rPr>
        <w:t xml:space="preserve"> </w:t>
      </w:r>
      <w:r>
        <w:rPr>
          <w:szCs w:val="24"/>
          <w:u w:val="single"/>
          <w:lang w:val="en-GB"/>
        </w:rPr>
        <w:t>and those which should be directly accessible if clearly not covered by any of the exceptions laid down in Art.4 of Regulation 1049/2001</w:t>
      </w:r>
      <w:r w:rsidR="00EC7584">
        <w:rPr>
          <w:szCs w:val="24"/>
          <w:u w:val="single"/>
          <w:lang w:val="en-GB"/>
        </w:rPr>
        <w:t xml:space="preserve"> - see annex </w:t>
      </w:r>
      <w:r w:rsidR="00AC2BAA">
        <w:rPr>
          <w:szCs w:val="24"/>
          <w:u w:val="single"/>
          <w:lang w:val="en-GB"/>
        </w:rPr>
        <w:t>I</w:t>
      </w:r>
      <w:r>
        <w:rPr>
          <w:szCs w:val="24"/>
          <w:u w:val="single"/>
          <w:lang w:val="en-GB"/>
        </w:rPr>
        <w:t xml:space="preserve"> </w:t>
      </w:r>
      <w:r w:rsidRPr="00EF4DCC">
        <w:rPr>
          <w:szCs w:val="24"/>
          <w:lang w:val="en-GB"/>
        </w:rPr>
        <w:t>(e.g. provisional</w:t>
      </w:r>
      <w:r w:rsidRPr="00EB35CF">
        <w:rPr>
          <w:szCs w:val="24"/>
          <w:lang w:val="en-GB"/>
        </w:rPr>
        <w:t xml:space="preserve"> agenda of committees and working parties</w:t>
      </w:r>
      <w:r>
        <w:rPr>
          <w:szCs w:val="24"/>
          <w:lang w:val="en-GB"/>
        </w:rPr>
        <w:t xml:space="preserve">; </w:t>
      </w:r>
      <w:r w:rsidRPr="00EB35CF">
        <w:rPr>
          <w:szCs w:val="24"/>
          <w:lang w:val="en-GB"/>
        </w:rPr>
        <w:t>notes, reports, progress reports and reports on the state of discussions in the</w:t>
      </w:r>
      <w:r>
        <w:rPr>
          <w:szCs w:val="24"/>
          <w:lang w:val="en-GB"/>
        </w:rPr>
        <w:t xml:space="preserve"> </w:t>
      </w:r>
      <w:r w:rsidRPr="00EB35CF">
        <w:rPr>
          <w:szCs w:val="24"/>
          <w:lang w:val="en-GB"/>
        </w:rPr>
        <w:t>Council or one of its preparatory bodies</w:t>
      </w:r>
      <w:r>
        <w:rPr>
          <w:szCs w:val="24"/>
          <w:lang w:val="en-GB"/>
        </w:rPr>
        <w:t>)</w:t>
      </w:r>
      <w:r w:rsidR="00ED6C78">
        <w:rPr>
          <w:szCs w:val="24"/>
          <w:lang w:val="en-GB"/>
        </w:rPr>
        <w:t>.</w:t>
      </w:r>
    </w:p>
    <w:p w14:paraId="43C7B3A1" w14:textId="77777777" w:rsidR="00C522A8" w:rsidRDefault="00C522A8" w:rsidP="00C522A8">
      <w:pPr>
        <w:rPr>
          <w:szCs w:val="24"/>
          <w:lang w:val="en-GB"/>
        </w:rPr>
      </w:pPr>
    </w:p>
    <w:p w14:paraId="5F4305D2" w14:textId="77777777" w:rsidR="00F5526E" w:rsidRDefault="00F5526E" w:rsidP="00C06DBD">
      <w:pPr>
        <w:rPr>
          <w:szCs w:val="24"/>
          <w:lang w:val="en-GB"/>
        </w:rPr>
      </w:pPr>
      <w:r>
        <w:rPr>
          <w:szCs w:val="24"/>
          <w:lang w:val="en-GB"/>
        </w:rPr>
        <w:t xml:space="preserve">Documents which are not </w:t>
      </w:r>
      <w:r w:rsidR="00C06DBD">
        <w:rPr>
          <w:szCs w:val="24"/>
          <w:lang w:val="en-GB"/>
        </w:rPr>
        <w:t xml:space="preserve">directly </w:t>
      </w:r>
      <w:r>
        <w:rPr>
          <w:szCs w:val="24"/>
          <w:lang w:val="en-GB"/>
        </w:rPr>
        <w:t>public (those which are classified or LIMITE</w:t>
      </w:r>
      <w:r w:rsidR="006278AB">
        <w:rPr>
          <w:szCs w:val="24"/>
          <w:lang w:val="en-GB"/>
        </w:rPr>
        <w:t>, basically to protect one or more interests referred to in Art.4 of Reg.1049/2001</w:t>
      </w:r>
      <w:r>
        <w:rPr>
          <w:szCs w:val="24"/>
          <w:lang w:val="en-GB"/>
        </w:rPr>
        <w:t>) can become public:</w:t>
      </w:r>
    </w:p>
    <w:p w14:paraId="29433D6E" w14:textId="77777777" w:rsidR="00EB35CF" w:rsidRDefault="00F5526E" w:rsidP="00EB35CF">
      <w:pPr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</w:p>
    <w:p w14:paraId="13986D45" w14:textId="77777777" w:rsidR="00F5526E" w:rsidRPr="00045117" w:rsidRDefault="00F5526E" w:rsidP="00045117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045117">
        <w:rPr>
          <w:szCs w:val="24"/>
          <w:lang w:val="en-GB"/>
        </w:rPr>
        <w:t xml:space="preserve">if no longer covered by one of these exception and if related to a legislative act: automatically after adoption of that act (Art.11.6 of Annex II </w:t>
      </w:r>
      <w:proofErr w:type="spellStart"/>
      <w:r w:rsidRPr="00045117">
        <w:rPr>
          <w:szCs w:val="24"/>
          <w:lang w:val="en-GB"/>
        </w:rPr>
        <w:t>CR</w:t>
      </w:r>
      <w:r w:rsidR="00A455F1" w:rsidRPr="00045117">
        <w:rPr>
          <w:szCs w:val="24"/>
          <w:lang w:val="en-GB"/>
        </w:rPr>
        <w:t>o</w:t>
      </w:r>
      <w:r w:rsidRPr="00045117">
        <w:rPr>
          <w:szCs w:val="24"/>
          <w:lang w:val="en-GB"/>
        </w:rPr>
        <w:t>P</w:t>
      </w:r>
      <w:proofErr w:type="spellEnd"/>
      <w:r w:rsidRPr="00045117">
        <w:rPr>
          <w:szCs w:val="24"/>
          <w:lang w:val="en-GB"/>
        </w:rPr>
        <w:t>) or,</w:t>
      </w:r>
    </w:p>
    <w:p w14:paraId="59A4AE68" w14:textId="77777777" w:rsidR="00F5526E" w:rsidRDefault="00F5526E" w:rsidP="00F5526E">
      <w:pPr>
        <w:rPr>
          <w:szCs w:val="24"/>
          <w:lang w:val="en-GB"/>
        </w:rPr>
      </w:pPr>
    </w:p>
    <w:p w14:paraId="1DC3AA6B" w14:textId="77777777" w:rsidR="008D5E8E" w:rsidRPr="008E7881" w:rsidRDefault="00F5526E" w:rsidP="00045117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045117">
        <w:rPr>
          <w:szCs w:val="24"/>
          <w:lang w:val="en-GB"/>
        </w:rPr>
        <w:t>upon request of the public</w:t>
      </w:r>
      <w:r w:rsidR="00045117">
        <w:rPr>
          <w:szCs w:val="24"/>
          <w:lang w:val="en-GB"/>
        </w:rPr>
        <w:t xml:space="preserve">, </w:t>
      </w:r>
      <w:r w:rsidR="00045117" w:rsidRPr="008E7881">
        <w:rPr>
          <w:szCs w:val="24"/>
          <w:lang w:val="en-GB"/>
        </w:rPr>
        <w:t>providing none of the exceptions still apply</w:t>
      </w:r>
      <w:r w:rsidR="008D5E8E" w:rsidRPr="008E7881">
        <w:rPr>
          <w:szCs w:val="24"/>
          <w:lang w:val="en-GB"/>
        </w:rPr>
        <w:t>.</w:t>
      </w:r>
    </w:p>
    <w:p w14:paraId="766D8E27" w14:textId="77777777" w:rsidR="00C06DBD" w:rsidRDefault="00C06DBD" w:rsidP="008D5E8E">
      <w:pPr>
        <w:rPr>
          <w:szCs w:val="24"/>
          <w:lang w:val="en-GB"/>
        </w:rPr>
      </w:pPr>
    </w:p>
    <w:p w14:paraId="63F372B7" w14:textId="77777777" w:rsidR="00C06DBD" w:rsidRDefault="00C06DBD" w:rsidP="00045117">
      <w:pPr>
        <w:rPr>
          <w:szCs w:val="24"/>
          <w:lang w:val="en-GB"/>
        </w:rPr>
      </w:pPr>
      <w:r>
        <w:rPr>
          <w:szCs w:val="24"/>
          <w:lang w:val="en-GB"/>
        </w:rPr>
        <w:t xml:space="preserve">Classification </w:t>
      </w:r>
      <w:r w:rsidR="00A455F1">
        <w:rPr>
          <w:szCs w:val="24"/>
          <w:lang w:val="en-GB"/>
        </w:rPr>
        <w:t>of a document or</w:t>
      </w:r>
      <w:r>
        <w:rPr>
          <w:szCs w:val="24"/>
          <w:lang w:val="en-GB"/>
        </w:rPr>
        <w:t xml:space="preserve"> the marking LIMITE are decided on a case</w:t>
      </w:r>
      <w:r w:rsidR="00045117">
        <w:rPr>
          <w:szCs w:val="24"/>
          <w:lang w:val="en-GB"/>
        </w:rPr>
        <w:t>-</w:t>
      </w:r>
      <w:r>
        <w:rPr>
          <w:szCs w:val="24"/>
          <w:lang w:val="en-GB"/>
        </w:rPr>
        <w:t>by</w:t>
      </w:r>
      <w:r w:rsidR="00045117">
        <w:rPr>
          <w:szCs w:val="24"/>
          <w:lang w:val="en-GB"/>
        </w:rPr>
        <w:t>-</w:t>
      </w:r>
      <w:r>
        <w:rPr>
          <w:szCs w:val="24"/>
          <w:lang w:val="en-GB"/>
        </w:rPr>
        <w:t xml:space="preserve">case </w:t>
      </w:r>
      <w:r w:rsidR="006278AB">
        <w:rPr>
          <w:szCs w:val="24"/>
          <w:lang w:val="en-GB"/>
        </w:rPr>
        <w:t>approach based</w:t>
      </w:r>
      <w:r>
        <w:rPr>
          <w:szCs w:val="24"/>
          <w:lang w:val="en-GB"/>
        </w:rPr>
        <w:t xml:space="preserve"> on series of instructions </w:t>
      </w:r>
      <w:r w:rsidR="006278AB">
        <w:rPr>
          <w:szCs w:val="24"/>
          <w:lang w:val="en-GB"/>
        </w:rPr>
        <w:t xml:space="preserve">(see e.g. 11336/11, 5109/1/17 REV1 and 14352/16) </w:t>
      </w:r>
      <w:r w:rsidR="00A455F1">
        <w:rPr>
          <w:szCs w:val="24"/>
          <w:lang w:val="en-GB"/>
        </w:rPr>
        <w:t>leaving a wide margin of appreciation to policy DGs.</w:t>
      </w:r>
    </w:p>
    <w:p w14:paraId="0D84BCC3" w14:textId="77777777" w:rsidR="00A455F1" w:rsidRDefault="00A455F1" w:rsidP="006278AB">
      <w:pPr>
        <w:rPr>
          <w:szCs w:val="24"/>
          <w:lang w:val="en-GB"/>
        </w:rPr>
      </w:pPr>
    </w:p>
    <w:p w14:paraId="384A35FE" w14:textId="6FDE3913" w:rsidR="00A455F1" w:rsidRDefault="00A455F1" w:rsidP="00A455F1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Currently there are no provisions for a structural review of the LIMITE status of documents (except after adoption of a legislative act) which means that release of a document is mostly reactive and not proactive.  </w:t>
      </w:r>
    </w:p>
    <w:p w14:paraId="3B408EB4" w14:textId="77777777" w:rsidR="00AC2BAA" w:rsidRDefault="00AC2BAA" w:rsidP="00A455F1">
      <w:pPr>
        <w:rPr>
          <w:szCs w:val="24"/>
          <w:lang w:val="en-GB"/>
        </w:rPr>
      </w:pPr>
    </w:p>
    <w:p w14:paraId="1206311C" w14:textId="77777777" w:rsidR="00C06DBD" w:rsidRDefault="00376668" w:rsidP="000460F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  <w:u w:val="single"/>
        </w:rPr>
      </w:pPr>
      <w:r w:rsidRPr="000460F2">
        <w:rPr>
          <w:rFonts w:asciiTheme="majorBidi" w:hAnsiTheme="majorBidi" w:cstheme="majorBidi"/>
          <w:b/>
          <w:bCs/>
          <w:szCs w:val="24"/>
          <w:u w:val="single"/>
        </w:rPr>
        <w:t>Current</w:t>
      </w:r>
      <w:r w:rsidR="00C06DBD" w:rsidRPr="000460F2">
        <w:rPr>
          <w:rFonts w:asciiTheme="majorBidi" w:hAnsiTheme="majorBidi" w:cstheme="majorBidi"/>
          <w:b/>
          <w:bCs/>
          <w:szCs w:val="24"/>
          <w:u w:val="single"/>
        </w:rPr>
        <w:t xml:space="preserve"> practice</w:t>
      </w:r>
    </w:p>
    <w:p w14:paraId="1296BEDD" w14:textId="77777777" w:rsidR="0067693E" w:rsidRDefault="0067693E" w:rsidP="0067693E">
      <w:pPr>
        <w:rPr>
          <w:rFonts w:asciiTheme="majorBidi" w:hAnsiTheme="majorBidi" w:cstheme="majorBidi"/>
          <w:b/>
          <w:bCs/>
          <w:szCs w:val="24"/>
          <w:u w:val="single"/>
        </w:rPr>
      </w:pPr>
    </w:p>
    <w:p w14:paraId="3C24E6E6" w14:textId="795FEB99" w:rsidR="0067693E" w:rsidRPr="0067693E" w:rsidRDefault="0067693E" w:rsidP="00AC2BAA">
      <w:pPr>
        <w:rPr>
          <w:rFonts w:asciiTheme="majorBidi" w:hAnsiTheme="majorBidi" w:cstheme="majorBidi"/>
          <w:szCs w:val="24"/>
        </w:rPr>
      </w:pPr>
      <w:r w:rsidRPr="0067693E">
        <w:rPr>
          <w:rFonts w:asciiTheme="majorBidi" w:hAnsiTheme="majorBidi" w:cstheme="majorBidi"/>
          <w:szCs w:val="24"/>
        </w:rPr>
        <w:t xml:space="preserve">The different </w:t>
      </w:r>
      <w:r>
        <w:rPr>
          <w:rFonts w:asciiTheme="majorBidi" w:hAnsiTheme="majorBidi" w:cstheme="majorBidi"/>
          <w:szCs w:val="24"/>
        </w:rPr>
        <w:t xml:space="preserve">procedural </w:t>
      </w:r>
      <w:r w:rsidRPr="0067693E">
        <w:rPr>
          <w:rFonts w:asciiTheme="majorBidi" w:hAnsiTheme="majorBidi" w:cstheme="majorBidi"/>
          <w:szCs w:val="24"/>
        </w:rPr>
        <w:t>steps in the handling of requests for access to docume</w:t>
      </w:r>
      <w:r>
        <w:rPr>
          <w:rFonts w:asciiTheme="majorBidi" w:hAnsiTheme="majorBidi" w:cstheme="majorBidi"/>
          <w:szCs w:val="24"/>
        </w:rPr>
        <w:t>n</w:t>
      </w:r>
      <w:r w:rsidRPr="0067693E">
        <w:rPr>
          <w:rFonts w:asciiTheme="majorBidi" w:hAnsiTheme="majorBidi" w:cstheme="majorBidi"/>
          <w:szCs w:val="24"/>
        </w:rPr>
        <w:t xml:space="preserve">t and confirmatory applications are set out in </w:t>
      </w:r>
      <w:r w:rsidR="00AC2BAA">
        <w:rPr>
          <w:rFonts w:asciiTheme="majorBidi" w:hAnsiTheme="majorBidi" w:cstheme="majorBidi"/>
          <w:szCs w:val="24"/>
        </w:rPr>
        <w:t>a</w:t>
      </w:r>
      <w:r w:rsidRPr="0067693E">
        <w:rPr>
          <w:rFonts w:asciiTheme="majorBidi" w:hAnsiTheme="majorBidi" w:cstheme="majorBidi"/>
          <w:szCs w:val="24"/>
        </w:rPr>
        <w:t xml:space="preserve">nnex </w:t>
      </w:r>
      <w:r w:rsidR="00AC2BAA">
        <w:rPr>
          <w:rFonts w:asciiTheme="majorBidi" w:hAnsiTheme="majorBidi" w:cstheme="majorBidi"/>
          <w:szCs w:val="24"/>
        </w:rPr>
        <w:t>I</w:t>
      </w:r>
      <w:r w:rsidRPr="0067693E">
        <w:rPr>
          <w:rFonts w:asciiTheme="majorBidi" w:hAnsiTheme="majorBidi" w:cstheme="majorBidi"/>
          <w:szCs w:val="24"/>
        </w:rPr>
        <w:t>I.</w:t>
      </w:r>
    </w:p>
    <w:p w14:paraId="6EBACB63" w14:textId="77777777" w:rsidR="00C06DBD" w:rsidRDefault="00C06DBD" w:rsidP="00C06DBD">
      <w:pPr>
        <w:rPr>
          <w:rFonts w:asciiTheme="majorBidi" w:hAnsiTheme="majorBidi" w:cstheme="majorBidi"/>
          <w:szCs w:val="24"/>
        </w:rPr>
      </w:pPr>
    </w:p>
    <w:p w14:paraId="0F1979E6" w14:textId="77777777" w:rsidR="00680D84" w:rsidRPr="00680D84" w:rsidRDefault="00680D84" w:rsidP="00680D84">
      <w:pPr>
        <w:rPr>
          <w:rFonts w:asciiTheme="majorBidi" w:hAnsiTheme="majorBidi" w:cstheme="majorBidi"/>
          <w:b/>
          <w:bCs/>
          <w:szCs w:val="24"/>
          <w:u w:val="single"/>
        </w:rPr>
      </w:pPr>
      <w:r w:rsidRPr="00680D84">
        <w:rPr>
          <w:rFonts w:asciiTheme="majorBidi" w:hAnsiTheme="majorBidi" w:cstheme="majorBidi"/>
          <w:b/>
          <w:bCs/>
          <w:szCs w:val="24"/>
          <w:u w:val="single"/>
        </w:rPr>
        <w:t>Issuing of legislative documents</w:t>
      </w:r>
    </w:p>
    <w:p w14:paraId="5F661371" w14:textId="77777777" w:rsidR="00680D84" w:rsidRDefault="00680D84" w:rsidP="0067693E">
      <w:pPr>
        <w:rPr>
          <w:rFonts w:asciiTheme="majorBidi" w:hAnsiTheme="majorBidi" w:cstheme="majorBidi"/>
          <w:szCs w:val="24"/>
        </w:rPr>
      </w:pPr>
    </w:p>
    <w:p w14:paraId="6A04BA4D" w14:textId="36BA6A83" w:rsidR="00C06DBD" w:rsidRDefault="00C06DBD" w:rsidP="00BB1526">
      <w:pPr>
        <w:rPr>
          <w:szCs w:val="24"/>
          <w:lang w:val="en-GB"/>
        </w:rPr>
      </w:pPr>
      <w:r>
        <w:rPr>
          <w:rFonts w:asciiTheme="majorBidi" w:hAnsiTheme="majorBidi" w:cstheme="majorBidi"/>
          <w:szCs w:val="24"/>
        </w:rPr>
        <w:t>Last year</w:t>
      </w:r>
      <w:r w:rsidR="008D5E8E">
        <w:rPr>
          <w:rFonts w:asciiTheme="majorBidi" w:hAnsiTheme="majorBidi" w:cstheme="majorBidi"/>
          <w:szCs w:val="24"/>
        </w:rPr>
        <w:t xml:space="preserve">, the Council </w:t>
      </w:r>
      <w:r w:rsidR="008D5E8E" w:rsidRPr="008D5E8E">
        <w:rPr>
          <w:rFonts w:asciiTheme="majorBidi" w:hAnsiTheme="majorBidi" w:cstheme="majorBidi"/>
          <w:szCs w:val="24"/>
        </w:rPr>
        <w:t>issued 6</w:t>
      </w:r>
      <w:r w:rsidR="00BB1526">
        <w:rPr>
          <w:rFonts w:asciiTheme="majorBidi" w:hAnsiTheme="majorBidi" w:cstheme="majorBidi"/>
          <w:szCs w:val="24"/>
        </w:rPr>
        <w:t xml:space="preserve"> </w:t>
      </w:r>
      <w:r w:rsidR="008D5E8E" w:rsidRPr="008D5E8E">
        <w:rPr>
          <w:rFonts w:asciiTheme="majorBidi" w:hAnsiTheme="majorBidi" w:cstheme="majorBidi"/>
          <w:szCs w:val="24"/>
        </w:rPr>
        <w:t>104 legislative documents</w:t>
      </w:r>
      <w:r w:rsidR="008D5E8E" w:rsidRPr="008D5E8E">
        <w:rPr>
          <w:rFonts w:asciiTheme="majorBidi" w:hAnsiTheme="majorBidi" w:cstheme="majorBidi"/>
          <w:b/>
          <w:bCs/>
          <w:szCs w:val="24"/>
        </w:rPr>
        <w:t xml:space="preserve"> </w:t>
      </w:r>
      <w:r w:rsidR="008D5E8E" w:rsidRPr="008D5E8E">
        <w:rPr>
          <w:rFonts w:asciiTheme="majorBidi" w:hAnsiTheme="majorBidi" w:cstheme="majorBidi"/>
          <w:szCs w:val="24"/>
        </w:rPr>
        <w:t>of which 1</w:t>
      </w:r>
      <w:r w:rsidR="00BB1526">
        <w:rPr>
          <w:rFonts w:asciiTheme="majorBidi" w:hAnsiTheme="majorBidi" w:cstheme="majorBidi"/>
          <w:szCs w:val="24"/>
        </w:rPr>
        <w:t xml:space="preserve"> </w:t>
      </w:r>
      <w:r w:rsidR="008D5E8E" w:rsidRPr="008D5E8E">
        <w:rPr>
          <w:rFonts w:asciiTheme="majorBidi" w:hAnsiTheme="majorBidi" w:cstheme="majorBidi"/>
          <w:szCs w:val="24"/>
        </w:rPr>
        <w:t>933 were issued as 'public' upon circulation. Of the remaining 4</w:t>
      </w:r>
      <w:r w:rsidR="00BB1526">
        <w:rPr>
          <w:rFonts w:asciiTheme="majorBidi" w:hAnsiTheme="majorBidi" w:cstheme="majorBidi"/>
          <w:szCs w:val="24"/>
        </w:rPr>
        <w:t xml:space="preserve"> </w:t>
      </w:r>
      <w:r w:rsidR="008D5E8E" w:rsidRPr="008D5E8E">
        <w:rPr>
          <w:rFonts w:asciiTheme="majorBidi" w:hAnsiTheme="majorBidi" w:cstheme="majorBidi"/>
          <w:szCs w:val="24"/>
        </w:rPr>
        <w:t>171 legislative documents issued as LIMITE (with a reference in the register but not directly accessible),</w:t>
      </w:r>
      <w:r>
        <w:rPr>
          <w:rFonts w:asciiTheme="majorBidi" w:hAnsiTheme="majorBidi" w:cstheme="majorBidi"/>
          <w:szCs w:val="24"/>
        </w:rPr>
        <w:t xml:space="preserve"> </w:t>
      </w:r>
      <w:r w:rsidR="00045117">
        <w:rPr>
          <w:sz w:val="23"/>
          <w:szCs w:val="23"/>
        </w:rPr>
        <w:t>2</w:t>
      </w:r>
      <w:r w:rsidR="00BB15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406 documents were made public upon request. </w:t>
      </w:r>
    </w:p>
    <w:p w14:paraId="526C1D86" w14:textId="77777777" w:rsidR="00862031" w:rsidRDefault="00862031" w:rsidP="00045117">
      <w:pPr>
        <w:rPr>
          <w:szCs w:val="24"/>
          <w:lang w:val="en-GB"/>
        </w:rPr>
      </w:pPr>
      <w:r w:rsidRPr="00C469CD">
        <w:rPr>
          <w:rFonts w:asciiTheme="minorBidi" w:hAnsiTheme="minorBid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F1A3F3" wp14:editId="452B4EC2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5615305" cy="2635250"/>
            <wp:effectExtent l="0" t="0" r="4445" b="12700"/>
            <wp:wrapSquare wrapText="bothSides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18B579B2" w14:textId="77777777" w:rsidR="00862031" w:rsidRDefault="00862031" w:rsidP="00045117">
      <w:pPr>
        <w:rPr>
          <w:szCs w:val="24"/>
          <w:lang w:val="en-GB"/>
        </w:rPr>
      </w:pPr>
    </w:p>
    <w:p w14:paraId="050A573E" w14:textId="77777777" w:rsidR="0067693E" w:rsidRDefault="0067693E" w:rsidP="00045117">
      <w:pPr>
        <w:rPr>
          <w:szCs w:val="24"/>
          <w:lang w:val="en-GB"/>
        </w:rPr>
      </w:pPr>
    </w:p>
    <w:p w14:paraId="78C19420" w14:textId="77777777" w:rsidR="0067693E" w:rsidRDefault="0067693E" w:rsidP="00045117">
      <w:pPr>
        <w:rPr>
          <w:szCs w:val="24"/>
          <w:lang w:val="en-GB"/>
        </w:rPr>
      </w:pPr>
    </w:p>
    <w:p w14:paraId="355C8F14" w14:textId="77777777" w:rsidR="0067693E" w:rsidRDefault="0067693E" w:rsidP="00045117">
      <w:pPr>
        <w:rPr>
          <w:szCs w:val="24"/>
          <w:lang w:val="en-GB"/>
        </w:rPr>
      </w:pPr>
    </w:p>
    <w:p w14:paraId="3AE9CB0E" w14:textId="77777777" w:rsidR="0067693E" w:rsidRDefault="0067693E" w:rsidP="00045117">
      <w:pPr>
        <w:rPr>
          <w:szCs w:val="24"/>
          <w:lang w:val="en-GB"/>
        </w:rPr>
      </w:pPr>
    </w:p>
    <w:p w14:paraId="361FBB4B" w14:textId="77777777" w:rsidR="0067693E" w:rsidRDefault="0067693E" w:rsidP="00045117">
      <w:pPr>
        <w:rPr>
          <w:szCs w:val="24"/>
          <w:lang w:val="en-GB"/>
        </w:rPr>
      </w:pPr>
    </w:p>
    <w:p w14:paraId="7A60F29A" w14:textId="77777777" w:rsidR="0067693E" w:rsidRDefault="0067693E" w:rsidP="00045117">
      <w:pPr>
        <w:rPr>
          <w:szCs w:val="24"/>
          <w:lang w:val="en-GB"/>
        </w:rPr>
      </w:pPr>
    </w:p>
    <w:p w14:paraId="7447ED49" w14:textId="77777777" w:rsidR="0067693E" w:rsidRDefault="0067693E" w:rsidP="00045117">
      <w:pPr>
        <w:rPr>
          <w:szCs w:val="24"/>
          <w:lang w:val="en-GB"/>
        </w:rPr>
      </w:pPr>
    </w:p>
    <w:p w14:paraId="066706BB" w14:textId="77777777" w:rsidR="0067693E" w:rsidRDefault="0067693E" w:rsidP="00045117">
      <w:pPr>
        <w:rPr>
          <w:szCs w:val="24"/>
          <w:lang w:val="en-GB"/>
        </w:rPr>
      </w:pPr>
    </w:p>
    <w:p w14:paraId="3979D521" w14:textId="77777777" w:rsidR="0067693E" w:rsidRDefault="0067693E" w:rsidP="00045117">
      <w:pPr>
        <w:rPr>
          <w:szCs w:val="24"/>
          <w:lang w:val="en-GB"/>
        </w:rPr>
      </w:pPr>
    </w:p>
    <w:p w14:paraId="11F21860" w14:textId="77777777" w:rsidR="0067693E" w:rsidRDefault="0067693E" w:rsidP="00045117">
      <w:pPr>
        <w:rPr>
          <w:szCs w:val="24"/>
          <w:lang w:val="en-GB"/>
        </w:rPr>
      </w:pPr>
    </w:p>
    <w:p w14:paraId="0F9DD5FF" w14:textId="77777777" w:rsidR="00680D84" w:rsidRDefault="00680D84" w:rsidP="00680D84">
      <w:pPr>
        <w:rPr>
          <w:b/>
          <w:bCs/>
          <w:szCs w:val="24"/>
          <w:u w:val="single"/>
          <w:lang w:val="en-GB"/>
        </w:rPr>
      </w:pPr>
      <w:r w:rsidRPr="00680D84">
        <w:rPr>
          <w:b/>
          <w:bCs/>
          <w:szCs w:val="24"/>
          <w:u w:val="single"/>
          <w:lang w:val="en-GB"/>
        </w:rPr>
        <w:t>Request</w:t>
      </w:r>
      <w:r>
        <w:rPr>
          <w:b/>
          <w:bCs/>
          <w:szCs w:val="24"/>
          <w:u w:val="single"/>
          <w:lang w:val="en-GB"/>
        </w:rPr>
        <w:t>s</w:t>
      </w:r>
      <w:r w:rsidRPr="00680D84">
        <w:rPr>
          <w:b/>
          <w:bCs/>
          <w:szCs w:val="24"/>
          <w:u w:val="single"/>
          <w:lang w:val="en-GB"/>
        </w:rPr>
        <w:t xml:space="preserve"> for access to documents</w:t>
      </w:r>
    </w:p>
    <w:p w14:paraId="3527572D" w14:textId="77777777" w:rsidR="00680D84" w:rsidRDefault="00680D84" w:rsidP="00680D84">
      <w:pPr>
        <w:rPr>
          <w:szCs w:val="24"/>
          <w:lang w:val="en-GB"/>
        </w:rPr>
      </w:pPr>
    </w:p>
    <w:p w14:paraId="41483463" w14:textId="59C8034E" w:rsidR="00C06DBD" w:rsidRDefault="00F5526E" w:rsidP="00BB1526">
      <w:pPr>
        <w:rPr>
          <w:szCs w:val="24"/>
          <w:lang w:val="en-GB"/>
        </w:rPr>
      </w:pPr>
      <w:r w:rsidRPr="00F5526E">
        <w:rPr>
          <w:szCs w:val="24"/>
          <w:lang w:val="en-GB"/>
        </w:rPr>
        <w:t xml:space="preserve">In </w:t>
      </w:r>
      <w:r w:rsidR="0067693E">
        <w:rPr>
          <w:szCs w:val="24"/>
          <w:lang w:val="en-GB"/>
        </w:rPr>
        <w:t>2017</w:t>
      </w:r>
      <w:r w:rsidRPr="00F5526E">
        <w:rPr>
          <w:szCs w:val="24"/>
          <w:lang w:val="en-GB"/>
        </w:rPr>
        <w:t>, the Council received 2</w:t>
      </w:r>
      <w:r w:rsidR="00BB1526">
        <w:rPr>
          <w:szCs w:val="24"/>
          <w:lang w:val="en-GB"/>
        </w:rPr>
        <w:t xml:space="preserve"> </w:t>
      </w:r>
      <w:r w:rsidRPr="00F5526E">
        <w:rPr>
          <w:szCs w:val="24"/>
          <w:lang w:val="en-GB"/>
        </w:rPr>
        <w:t>597 initial requests for access to documents requiring the analysis of 8</w:t>
      </w:r>
      <w:r w:rsidR="00BB1526">
        <w:rPr>
          <w:szCs w:val="24"/>
          <w:lang w:val="en-GB"/>
        </w:rPr>
        <w:t xml:space="preserve"> </w:t>
      </w:r>
      <w:r w:rsidRPr="00F5526E">
        <w:rPr>
          <w:szCs w:val="24"/>
          <w:lang w:val="en-GB"/>
        </w:rPr>
        <w:t>000 documents. At the initial stage, full access was granted to 5</w:t>
      </w:r>
      <w:r w:rsidR="00BB1526">
        <w:rPr>
          <w:szCs w:val="24"/>
          <w:lang w:val="en-GB"/>
        </w:rPr>
        <w:t xml:space="preserve"> </w:t>
      </w:r>
      <w:r w:rsidRPr="00F5526E">
        <w:rPr>
          <w:szCs w:val="24"/>
          <w:lang w:val="en-GB"/>
        </w:rPr>
        <w:t xml:space="preserve">466 documents (68.3%) and partial access to 678 documents (8.5%). </w:t>
      </w:r>
    </w:p>
    <w:p w14:paraId="0A0E880B" w14:textId="77777777" w:rsidR="0067693E" w:rsidRDefault="0067693E" w:rsidP="0067693E">
      <w:pPr>
        <w:rPr>
          <w:szCs w:val="24"/>
          <w:lang w:val="en-GB"/>
        </w:rPr>
      </w:pPr>
    </w:p>
    <w:p w14:paraId="6A85CBCF" w14:textId="0A683AE6" w:rsidR="0067693E" w:rsidRDefault="0067693E" w:rsidP="00AC2BAA">
      <w:pPr>
        <w:rPr>
          <w:szCs w:val="24"/>
          <w:lang w:val="en-GB"/>
        </w:rPr>
      </w:pPr>
      <w:r>
        <w:rPr>
          <w:szCs w:val="24"/>
          <w:lang w:val="en-GB"/>
        </w:rPr>
        <w:t xml:space="preserve">A breakdown by policy areas to which these requests relate, can be found in </w:t>
      </w:r>
      <w:r w:rsidR="00AC2BAA">
        <w:rPr>
          <w:szCs w:val="24"/>
          <w:lang w:val="en-GB"/>
        </w:rPr>
        <w:t>a</w:t>
      </w:r>
      <w:r>
        <w:rPr>
          <w:szCs w:val="24"/>
          <w:lang w:val="en-GB"/>
        </w:rPr>
        <w:t>nnex I</w:t>
      </w:r>
      <w:r w:rsidR="00AC2BAA">
        <w:rPr>
          <w:szCs w:val="24"/>
          <w:lang w:val="en-GB"/>
        </w:rPr>
        <w:t>I</w:t>
      </w:r>
      <w:r>
        <w:rPr>
          <w:szCs w:val="24"/>
          <w:lang w:val="en-GB"/>
        </w:rPr>
        <w:t>I.</w:t>
      </w:r>
      <w:r w:rsidR="00106368">
        <w:rPr>
          <w:szCs w:val="24"/>
          <w:lang w:val="en-GB"/>
        </w:rPr>
        <w:t xml:space="preserve"> The area with the greatest number of requests was Justice and Home Affairs (15,9%), followed by Environment (13,7%). </w:t>
      </w:r>
    </w:p>
    <w:p w14:paraId="29E8BEC9" w14:textId="77777777" w:rsidR="009C27E9" w:rsidRDefault="009C27E9" w:rsidP="00C06DBD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 </w:t>
      </w:r>
    </w:p>
    <w:p w14:paraId="60EBDECA" w14:textId="01165AD8" w:rsidR="00C06DBD" w:rsidRDefault="00045117" w:rsidP="00BB1526">
      <w:pPr>
        <w:rPr>
          <w:szCs w:val="24"/>
          <w:lang w:val="en-GB"/>
        </w:rPr>
      </w:pPr>
      <w:r>
        <w:rPr>
          <w:szCs w:val="24"/>
          <w:lang w:val="en-GB"/>
        </w:rPr>
        <w:t xml:space="preserve">So far in 2018, the GSC has </w:t>
      </w:r>
      <w:r w:rsidR="009C27E9">
        <w:rPr>
          <w:szCs w:val="24"/>
          <w:lang w:val="en-GB"/>
        </w:rPr>
        <w:t>received 1</w:t>
      </w:r>
      <w:r w:rsidR="00BB1526">
        <w:rPr>
          <w:szCs w:val="24"/>
          <w:lang w:val="en-GB"/>
        </w:rPr>
        <w:t xml:space="preserve"> </w:t>
      </w:r>
      <w:r w:rsidR="009C27E9">
        <w:rPr>
          <w:szCs w:val="24"/>
          <w:lang w:val="en-GB"/>
        </w:rPr>
        <w:t>680 requests for access to documents</w:t>
      </w:r>
      <w:r>
        <w:rPr>
          <w:szCs w:val="24"/>
          <w:lang w:val="en-GB"/>
        </w:rPr>
        <w:t>,</w:t>
      </w:r>
      <w:r w:rsidR="009C27E9">
        <w:rPr>
          <w:szCs w:val="24"/>
          <w:lang w:val="en-GB"/>
        </w:rPr>
        <w:t xml:space="preserve"> including </w:t>
      </w:r>
      <w:r w:rsidR="00680D84">
        <w:rPr>
          <w:szCs w:val="24"/>
          <w:lang w:val="en-GB"/>
        </w:rPr>
        <w:t xml:space="preserve">(after the De </w:t>
      </w:r>
      <w:proofErr w:type="spellStart"/>
      <w:r w:rsidR="00680D84">
        <w:rPr>
          <w:szCs w:val="24"/>
          <w:lang w:val="en-GB"/>
        </w:rPr>
        <w:t>Capitani</w:t>
      </w:r>
      <w:proofErr w:type="spellEnd"/>
      <w:r w:rsidR="00680D84">
        <w:rPr>
          <w:szCs w:val="24"/>
          <w:lang w:val="en-GB"/>
        </w:rPr>
        <w:t xml:space="preserve"> judgement) </w:t>
      </w:r>
      <w:r w:rsidR="009C27E9">
        <w:rPr>
          <w:szCs w:val="24"/>
          <w:lang w:val="en-GB"/>
        </w:rPr>
        <w:t xml:space="preserve">64 requests for 4-column </w:t>
      </w:r>
      <w:proofErr w:type="spellStart"/>
      <w:r w:rsidRPr="008E7881">
        <w:rPr>
          <w:szCs w:val="24"/>
          <w:lang w:val="en-GB"/>
        </w:rPr>
        <w:t>trilogue</w:t>
      </w:r>
      <w:proofErr w:type="spellEnd"/>
      <w:r>
        <w:rPr>
          <w:szCs w:val="24"/>
          <w:lang w:val="en-GB"/>
        </w:rPr>
        <w:t xml:space="preserve"> </w:t>
      </w:r>
      <w:r w:rsidR="009C27E9">
        <w:rPr>
          <w:szCs w:val="24"/>
          <w:lang w:val="en-GB"/>
        </w:rPr>
        <w:t>tables</w:t>
      </w:r>
      <w:r w:rsidR="00680D84">
        <w:rPr>
          <w:szCs w:val="24"/>
          <w:lang w:val="en-GB"/>
        </w:rPr>
        <w:t xml:space="preserve"> of which a vast majority relates to COREPER I competence.</w:t>
      </w:r>
    </w:p>
    <w:p w14:paraId="53CEC6F2" w14:textId="77777777" w:rsidR="009C27E9" w:rsidRDefault="009C27E9" w:rsidP="00C06DBD">
      <w:pPr>
        <w:rPr>
          <w:szCs w:val="24"/>
          <w:lang w:val="en-GB"/>
        </w:rPr>
      </w:pPr>
    </w:p>
    <w:p w14:paraId="3EB30A68" w14:textId="17C0D413" w:rsidR="00F5526E" w:rsidRDefault="00F5526E" w:rsidP="00A30364">
      <w:pPr>
        <w:rPr>
          <w:szCs w:val="24"/>
          <w:lang w:val="en-GB"/>
        </w:rPr>
      </w:pPr>
      <w:r>
        <w:rPr>
          <w:szCs w:val="24"/>
          <w:lang w:val="en-GB"/>
        </w:rPr>
        <w:t xml:space="preserve">These </w:t>
      </w:r>
      <w:r w:rsidRPr="00376668">
        <w:rPr>
          <w:b/>
          <w:bCs/>
          <w:szCs w:val="24"/>
          <w:lang w:val="en-GB"/>
        </w:rPr>
        <w:t>initial request</w:t>
      </w:r>
      <w:r w:rsidR="00A455F1" w:rsidRPr="00376668">
        <w:rPr>
          <w:b/>
          <w:bCs/>
          <w:szCs w:val="24"/>
          <w:lang w:val="en-GB"/>
        </w:rPr>
        <w:t>s</w:t>
      </w:r>
      <w:r>
        <w:rPr>
          <w:szCs w:val="24"/>
          <w:lang w:val="en-GB"/>
        </w:rPr>
        <w:t xml:space="preserve"> are handled by the </w:t>
      </w:r>
      <w:r w:rsidR="00106368">
        <w:rPr>
          <w:szCs w:val="24"/>
          <w:lang w:val="en-GB"/>
        </w:rPr>
        <w:t xml:space="preserve">GSC's </w:t>
      </w:r>
      <w:r>
        <w:rPr>
          <w:szCs w:val="24"/>
          <w:lang w:val="en-GB"/>
        </w:rPr>
        <w:t xml:space="preserve">Transparency </w:t>
      </w:r>
      <w:r w:rsidR="00106368">
        <w:rPr>
          <w:szCs w:val="24"/>
          <w:lang w:val="en-GB"/>
        </w:rPr>
        <w:t xml:space="preserve">Service in </w:t>
      </w:r>
      <w:r>
        <w:rPr>
          <w:szCs w:val="24"/>
          <w:lang w:val="en-GB"/>
        </w:rPr>
        <w:t>DG COMM wh</w:t>
      </w:r>
      <w:r w:rsidR="00A30364">
        <w:rPr>
          <w:szCs w:val="24"/>
          <w:lang w:val="en-GB"/>
        </w:rPr>
        <w:t>ich</w:t>
      </w:r>
      <w:r>
        <w:rPr>
          <w:szCs w:val="24"/>
          <w:lang w:val="en-GB"/>
        </w:rPr>
        <w:t xml:space="preserve"> makes a final assessment after consultation of the policy DG, author of the document.</w:t>
      </w:r>
    </w:p>
    <w:p w14:paraId="75A2FF1C" w14:textId="77777777" w:rsidR="00F5526E" w:rsidRDefault="00F5526E" w:rsidP="00F5526E">
      <w:pPr>
        <w:rPr>
          <w:szCs w:val="24"/>
          <w:lang w:val="en-GB"/>
        </w:rPr>
      </w:pPr>
    </w:p>
    <w:p w14:paraId="0921D261" w14:textId="77777777" w:rsidR="00C06DBD" w:rsidRDefault="00C06DBD" w:rsidP="00045117">
      <w:pPr>
        <w:rPr>
          <w:szCs w:val="24"/>
          <w:lang w:val="en-GB"/>
        </w:rPr>
      </w:pPr>
      <w:r>
        <w:rPr>
          <w:sz w:val="23"/>
          <w:szCs w:val="23"/>
        </w:rPr>
        <w:t xml:space="preserve">At the initial stage, documents </w:t>
      </w:r>
      <w:r w:rsidR="00045117" w:rsidRPr="008E7881">
        <w:rPr>
          <w:sz w:val="23"/>
          <w:szCs w:val="23"/>
        </w:rPr>
        <w:t>in 2017</w:t>
      </w:r>
      <w:r w:rsidR="000451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were refused mainly in order to protect the Council's decision-making process (545 times, or 32%), to protect the public interest as regards international relations (269 times, or 15,8%) or for reasons of public security (51 times, or 3%). In nearly 46% of cases (780 times), documents were refused based on the combination of a number of exceptions. </w:t>
      </w:r>
    </w:p>
    <w:p w14:paraId="71909ACB" w14:textId="77777777" w:rsidR="00C06DBD" w:rsidRDefault="00C06DBD" w:rsidP="00F5526E">
      <w:pPr>
        <w:rPr>
          <w:szCs w:val="24"/>
          <w:lang w:val="en-GB"/>
        </w:rPr>
      </w:pPr>
    </w:p>
    <w:p w14:paraId="538F497E" w14:textId="77777777" w:rsidR="00F5526E" w:rsidRDefault="00F5526E" w:rsidP="00045117">
      <w:pPr>
        <w:rPr>
          <w:szCs w:val="24"/>
          <w:lang w:val="en-GB"/>
        </w:rPr>
      </w:pPr>
      <w:r>
        <w:rPr>
          <w:szCs w:val="24"/>
          <w:lang w:val="en-GB"/>
        </w:rPr>
        <w:t>If access is refused on the basis of one of the</w:t>
      </w:r>
      <w:r w:rsidR="00A455F1">
        <w:rPr>
          <w:szCs w:val="24"/>
          <w:lang w:val="en-GB"/>
        </w:rPr>
        <w:t>se</w:t>
      </w:r>
      <w:r>
        <w:rPr>
          <w:szCs w:val="24"/>
          <w:lang w:val="en-GB"/>
        </w:rPr>
        <w:t xml:space="preserve"> exceptions, applicants can enter a so</w:t>
      </w:r>
      <w:r w:rsidR="00045117">
        <w:rPr>
          <w:szCs w:val="24"/>
          <w:lang w:val="en-GB"/>
        </w:rPr>
        <w:t>-</w:t>
      </w:r>
      <w:r>
        <w:rPr>
          <w:szCs w:val="24"/>
          <w:lang w:val="en-GB"/>
        </w:rPr>
        <w:t xml:space="preserve">called </w:t>
      </w:r>
      <w:r w:rsidRPr="00376668">
        <w:rPr>
          <w:b/>
          <w:bCs/>
          <w:szCs w:val="24"/>
          <w:lang w:val="en-GB"/>
        </w:rPr>
        <w:t>confirmatory application</w:t>
      </w:r>
      <w:r>
        <w:rPr>
          <w:szCs w:val="24"/>
          <w:lang w:val="en-GB"/>
        </w:rPr>
        <w:t xml:space="preserve"> (appeal).</w:t>
      </w:r>
    </w:p>
    <w:p w14:paraId="3B034868" w14:textId="77777777" w:rsidR="008D5E8E" w:rsidRDefault="008D5E8E" w:rsidP="008D5E8E">
      <w:pPr>
        <w:rPr>
          <w:szCs w:val="24"/>
          <w:lang w:val="en-GB"/>
        </w:rPr>
      </w:pPr>
    </w:p>
    <w:p w14:paraId="07FD8B43" w14:textId="0D7C0F61" w:rsidR="008E7881" w:rsidRDefault="00F5526E" w:rsidP="00DB3A77">
      <w:pPr>
        <w:rPr>
          <w:szCs w:val="24"/>
          <w:lang w:val="en-GB"/>
        </w:rPr>
      </w:pPr>
      <w:r>
        <w:rPr>
          <w:szCs w:val="24"/>
          <w:lang w:val="en-GB"/>
        </w:rPr>
        <w:t>In 2017</w:t>
      </w:r>
      <w:r w:rsidR="00A3036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8D5E8E">
        <w:rPr>
          <w:szCs w:val="24"/>
          <w:lang w:val="en-GB"/>
        </w:rPr>
        <w:t xml:space="preserve">the GSC received 31 confirmatory applications </w:t>
      </w:r>
      <w:r w:rsidR="00A30364">
        <w:rPr>
          <w:szCs w:val="24"/>
          <w:lang w:val="en-GB"/>
        </w:rPr>
        <w:t>relating to 135 documents. F</w:t>
      </w:r>
      <w:r w:rsidRPr="00F5526E">
        <w:rPr>
          <w:szCs w:val="24"/>
          <w:lang w:val="en-GB"/>
        </w:rPr>
        <w:t>ull access was granted to 25 documents (</w:t>
      </w:r>
      <w:r w:rsidR="00045117">
        <w:rPr>
          <w:szCs w:val="24"/>
          <w:lang w:val="en-GB"/>
        </w:rPr>
        <w:t xml:space="preserve">representing </w:t>
      </w:r>
      <w:r w:rsidRPr="00F5526E">
        <w:rPr>
          <w:szCs w:val="24"/>
          <w:lang w:val="en-GB"/>
        </w:rPr>
        <w:t>18.5%</w:t>
      </w:r>
      <w:r w:rsidR="00045117">
        <w:rPr>
          <w:szCs w:val="24"/>
          <w:lang w:val="en-GB"/>
        </w:rPr>
        <w:t xml:space="preserve"> of all documents requested</w:t>
      </w:r>
      <w:r w:rsidRPr="00F5526E">
        <w:rPr>
          <w:szCs w:val="24"/>
          <w:lang w:val="en-GB"/>
        </w:rPr>
        <w:t>) and partial access to 26 documents (19.3%).</w:t>
      </w:r>
      <w:r w:rsidR="008D5E8E">
        <w:rPr>
          <w:szCs w:val="24"/>
          <w:lang w:val="en-GB"/>
        </w:rPr>
        <w:t xml:space="preserve"> For the others, the refusal of access was confirmed</w:t>
      </w:r>
      <w:r w:rsidR="00067B55">
        <w:rPr>
          <w:szCs w:val="24"/>
          <w:lang w:val="en-GB"/>
        </w:rPr>
        <w:t>. I</w:t>
      </w:r>
      <w:r w:rsidR="00680D84">
        <w:rPr>
          <w:szCs w:val="24"/>
          <w:lang w:val="en-GB"/>
        </w:rPr>
        <w:t xml:space="preserve">f no full access is granted, </w:t>
      </w:r>
      <w:r w:rsidR="008D5E8E">
        <w:rPr>
          <w:szCs w:val="24"/>
          <w:lang w:val="en-GB"/>
        </w:rPr>
        <w:t xml:space="preserve">the applicant </w:t>
      </w:r>
      <w:r w:rsidR="00067B55">
        <w:rPr>
          <w:szCs w:val="24"/>
          <w:lang w:val="en-GB"/>
        </w:rPr>
        <w:t>may</w:t>
      </w:r>
      <w:r w:rsidR="000460F2">
        <w:rPr>
          <w:szCs w:val="24"/>
          <w:lang w:val="en-GB"/>
        </w:rPr>
        <w:t xml:space="preserve"> make a complaint </w:t>
      </w:r>
      <w:r w:rsidR="008D5E8E">
        <w:rPr>
          <w:szCs w:val="24"/>
          <w:lang w:val="en-GB"/>
        </w:rPr>
        <w:t xml:space="preserve">to the Ombudsman </w:t>
      </w:r>
      <w:r w:rsidR="00067B55">
        <w:rPr>
          <w:szCs w:val="24"/>
          <w:lang w:val="en-GB"/>
        </w:rPr>
        <w:t xml:space="preserve">or </w:t>
      </w:r>
      <w:r w:rsidR="00067B55" w:rsidRPr="000460F2">
        <w:rPr>
          <w:szCs w:val="24"/>
          <w:lang w:val="en-GB"/>
        </w:rPr>
        <w:t>institute court proceedings</w:t>
      </w:r>
      <w:r w:rsidR="000460F2" w:rsidRPr="000460F2">
        <w:rPr>
          <w:szCs w:val="24"/>
          <w:lang w:val="en-GB"/>
        </w:rPr>
        <w:t xml:space="preserve"> with the ECJ</w:t>
      </w:r>
      <w:r w:rsidR="008E7881">
        <w:rPr>
          <w:szCs w:val="24"/>
          <w:lang w:val="en-GB"/>
        </w:rPr>
        <w:t>. In 2017, the GSC received three complaints from the Ombudsman.</w:t>
      </w:r>
      <w:r w:rsidR="00BB54AC">
        <w:rPr>
          <w:szCs w:val="24"/>
          <w:lang w:val="en-GB"/>
        </w:rPr>
        <w:t xml:space="preserve"> In such cases, the </w:t>
      </w:r>
      <w:r w:rsidR="00DB3A77">
        <w:rPr>
          <w:szCs w:val="24"/>
          <w:lang w:val="en-GB"/>
        </w:rPr>
        <w:t>Council is requested to re-examine the case and to inform the Ombudsman of the results of this re-examination.</w:t>
      </w:r>
    </w:p>
    <w:p w14:paraId="24D435C6" w14:textId="77777777" w:rsidR="008E7881" w:rsidRDefault="008E7881" w:rsidP="008E7881">
      <w:pPr>
        <w:rPr>
          <w:szCs w:val="24"/>
          <w:lang w:val="en-GB"/>
        </w:rPr>
      </w:pPr>
    </w:p>
    <w:p w14:paraId="7C1FBBC0" w14:textId="5E30687C" w:rsidR="009C27E9" w:rsidRDefault="00067B55" w:rsidP="008E7881">
      <w:pPr>
        <w:rPr>
          <w:szCs w:val="24"/>
          <w:lang w:val="en-GB"/>
        </w:rPr>
      </w:pPr>
      <w:r>
        <w:rPr>
          <w:szCs w:val="24"/>
          <w:lang w:val="en-GB"/>
        </w:rPr>
        <w:t xml:space="preserve">So far in 2018, the GSC has </w:t>
      </w:r>
      <w:r w:rsidR="009C27E9">
        <w:rPr>
          <w:szCs w:val="24"/>
          <w:lang w:val="en-GB"/>
        </w:rPr>
        <w:t>22 confirmatory applications</w:t>
      </w:r>
      <w:r w:rsidR="008E7881">
        <w:rPr>
          <w:szCs w:val="24"/>
          <w:lang w:val="en-GB"/>
        </w:rPr>
        <w:t xml:space="preserve"> and no complaints from the Ombudsman.</w:t>
      </w:r>
      <w:r w:rsidR="009C27E9">
        <w:rPr>
          <w:szCs w:val="24"/>
          <w:lang w:val="en-GB"/>
        </w:rPr>
        <w:t xml:space="preserve"> </w:t>
      </w:r>
    </w:p>
    <w:p w14:paraId="6872B83F" w14:textId="77777777" w:rsidR="00C06DBD" w:rsidRDefault="00C06DBD" w:rsidP="008D5E8E">
      <w:pPr>
        <w:rPr>
          <w:szCs w:val="24"/>
          <w:lang w:val="en-GB"/>
        </w:rPr>
      </w:pPr>
    </w:p>
    <w:p w14:paraId="141340B3" w14:textId="77777777" w:rsidR="008D5E8E" w:rsidRDefault="008D5E8E" w:rsidP="00EB10F9">
      <w:pPr>
        <w:rPr>
          <w:szCs w:val="24"/>
          <w:lang w:val="en-GB"/>
        </w:rPr>
      </w:pPr>
      <w:r>
        <w:rPr>
          <w:szCs w:val="24"/>
          <w:lang w:val="en-GB"/>
        </w:rPr>
        <w:t xml:space="preserve">These confirmatory applications are handled by the Transparency </w:t>
      </w:r>
      <w:r w:rsidR="00EB10F9">
        <w:rPr>
          <w:szCs w:val="24"/>
          <w:lang w:val="en-GB"/>
        </w:rPr>
        <w:t xml:space="preserve">Service </w:t>
      </w:r>
      <w:r>
        <w:rPr>
          <w:szCs w:val="24"/>
          <w:lang w:val="en-GB"/>
        </w:rPr>
        <w:t>together with the C</w:t>
      </w:r>
      <w:r w:rsidR="00376668">
        <w:rPr>
          <w:szCs w:val="24"/>
          <w:lang w:val="en-GB"/>
        </w:rPr>
        <w:t>ouncil Legal Service</w:t>
      </w:r>
      <w:r>
        <w:rPr>
          <w:szCs w:val="24"/>
          <w:lang w:val="en-GB"/>
        </w:rPr>
        <w:t>. The Working Party on Information is consulted on the draft reply to the applicant which afterwards requires adoption by CRP and Council (I/A item).</w:t>
      </w:r>
    </w:p>
    <w:p w14:paraId="41A5D783" w14:textId="77777777" w:rsidR="00680D84" w:rsidRDefault="00680D84" w:rsidP="00376668">
      <w:pPr>
        <w:rPr>
          <w:szCs w:val="24"/>
          <w:lang w:val="en-GB"/>
        </w:rPr>
      </w:pPr>
    </w:p>
    <w:p w14:paraId="1249972E" w14:textId="77777777" w:rsidR="00680D84" w:rsidRDefault="00680D84" w:rsidP="00680D84">
      <w:pPr>
        <w:rPr>
          <w:szCs w:val="24"/>
          <w:lang w:val="en-GB"/>
        </w:rPr>
      </w:pPr>
      <w:r>
        <w:rPr>
          <w:szCs w:val="24"/>
          <w:lang w:val="en-GB"/>
        </w:rPr>
        <w:t xml:space="preserve">The full Council Annual Report on Access to documents for 2017 can be found </w:t>
      </w:r>
      <w:hyperlink r:id="rId9" w:history="1">
        <w:r w:rsidRPr="00680D84">
          <w:rPr>
            <w:rStyle w:val="Hyperlink"/>
            <w:szCs w:val="24"/>
            <w:lang w:val="en-GB"/>
          </w:rPr>
          <w:t>here</w:t>
        </w:r>
      </w:hyperlink>
      <w:r>
        <w:rPr>
          <w:szCs w:val="24"/>
          <w:lang w:val="en-GB"/>
        </w:rPr>
        <w:t>.</w:t>
      </w:r>
    </w:p>
    <w:p w14:paraId="2C398A57" w14:textId="77777777" w:rsidR="00680D84" w:rsidRDefault="00680D84" w:rsidP="00680D84">
      <w:pPr>
        <w:rPr>
          <w:szCs w:val="24"/>
          <w:lang w:val="en-GB"/>
        </w:rPr>
      </w:pPr>
    </w:p>
    <w:p w14:paraId="367D0226" w14:textId="77777777" w:rsidR="00680D84" w:rsidRDefault="00680D84" w:rsidP="00680D84">
      <w:pPr>
        <w:rPr>
          <w:szCs w:val="24"/>
          <w:lang w:val="en-GB"/>
        </w:rPr>
      </w:pPr>
    </w:p>
    <w:p w14:paraId="74C83DC6" w14:textId="77777777" w:rsidR="00C06DBD" w:rsidRDefault="00C06DBD" w:rsidP="008D5E8E">
      <w:pPr>
        <w:rPr>
          <w:szCs w:val="24"/>
          <w:lang w:val="en-GB"/>
        </w:rPr>
      </w:pPr>
    </w:p>
    <w:p w14:paraId="40F6CA31" w14:textId="77777777" w:rsidR="00C85386" w:rsidRDefault="00C85386">
      <w:pPr>
        <w:spacing w:after="200" w:line="276" w:lineRule="auto"/>
        <w:rPr>
          <w:b/>
          <w:bCs/>
          <w:noProof/>
          <w:szCs w:val="24"/>
          <w:u w:val="single"/>
          <w:lang w:val="en-GB" w:eastAsia="en-GB"/>
        </w:rPr>
      </w:pPr>
      <w:r>
        <w:rPr>
          <w:b/>
          <w:bCs/>
          <w:noProof/>
          <w:szCs w:val="24"/>
          <w:u w:val="single"/>
          <w:lang w:val="en-GB" w:eastAsia="en-GB"/>
        </w:rPr>
        <w:br w:type="page"/>
      </w:r>
    </w:p>
    <w:p w14:paraId="56B79DFB" w14:textId="13642409" w:rsidR="00376668" w:rsidRDefault="008E7881" w:rsidP="00376668">
      <w:pPr>
        <w:jc w:val="right"/>
        <w:rPr>
          <w:szCs w:val="24"/>
          <w:lang w:val="en-GB"/>
        </w:rPr>
      </w:pPr>
      <w:r>
        <w:rPr>
          <w:szCs w:val="24"/>
          <w:lang w:val="en-GB"/>
        </w:rPr>
        <w:lastRenderedPageBreak/>
        <w:t>A</w:t>
      </w:r>
      <w:r w:rsidR="007445FC">
        <w:rPr>
          <w:szCs w:val="24"/>
          <w:lang w:val="en-GB"/>
        </w:rPr>
        <w:t>NNEX</w:t>
      </w:r>
      <w:r w:rsidR="0067693E">
        <w:rPr>
          <w:szCs w:val="24"/>
          <w:lang w:val="en-GB"/>
        </w:rPr>
        <w:t xml:space="preserve"> I</w:t>
      </w:r>
    </w:p>
    <w:p w14:paraId="03C73A73" w14:textId="0D1A04B4" w:rsidR="00AC2BAA" w:rsidRDefault="00AC2BAA" w:rsidP="00376668">
      <w:pPr>
        <w:jc w:val="right"/>
        <w:rPr>
          <w:szCs w:val="24"/>
          <w:lang w:val="en-GB"/>
        </w:rPr>
      </w:pPr>
    </w:p>
    <w:p w14:paraId="7891C143" w14:textId="622EDA86" w:rsidR="00CB369D" w:rsidRPr="00BB1526" w:rsidRDefault="00CB369D" w:rsidP="00CB369D">
      <w:pPr>
        <w:autoSpaceDE w:val="0"/>
        <w:autoSpaceDN w:val="0"/>
        <w:adjustRightInd w:val="0"/>
        <w:spacing w:line="240" w:lineRule="auto"/>
        <w:rPr>
          <w:rFonts w:asciiTheme="minorBidi" w:hAnsiTheme="minorBidi"/>
          <w:i/>
          <w:iCs/>
          <w:szCs w:val="24"/>
          <w:lang w:val="en-GB"/>
        </w:rPr>
      </w:pPr>
      <w:r w:rsidRPr="00BB1526">
        <w:rPr>
          <w:rFonts w:asciiTheme="minorBidi" w:hAnsiTheme="minorBidi"/>
          <w:i/>
          <w:iCs/>
          <w:szCs w:val="24"/>
          <w:lang w:val="en-GB"/>
        </w:rPr>
        <w:t xml:space="preserve">Article 4 </w:t>
      </w:r>
      <w:r w:rsidR="009A0FE8" w:rsidRPr="00BB1526">
        <w:rPr>
          <w:rFonts w:asciiTheme="minorBidi" w:hAnsiTheme="minorBidi"/>
          <w:i/>
          <w:iCs/>
          <w:szCs w:val="24"/>
          <w:lang w:val="en-GB"/>
        </w:rPr>
        <w:t>of Regulation (EC) N° 1049/2001</w:t>
      </w:r>
    </w:p>
    <w:p w14:paraId="2BB9A3D9" w14:textId="77777777" w:rsidR="00CB369D" w:rsidRPr="00BB1526" w:rsidRDefault="00CB369D" w:rsidP="00CB369D">
      <w:pPr>
        <w:autoSpaceDE w:val="0"/>
        <w:autoSpaceDN w:val="0"/>
        <w:adjustRightInd w:val="0"/>
        <w:spacing w:line="240" w:lineRule="auto"/>
        <w:rPr>
          <w:rFonts w:asciiTheme="minorBidi" w:hAnsiTheme="minorBidi"/>
          <w:i/>
          <w:iCs/>
          <w:szCs w:val="24"/>
          <w:lang w:val="en-GB"/>
        </w:rPr>
      </w:pPr>
    </w:p>
    <w:p w14:paraId="0AB013C4" w14:textId="0BCF74DB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Bold" w:hAnsi="EUAlbertina-Bold" w:cs="EUAlbertina-Bold"/>
          <w:b/>
          <w:bCs/>
          <w:sz w:val="19"/>
          <w:szCs w:val="19"/>
          <w:lang w:val="en-GB"/>
        </w:rPr>
      </w:pPr>
      <w:r>
        <w:rPr>
          <w:rFonts w:ascii="EUAlbertina-Bold" w:hAnsi="EUAlbertina-Bold" w:cs="EUAlbertina-Bold"/>
          <w:b/>
          <w:bCs/>
          <w:sz w:val="19"/>
          <w:szCs w:val="19"/>
          <w:lang w:val="en-GB"/>
        </w:rPr>
        <w:t>Exceptions</w:t>
      </w:r>
    </w:p>
    <w:p w14:paraId="30C2B1CD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Bold" w:hAnsi="EUAlbertina-Bold" w:cs="EUAlbertina-Bold"/>
          <w:b/>
          <w:bCs/>
          <w:sz w:val="19"/>
          <w:szCs w:val="19"/>
          <w:lang w:val="en-GB"/>
        </w:rPr>
      </w:pPr>
    </w:p>
    <w:p w14:paraId="1FF2F363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1. The institutions shall refuse access to a document where</w:t>
      </w:r>
    </w:p>
    <w:p w14:paraId="466FE4BF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disclosure would undermine the protection of:</w:t>
      </w:r>
    </w:p>
    <w:p w14:paraId="4DA74DAD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(a) the public interest as regards:</w:t>
      </w:r>
    </w:p>
    <w:p w14:paraId="265BBAF8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public security,</w:t>
      </w:r>
    </w:p>
    <w:p w14:paraId="28207CC2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defence and military matters,</w:t>
      </w:r>
    </w:p>
    <w:p w14:paraId="015EEEF4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international relations,</w:t>
      </w:r>
    </w:p>
    <w:p w14:paraId="3201BD44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the financial, monetary or economic policy of the</w:t>
      </w:r>
    </w:p>
    <w:p w14:paraId="07C69D25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Community or a Member State;</w:t>
      </w:r>
    </w:p>
    <w:p w14:paraId="69873F56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(b) privacy and the integrity of the individual, in particular in</w:t>
      </w:r>
    </w:p>
    <w:p w14:paraId="0495B2DB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accordance with Community legislation regarding the</w:t>
      </w:r>
    </w:p>
    <w:p w14:paraId="7DFB26DD" w14:textId="382BE0D0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protection of personal data.</w:t>
      </w:r>
    </w:p>
    <w:p w14:paraId="065C4F27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270EEC0A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2. The institutions shall refuse access to a document where</w:t>
      </w:r>
    </w:p>
    <w:p w14:paraId="028209F0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disclosure would undermine the protection of:</w:t>
      </w:r>
    </w:p>
    <w:p w14:paraId="51C3E88B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commercial interests of a natural or legal person, including</w:t>
      </w:r>
    </w:p>
    <w:p w14:paraId="63BD0AB7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intellectual property,</w:t>
      </w:r>
    </w:p>
    <w:p w14:paraId="665106BD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court proceedings and legal advice,</w:t>
      </w:r>
    </w:p>
    <w:p w14:paraId="4D7C6EF4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— the purpose of inspections, investigations and audits,</w:t>
      </w:r>
    </w:p>
    <w:p w14:paraId="39B96EDE" w14:textId="1E553881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unless there is an overriding public interest in disclosure.</w:t>
      </w:r>
    </w:p>
    <w:p w14:paraId="46655C38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19DF0787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3. Access to a document, drawn up by an institution for</w:t>
      </w:r>
    </w:p>
    <w:p w14:paraId="1C308775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internal use or received by an institution, which relates to a</w:t>
      </w:r>
    </w:p>
    <w:p w14:paraId="0CC95CF0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matter where the decision has not been taken by the institution,</w:t>
      </w:r>
    </w:p>
    <w:p w14:paraId="23FF16F7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shall be refused if disclosure of the document would</w:t>
      </w:r>
    </w:p>
    <w:p w14:paraId="0C20C8EA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seriously undermine the institution's decision-making process,</w:t>
      </w:r>
    </w:p>
    <w:p w14:paraId="60C881E9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unless there is an overriding public interest in disclosure.</w:t>
      </w:r>
    </w:p>
    <w:p w14:paraId="072CBDBC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Access to a document containing opinions for internal use as</w:t>
      </w:r>
    </w:p>
    <w:p w14:paraId="5A7792F6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part of deliberations and preliminary consultations within the</w:t>
      </w:r>
    </w:p>
    <w:p w14:paraId="384DD404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institution concerned shall be refused even after the decision</w:t>
      </w:r>
    </w:p>
    <w:p w14:paraId="1CCB5F78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has been taken if disclosure of the document would seriously</w:t>
      </w:r>
    </w:p>
    <w:p w14:paraId="411A330B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undermine the institution's decision-making process, unless</w:t>
      </w:r>
    </w:p>
    <w:p w14:paraId="25250C88" w14:textId="0790FE2C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there is an overriding public interest in disclosure.</w:t>
      </w:r>
    </w:p>
    <w:p w14:paraId="60738C5D" w14:textId="77777777" w:rsidR="00BB1526" w:rsidRDefault="00BB1526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195E8797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4. As regards third-party documents, the institution shall</w:t>
      </w:r>
    </w:p>
    <w:p w14:paraId="5A845896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consult the third party with a view to assessing whether an</w:t>
      </w:r>
    </w:p>
    <w:p w14:paraId="22475D31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exception in paragraph 1 or 2 is applicable, unless it is clear</w:t>
      </w:r>
    </w:p>
    <w:p w14:paraId="26CEED74" w14:textId="4BDCB655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that the document shall or shall not be disclosed.</w:t>
      </w:r>
    </w:p>
    <w:p w14:paraId="6D4BBFF4" w14:textId="77777777" w:rsidR="00BB1526" w:rsidRDefault="00BB1526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6B784E02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5. A Member State may request the institution not to</w:t>
      </w:r>
    </w:p>
    <w:p w14:paraId="01559EE3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disclose a document originating from that Member State</w:t>
      </w:r>
    </w:p>
    <w:p w14:paraId="4CBD1D31" w14:textId="0E0FF51F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without its prior agreement.</w:t>
      </w:r>
    </w:p>
    <w:p w14:paraId="153B54F2" w14:textId="77777777" w:rsidR="00BB1526" w:rsidRDefault="00BB1526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0E15B985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6. If only parts of the requested document are covered by</w:t>
      </w:r>
    </w:p>
    <w:p w14:paraId="727AE4A7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any of the exceptions, the remaining parts of the document</w:t>
      </w:r>
    </w:p>
    <w:p w14:paraId="6FA2C37D" w14:textId="2036819C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shall be released.</w:t>
      </w:r>
    </w:p>
    <w:p w14:paraId="66171244" w14:textId="77777777" w:rsidR="00BB1526" w:rsidRDefault="00BB1526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5232971B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7. The exceptions as laid down in paragraphs 1 to 3 shall</w:t>
      </w:r>
    </w:p>
    <w:p w14:paraId="79DBDB05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only apply for the period during which protection is justified</w:t>
      </w:r>
    </w:p>
    <w:p w14:paraId="026E4475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on the basis of the content of the document. The exceptions</w:t>
      </w:r>
    </w:p>
    <w:p w14:paraId="5B44F6DF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may apply for a maximum period of 30 years. In the case of</w:t>
      </w:r>
    </w:p>
    <w:p w14:paraId="7FBFB5F5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documents covered by the exceptions relating to privacy or</w:t>
      </w:r>
    </w:p>
    <w:p w14:paraId="78B46CE4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commercial interests and in the case of sensitive documents,</w:t>
      </w:r>
    </w:p>
    <w:p w14:paraId="3CC24E74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the exceptions may, if necessary, continue to apply after this</w:t>
      </w:r>
    </w:p>
    <w:p w14:paraId="05489A13" w14:textId="28C82EA8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  <w:r>
        <w:rPr>
          <w:rFonts w:ascii="EUAlbertina-Regu" w:hAnsi="EUAlbertina-Regu" w:cs="EUAlbertina-Regu"/>
          <w:sz w:val="19"/>
          <w:szCs w:val="19"/>
          <w:lang w:val="en-GB"/>
        </w:rPr>
        <w:t>period.</w:t>
      </w:r>
    </w:p>
    <w:p w14:paraId="22B2995B" w14:textId="77777777" w:rsidR="00CB369D" w:rsidRDefault="00CB369D" w:rsidP="00CB369D">
      <w:pPr>
        <w:autoSpaceDE w:val="0"/>
        <w:autoSpaceDN w:val="0"/>
        <w:adjustRightInd w:val="0"/>
        <w:spacing w:line="240" w:lineRule="auto"/>
        <w:rPr>
          <w:rFonts w:ascii="EUAlbertina-Regu" w:hAnsi="EUAlbertina-Regu" w:cs="EUAlbertina-Regu"/>
          <w:sz w:val="19"/>
          <w:szCs w:val="19"/>
          <w:lang w:val="en-GB"/>
        </w:rPr>
      </w:pPr>
    </w:p>
    <w:p w14:paraId="3A332656" w14:textId="1A28C78D" w:rsidR="00AC2BAA" w:rsidRDefault="00AC2BAA">
      <w:pPr>
        <w:spacing w:after="200" w:line="276" w:lineRule="auto"/>
        <w:rPr>
          <w:szCs w:val="24"/>
          <w:lang w:val="en-GB"/>
        </w:rPr>
      </w:pPr>
      <w:bookmarkStart w:id="0" w:name="_GoBack"/>
      <w:bookmarkEnd w:id="0"/>
    </w:p>
    <w:p w14:paraId="14F37333" w14:textId="0A708C7E" w:rsidR="00AC2BAA" w:rsidRDefault="00AC2BAA" w:rsidP="00376668">
      <w:pPr>
        <w:jc w:val="right"/>
        <w:rPr>
          <w:szCs w:val="24"/>
          <w:lang w:val="en-GB"/>
        </w:rPr>
      </w:pPr>
      <w:r>
        <w:rPr>
          <w:szCs w:val="24"/>
          <w:lang w:val="en-GB"/>
        </w:rPr>
        <w:lastRenderedPageBreak/>
        <w:t>ANNEX II</w:t>
      </w:r>
    </w:p>
    <w:p w14:paraId="5D347A67" w14:textId="21D926B6" w:rsidR="009C27E9" w:rsidRPr="000460F2" w:rsidRDefault="009C27E9" w:rsidP="008E7881">
      <w:pPr>
        <w:pStyle w:val="ListParagraph"/>
        <w:spacing w:line="276" w:lineRule="auto"/>
        <w:ind w:left="360"/>
        <w:jc w:val="center"/>
        <w:rPr>
          <w:rFonts w:asciiTheme="majorBidi" w:hAnsiTheme="majorBidi" w:cstheme="majorBidi"/>
          <w:b/>
          <w:bCs/>
          <w:szCs w:val="24"/>
          <w:lang w:val="en-GB"/>
        </w:rPr>
      </w:pPr>
      <w:r w:rsidRPr="000460F2">
        <w:rPr>
          <w:rFonts w:asciiTheme="majorBidi" w:hAnsiTheme="majorBidi" w:cstheme="majorBidi"/>
          <w:b/>
          <w:bCs/>
          <w:szCs w:val="24"/>
          <w:u w:val="single"/>
          <w:lang w:val="en-GB"/>
        </w:rPr>
        <w:t xml:space="preserve">Main stages of the processing of requests for public access to </w:t>
      </w:r>
      <w:r w:rsidR="008E7881">
        <w:rPr>
          <w:rFonts w:asciiTheme="majorBidi" w:hAnsiTheme="majorBidi" w:cstheme="majorBidi"/>
          <w:b/>
          <w:bCs/>
          <w:szCs w:val="24"/>
          <w:u w:val="single"/>
          <w:lang w:val="en-GB"/>
        </w:rPr>
        <w:t>documents</w:t>
      </w:r>
      <w:r w:rsidR="00BB1526">
        <w:rPr>
          <w:rStyle w:val="FootnoteReference"/>
          <w:rFonts w:asciiTheme="majorBidi" w:hAnsiTheme="majorBidi" w:cstheme="majorBidi"/>
          <w:b/>
          <w:bCs/>
          <w:szCs w:val="24"/>
          <w:u w:val="single"/>
          <w:lang w:val="en-GB"/>
        </w:rPr>
        <w:footnoteReference w:id="2"/>
      </w:r>
    </w:p>
    <w:p w14:paraId="4148A18D" w14:textId="77777777" w:rsidR="009C27E9" w:rsidRPr="00EB00EE" w:rsidRDefault="009C27E9" w:rsidP="009C27E9">
      <w:pPr>
        <w:spacing w:line="276" w:lineRule="auto"/>
        <w:rPr>
          <w:rFonts w:asciiTheme="majorBidi" w:hAnsiTheme="majorBidi" w:cstheme="majorBidi"/>
          <w:szCs w:val="24"/>
          <w:lang w:val="en-GB"/>
        </w:rPr>
      </w:pPr>
    </w:p>
    <w:p w14:paraId="1A6A79CA" w14:textId="77777777" w:rsidR="009C27E9" w:rsidRPr="00EB00EE" w:rsidRDefault="009C27E9" w:rsidP="009C27E9">
      <w:pPr>
        <w:spacing w:line="276" w:lineRule="auto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u w:val="single"/>
          <w:lang w:val="en-GB"/>
        </w:rPr>
        <w:t>Initial application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</w:t>
      </w:r>
    </w:p>
    <w:p w14:paraId="01CEEC84" w14:textId="77777777" w:rsidR="009C27E9" w:rsidRPr="00EB00EE" w:rsidRDefault="009C27E9" w:rsidP="009C27E9">
      <w:pPr>
        <w:spacing w:line="276" w:lineRule="auto"/>
        <w:rPr>
          <w:rFonts w:asciiTheme="majorBidi" w:hAnsiTheme="majorBidi" w:cstheme="majorBidi"/>
          <w:szCs w:val="24"/>
          <w:lang w:val="en-GB"/>
        </w:rPr>
      </w:pPr>
    </w:p>
    <w:p w14:paraId="7A5424EB" w14:textId="77777777" w:rsidR="009C27E9" w:rsidRPr="00EB00EE" w:rsidRDefault="009C27E9" w:rsidP="009C27E9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Registration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of the application for access, including deadline for reply</w:t>
      </w:r>
      <w:r w:rsidRPr="00EB00EE">
        <w:rPr>
          <w:rStyle w:val="FootnoteReference"/>
          <w:rFonts w:asciiTheme="majorBidi" w:hAnsiTheme="majorBidi" w:cstheme="majorBidi"/>
          <w:szCs w:val="24"/>
          <w:lang w:val="en-GB"/>
        </w:rPr>
        <w:footnoteReference w:id="3"/>
      </w:r>
      <w:r w:rsidRPr="00EB00EE">
        <w:rPr>
          <w:rFonts w:asciiTheme="majorBidi" w:hAnsiTheme="majorBidi" w:cstheme="majorBidi"/>
          <w:szCs w:val="24"/>
          <w:lang w:val="en-GB"/>
        </w:rPr>
        <w:t>, and identification of the requested documents.</w:t>
      </w:r>
    </w:p>
    <w:p w14:paraId="09194895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2A023440" w14:textId="77777777" w:rsidR="009C27E9" w:rsidRPr="00EB00EE" w:rsidRDefault="009C27E9" w:rsidP="009C27E9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Examination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of the requested document(s) on the basis of Article 4 of Regulation 1049/2001 by DG COMM (Transparency Service).</w:t>
      </w:r>
    </w:p>
    <w:p w14:paraId="319B56F7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2F6401CC" w14:textId="77777777" w:rsidR="009C27E9" w:rsidRPr="00EB00EE" w:rsidRDefault="009C27E9" w:rsidP="009C27E9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 xml:space="preserve">Consultation </w:t>
      </w:r>
      <w:r w:rsidRPr="00EB00EE">
        <w:rPr>
          <w:rFonts w:asciiTheme="majorBidi" w:hAnsiTheme="majorBidi" w:cstheme="majorBidi"/>
          <w:szCs w:val="24"/>
          <w:lang w:val="en-GB"/>
        </w:rPr>
        <w:t>of the responsible GSC service by a member of the Transparency Service, making clear that access should in principle be granted unless the exceptional circumstances envisaged by the Court are met.</w:t>
      </w:r>
    </w:p>
    <w:p w14:paraId="2AA5AE33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3118B21F" w14:textId="77777777" w:rsidR="009C27E9" w:rsidRPr="00EB00EE" w:rsidRDefault="009C27E9" w:rsidP="009C27E9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Decision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on access, partial access or refusal. Any (partial) refusal must be motivated, based on the exceptions provided for in Article 4 of Regulation 1049/2001 and in line with the Court judgment. </w:t>
      </w:r>
    </w:p>
    <w:p w14:paraId="1B760FB4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1B4527F6" w14:textId="77777777" w:rsidR="009C27E9" w:rsidRPr="00EB00EE" w:rsidRDefault="009C27E9" w:rsidP="009C27E9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Letter of reply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is sent to the applicant within 15 working days of the reception of the request, possibly extended, containing the motivation in case of (partial) refusal. </w:t>
      </w:r>
    </w:p>
    <w:p w14:paraId="471ACB5A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69F8245E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b/>
          <w:bCs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The decision is taken by the General Secretariat (DG COMM on the basis of the consultation with the DG)</w:t>
      </w:r>
    </w:p>
    <w:p w14:paraId="6F9820D5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lang w:val="en-GB"/>
        </w:rPr>
      </w:pPr>
    </w:p>
    <w:p w14:paraId="3A3080CB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lang w:val="en-GB"/>
        </w:rPr>
      </w:pPr>
    </w:p>
    <w:p w14:paraId="71C9B77F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u w:val="single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u w:val="single"/>
          <w:lang w:val="en-GB"/>
        </w:rPr>
        <w:t>Confirmatory application</w:t>
      </w:r>
    </w:p>
    <w:p w14:paraId="6291757A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u w:val="single"/>
          <w:lang w:val="en-GB"/>
        </w:rPr>
      </w:pPr>
    </w:p>
    <w:p w14:paraId="0154AA5B" w14:textId="77777777" w:rsidR="009C27E9" w:rsidRPr="00EB00EE" w:rsidRDefault="009C27E9" w:rsidP="009C27E9">
      <w:pPr>
        <w:pStyle w:val="ListParagraph"/>
        <w:spacing w:line="276" w:lineRule="auto"/>
        <w:ind w:left="0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szCs w:val="24"/>
          <w:lang w:val="en-GB"/>
        </w:rPr>
        <w:t>In the event of partial access or a refusal of access, the applicant may, within 15 working days of receiving the reply, submit a confirmatory application asking the institution to reconsider its position.</w:t>
      </w:r>
    </w:p>
    <w:p w14:paraId="28182127" w14:textId="77777777" w:rsidR="009C27E9" w:rsidRPr="00EB00EE" w:rsidRDefault="009C27E9" w:rsidP="009C27E9">
      <w:pPr>
        <w:pStyle w:val="ListParagraph"/>
        <w:spacing w:line="276" w:lineRule="auto"/>
        <w:ind w:left="0"/>
        <w:rPr>
          <w:rFonts w:asciiTheme="majorBidi" w:hAnsiTheme="majorBidi" w:cstheme="majorBidi"/>
          <w:szCs w:val="24"/>
          <w:lang w:val="en-GB"/>
        </w:rPr>
      </w:pPr>
    </w:p>
    <w:p w14:paraId="40BCA292" w14:textId="77777777" w:rsidR="009C27E9" w:rsidRPr="00EB00EE" w:rsidRDefault="009C27E9" w:rsidP="009C27E9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Registration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of the confirmatory application for access to one or several documents and establishment of the 15 working-day deadline for reply.</w:t>
      </w:r>
    </w:p>
    <w:p w14:paraId="1FB5925F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13BD01B5" w14:textId="77777777" w:rsidR="009C27E9" w:rsidRPr="00EB00EE" w:rsidRDefault="009C27E9" w:rsidP="009C27E9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Re-examination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of the requested document(s) on the basis of Article 4 of Regulation 1049/2001 by DG COMM (Transparency Service) in cooperation with the </w:t>
      </w:r>
      <w:r w:rsidR="00376668">
        <w:rPr>
          <w:rFonts w:asciiTheme="majorBidi" w:hAnsiTheme="majorBidi" w:cstheme="majorBidi"/>
          <w:szCs w:val="24"/>
          <w:lang w:val="en-GB"/>
        </w:rPr>
        <w:t xml:space="preserve">Council </w:t>
      </w:r>
      <w:r w:rsidRPr="00EB00EE">
        <w:rPr>
          <w:rFonts w:asciiTheme="majorBidi" w:hAnsiTheme="majorBidi" w:cstheme="majorBidi"/>
          <w:szCs w:val="24"/>
          <w:lang w:val="en-GB"/>
        </w:rPr>
        <w:t>Legal Service.</w:t>
      </w:r>
    </w:p>
    <w:p w14:paraId="54F74343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2CDC3842" w14:textId="77777777" w:rsidR="009C27E9" w:rsidRPr="00EB00EE" w:rsidRDefault="009C27E9" w:rsidP="009C27E9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Re-consultation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of the originating service by a member of the Transparency Service.</w:t>
      </w:r>
    </w:p>
    <w:p w14:paraId="17670A6E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6707D841" w14:textId="77777777" w:rsidR="009C27E9" w:rsidRPr="00EB00EE" w:rsidRDefault="009C27E9" w:rsidP="009C27E9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lastRenderedPageBreak/>
        <w:t>Draft reply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is drawn up by the Transparency Service and submitted to the </w:t>
      </w:r>
      <w:r w:rsidR="00376668">
        <w:rPr>
          <w:rFonts w:asciiTheme="majorBidi" w:hAnsiTheme="majorBidi" w:cstheme="majorBidi"/>
          <w:szCs w:val="24"/>
          <w:lang w:val="en-GB"/>
        </w:rPr>
        <w:t xml:space="preserve">Council </w:t>
      </w:r>
      <w:r w:rsidRPr="00EB00EE">
        <w:rPr>
          <w:rFonts w:asciiTheme="majorBidi" w:hAnsiTheme="majorBidi" w:cstheme="majorBidi"/>
          <w:szCs w:val="24"/>
          <w:lang w:val="en-GB"/>
        </w:rPr>
        <w:t>Legal Service.</w:t>
      </w:r>
    </w:p>
    <w:p w14:paraId="33001B98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262F51DD" w14:textId="77777777" w:rsidR="009C27E9" w:rsidRPr="00EB00EE" w:rsidRDefault="009C27E9" w:rsidP="009C27E9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 xml:space="preserve">Approval by the Legal Service </w:t>
      </w:r>
      <w:r w:rsidRPr="00EB00EE">
        <w:rPr>
          <w:rFonts w:asciiTheme="majorBidi" w:hAnsiTheme="majorBidi" w:cstheme="majorBidi"/>
          <w:szCs w:val="24"/>
          <w:lang w:val="en-GB"/>
        </w:rPr>
        <w:t xml:space="preserve">of the draft reply </w:t>
      </w:r>
    </w:p>
    <w:p w14:paraId="0064553E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b/>
          <w:bCs/>
          <w:szCs w:val="24"/>
          <w:lang w:val="en-GB"/>
        </w:rPr>
      </w:pPr>
    </w:p>
    <w:p w14:paraId="2426E9B7" w14:textId="16C79B7D" w:rsidR="009C27E9" w:rsidRPr="00EB00EE" w:rsidRDefault="009C27E9" w:rsidP="00EC7584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Examination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by the </w:t>
      </w:r>
      <w:r w:rsidRPr="00EB00EE">
        <w:rPr>
          <w:rFonts w:asciiTheme="majorBidi" w:hAnsiTheme="majorBidi" w:cstheme="majorBidi"/>
          <w:szCs w:val="24"/>
          <w:u w:val="single"/>
          <w:lang w:val="en-GB"/>
        </w:rPr>
        <w:t>Information Working Party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of the </w:t>
      </w:r>
      <w:r w:rsidR="00EC7584">
        <w:rPr>
          <w:rFonts w:asciiTheme="majorBidi" w:hAnsiTheme="majorBidi" w:cstheme="majorBidi"/>
          <w:szCs w:val="24"/>
          <w:lang w:val="en-GB"/>
        </w:rPr>
        <w:t>proposed</w:t>
      </w:r>
      <w:r w:rsidRPr="00EB00EE">
        <w:rPr>
          <w:rFonts w:asciiTheme="majorBidi" w:hAnsiTheme="majorBidi" w:cstheme="majorBidi"/>
          <w:szCs w:val="24"/>
          <w:lang w:val="en-GB"/>
        </w:rPr>
        <w:t xml:space="preserve"> draft reply.</w:t>
      </w:r>
    </w:p>
    <w:p w14:paraId="03E0E22F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6551D89F" w14:textId="02A4D365" w:rsidR="009C27E9" w:rsidRPr="00EB00EE" w:rsidRDefault="009C27E9" w:rsidP="00EC7584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 xml:space="preserve">Approval by COREPER </w:t>
      </w:r>
      <w:r w:rsidR="00EC7584">
        <w:rPr>
          <w:rFonts w:asciiTheme="majorBidi" w:hAnsiTheme="majorBidi" w:cstheme="majorBidi"/>
          <w:szCs w:val="24"/>
          <w:lang w:val="en-GB"/>
        </w:rPr>
        <w:t xml:space="preserve">(generally </w:t>
      </w:r>
      <w:r w:rsidRPr="00EB00EE">
        <w:rPr>
          <w:rFonts w:asciiTheme="majorBidi" w:hAnsiTheme="majorBidi" w:cstheme="majorBidi"/>
          <w:szCs w:val="24"/>
          <w:lang w:val="en-GB"/>
        </w:rPr>
        <w:t>as an 'I' item</w:t>
      </w:r>
      <w:r w:rsidR="00EC7584">
        <w:rPr>
          <w:rFonts w:asciiTheme="majorBidi" w:hAnsiTheme="majorBidi" w:cstheme="majorBidi"/>
          <w:szCs w:val="24"/>
          <w:lang w:val="en-GB"/>
        </w:rPr>
        <w:t>)</w:t>
      </w:r>
      <w:r w:rsidRPr="00EB00EE">
        <w:rPr>
          <w:rFonts w:asciiTheme="majorBidi" w:hAnsiTheme="majorBidi" w:cstheme="majorBidi"/>
          <w:szCs w:val="24"/>
          <w:lang w:val="en-GB"/>
        </w:rPr>
        <w:t>.</w:t>
      </w:r>
    </w:p>
    <w:p w14:paraId="0FF04AC5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1071167A" w14:textId="77777777" w:rsidR="009C27E9" w:rsidRPr="00EB00EE" w:rsidRDefault="009C27E9" w:rsidP="00EC7584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 xml:space="preserve">Adoption by Council </w:t>
      </w:r>
      <w:r w:rsidRPr="00EB00EE">
        <w:rPr>
          <w:rFonts w:asciiTheme="majorBidi" w:hAnsiTheme="majorBidi" w:cstheme="majorBidi"/>
          <w:szCs w:val="24"/>
          <w:lang w:val="en-GB"/>
        </w:rPr>
        <w:t>acting by simple majority</w:t>
      </w:r>
      <w:r w:rsidR="00EC7584">
        <w:rPr>
          <w:rFonts w:asciiTheme="majorBidi" w:hAnsiTheme="majorBidi" w:cstheme="majorBidi"/>
          <w:szCs w:val="24"/>
          <w:lang w:val="en-GB"/>
        </w:rPr>
        <w:t xml:space="preserve"> (generally as an 'A' item)</w:t>
      </w:r>
      <w:r w:rsidRPr="00EB00EE">
        <w:rPr>
          <w:rFonts w:asciiTheme="majorBidi" w:hAnsiTheme="majorBidi" w:cstheme="majorBidi"/>
          <w:szCs w:val="24"/>
          <w:lang w:val="en-GB"/>
        </w:rPr>
        <w:t>.</w:t>
      </w:r>
    </w:p>
    <w:p w14:paraId="5D77EE8E" w14:textId="77777777" w:rsidR="009C27E9" w:rsidRPr="00EB00EE" w:rsidRDefault="009C27E9" w:rsidP="009C27E9">
      <w:pPr>
        <w:pStyle w:val="ListParagraph"/>
        <w:spacing w:line="276" w:lineRule="auto"/>
        <w:ind w:left="567"/>
        <w:rPr>
          <w:rFonts w:asciiTheme="majorBidi" w:hAnsiTheme="majorBidi" w:cstheme="majorBidi"/>
          <w:szCs w:val="24"/>
          <w:lang w:val="en-GB"/>
        </w:rPr>
      </w:pPr>
    </w:p>
    <w:p w14:paraId="5D07AC2E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lang w:val="en-GB"/>
        </w:rPr>
      </w:pPr>
      <w:r w:rsidRPr="00EB00EE">
        <w:rPr>
          <w:rFonts w:asciiTheme="majorBidi" w:hAnsiTheme="majorBidi" w:cstheme="majorBidi"/>
          <w:b/>
          <w:bCs/>
          <w:szCs w:val="24"/>
          <w:lang w:val="en-GB"/>
        </w:rPr>
        <w:t>The decision is taken by the Council.</w:t>
      </w:r>
    </w:p>
    <w:p w14:paraId="0A653E73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b/>
          <w:bCs/>
          <w:szCs w:val="24"/>
          <w:lang w:val="en-GB"/>
        </w:rPr>
      </w:pPr>
    </w:p>
    <w:p w14:paraId="69197E2B" w14:textId="77777777" w:rsidR="009C27E9" w:rsidRPr="000460F2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szCs w:val="24"/>
          <w:u w:val="single"/>
          <w:lang w:val="en-GB"/>
        </w:rPr>
      </w:pPr>
      <w:r w:rsidRPr="000460F2">
        <w:rPr>
          <w:rFonts w:asciiTheme="majorBidi" w:hAnsiTheme="majorBidi" w:cstheme="majorBidi"/>
          <w:szCs w:val="24"/>
          <w:u w:val="single"/>
          <w:lang w:val="en-GB"/>
        </w:rPr>
        <w:t>Statutory remedies</w:t>
      </w:r>
    </w:p>
    <w:p w14:paraId="120A20E6" w14:textId="77777777" w:rsidR="009C27E9" w:rsidRPr="00EB00EE" w:rsidRDefault="009C27E9" w:rsidP="009C27E9">
      <w:pPr>
        <w:pStyle w:val="ListParagraph"/>
        <w:spacing w:line="276" w:lineRule="auto"/>
        <w:ind w:left="567" w:hanging="567"/>
        <w:rPr>
          <w:rFonts w:asciiTheme="majorBidi" w:hAnsiTheme="majorBidi" w:cstheme="majorBidi"/>
          <w:szCs w:val="24"/>
          <w:lang w:val="en-GB"/>
        </w:rPr>
      </w:pPr>
    </w:p>
    <w:p w14:paraId="299CD2E6" w14:textId="77777777" w:rsidR="009C27E9" w:rsidRPr="00EB00EE" w:rsidRDefault="009C27E9" w:rsidP="009C27E9">
      <w:pPr>
        <w:pStyle w:val="ListParagraph"/>
        <w:spacing w:line="276" w:lineRule="auto"/>
        <w:ind w:left="0"/>
        <w:rPr>
          <w:rFonts w:asciiTheme="majorBidi" w:hAnsiTheme="majorBidi" w:cstheme="majorBidi"/>
          <w:szCs w:val="24"/>
          <w:lang w:val="en-GB"/>
        </w:rPr>
      </w:pPr>
      <w:r w:rsidRPr="00EB00EE">
        <w:rPr>
          <w:rFonts w:asciiTheme="majorBidi" w:hAnsiTheme="majorBidi" w:cstheme="majorBidi"/>
          <w:szCs w:val="24"/>
          <w:lang w:val="en-GB"/>
        </w:rPr>
        <w:t xml:space="preserve">In the event of a partial access or a refusal of access, the applicant may institute court proceedings (within 2 months) against the Council or make a complaint to the Ombudsman (within 2 years). This is also the case, if the Council fails to reply within the prescribed time limit.  </w:t>
      </w:r>
    </w:p>
    <w:p w14:paraId="00539601" w14:textId="77777777" w:rsidR="009C27E9" w:rsidRDefault="009C27E9" w:rsidP="009C27E9">
      <w:pPr>
        <w:pStyle w:val="ListParagraph"/>
        <w:spacing w:line="276" w:lineRule="auto"/>
        <w:ind w:left="0"/>
        <w:rPr>
          <w:rFonts w:asciiTheme="minorBidi" w:hAnsiTheme="minorBidi"/>
          <w:szCs w:val="24"/>
          <w:lang w:val="en-GB"/>
        </w:rPr>
      </w:pPr>
    </w:p>
    <w:p w14:paraId="21AE4CAD" w14:textId="77777777" w:rsidR="009C27E9" w:rsidRDefault="009C27E9" w:rsidP="009C27E9">
      <w:pPr>
        <w:pStyle w:val="ListParagraph"/>
        <w:spacing w:line="276" w:lineRule="auto"/>
        <w:ind w:left="0"/>
        <w:jc w:val="center"/>
        <w:rPr>
          <w:rFonts w:asciiTheme="minorBidi" w:hAnsiTheme="minorBidi"/>
          <w:sz w:val="22"/>
          <w:lang w:val="en-GB"/>
        </w:rPr>
      </w:pPr>
    </w:p>
    <w:p w14:paraId="36C0580D" w14:textId="77777777" w:rsidR="0067693E" w:rsidRDefault="007445FC" w:rsidP="009C27E9">
      <w:pPr>
        <w:pStyle w:val="ListParagraph"/>
        <w:spacing w:line="276" w:lineRule="auto"/>
        <w:ind w:left="0"/>
        <w:jc w:val="center"/>
        <w:rPr>
          <w:rFonts w:asciiTheme="minorBidi" w:hAnsiTheme="minorBidi"/>
          <w:sz w:val="22"/>
          <w:lang w:val="en-GB"/>
        </w:rPr>
      </w:pPr>
      <w:r>
        <w:rPr>
          <w:rFonts w:asciiTheme="minorBidi" w:hAnsiTheme="minorBidi"/>
          <w:sz w:val="22"/>
          <w:lang w:val="en-GB"/>
        </w:rPr>
        <w:t>------------------------------</w:t>
      </w:r>
    </w:p>
    <w:p w14:paraId="0BFEAC5D" w14:textId="77777777" w:rsidR="00680D84" w:rsidRDefault="00680D84">
      <w:pPr>
        <w:spacing w:after="200" w:line="276" w:lineRule="auto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br w:type="page"/>
      </w:r>
    </w:p>
    <w:p w14:paraId="19719FEC" w14:textId="77777777" w:rsidR="00AC2BAA" w:rsidRDefault="00680D84" w:rsidP="00AC2BAA">
      <w:pPr>
        <w:spacing w:after="200" w:line="276" w:lineRule="auto"/>
        <w:jc w:val="right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lastRenderedPageBreak/>
        <w:t>ANNEX II</w:t>
      </w:r>
      <w:r w:rsidR="00AC2BAA">
        <w:rPr>
          <w:rFonts w:asciiTheme="majorBidi" w:hAnsiTheme="majorBidi" w:cstheme="majorBidi"/>
          <w:szCs w:val="24"/>
          <w:lang w:val="en-GB"/>
        </w:rPr>
        <w:t>I</w:t>
      </w:r>
    </w:p>
    <w:tbl>
      <w:tblPr>
        <w:tblW w:w="10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6"/>
        <w:gridCol w:w="1426"/>
        <w:gridCol w:w="1426"/>
        <w:gridCol w:w="1426"/>
        <w:gridCol w:w="1426"/>
        <w:gridCol w:w="1426"/>
      </w:tblGrid>
      <w:tr w:rsidR="00310E61" w:rsidRPr="00310E61" w14:paraId="7E19B14C" w14:textId="77777777" w:rsidTr="00A03B5C">
        <w:trPr>
          <w:trHeight w:hRule="exact" w:val="674"/>
        </w:trPr>
        <w:tc>
          <w:tcPr>
            <w:tcW w:w="333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E60EC" w14:textId="0AAC9D33" w:rsidR="00310E61" w:rsidRPr="00310E61" w:rsidRDefault="00310E61" w:rsidP="00AC2BAA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b/>
                <w:szCs w:val="24"/>
                <w:lang w:val="en-GB"/>
              </w:rPr>
              <w:t>Policy area of requested documents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8FC13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2013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14:paraId="616B438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2014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14:paraId="6B0AC86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2015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14:paraId="17B78F0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7F7F25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2017</w:t>
            </w:r>
          </w:p>
        </w:tc>
      </w:tr>
      <w:tr w:rsidR="00310E61" w:rsidRPr="00310E61" w14:paraId="41FA9BE5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3AB3B6C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Agriculture, Fisheries</w:t>
            </w:r>
          </w:p>
        </w:tc>
        <w:tc>
          <w:tcPr>
            <w:tcW w:w="1426" w:type="dxa"/>
            <w:vAlign w:val="center"/>
          </w:tcPr>
          <w:p w14:paraId="1B78E2F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3%</w:t>
            </w:r>
          </w:p>
        </w:tc>
        <w:tc>
          <w:tcPr>
            <w:tcW w:w="1426" w:type="dxa"/>
            <w:vAlign w:val="center"/>
          </w:tcPr>
          <w:p w14:paraId="07A7E75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4,9%</w:t>
            </w:r>
          </w:p>
        </w:tc>
        <w:tc>
          <w:tcPr>
            <w:tcW w:w="1426" w:type="dxa"/>
            <w:vAlign w:val="center"/>
          </w:tcPr>
          <w:p w14:paraId="4F61A9C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3,6%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70BAF63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5,2%</w:t>
            </w:r>
          </w:p>
        </w:tc>
        <w:tc>
          <w:tcPr>
            <w:tcW w:w="1426" w:type="dxa"/>
            <w:vAlign w:val="center"/>
          </w:tcPr>
          <w:p w14:paraId="4F852573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"agri5"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4,9%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756BD086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463B885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Internal Market</w:t>
            </w:r>
          </w:p>
        </w:tc>
        <w:tc>
          <w:tcPr>
            <w:tcW w:w="1426" w:type="dxa"/>
            <w:vAlign w:val="center"/>
          </w:tcPr>
          <w:p w14:paraId="74EA5DE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11,7%</w:t>
            </w:r>
          </w:p>
        </w:tc>
        <w:tc>
          <w:tcPr>
            <w:tcW w:w="1426" w:type="dxa"/>
            <w:vAlign w:val="center"/>
          </w:tcPr>
          <w:p w14:paraId="5E20464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6,7%</w:t>
            </w:r>
          </w:p>
        </w:tc>
        <w:tc>
          <w:tcPr>
            <w:tcW w:w="1426" w:type="dxa"/>
            <w:vAlign w:val="center"/>
          </w:tcPr>
          <w:p w14:paraId="1734B47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8,3%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5BFCD6B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5,3%</w:t>
            </w:r>
          </w:p>
        </w:tc>
        <w:tc>
          <w:tcPr>
            <w:tcW w:w="1426" w:type="dxa"/>
            <w:vAlign w:val="center"/>
          </w:tcPr>
          <w:p w14:paraId="0DC5B98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"internal5"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6,4%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67F914AA" w14:textId="77777777" w:rsidTr="00A03B5C">
        <w:trPr>
          <w:cantSplit/>
          <w:trHeight w:val="401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442BAC6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Research</w:t>
            </w:r>
          </w:p>
        </w:tc>
        <w:tc>
          <w:tcPr>
            <w:tcW w:w="1426" w:type="dxa"/>
            <w:vAlign w:val="center"/>
          </w:tcPr>
          <w:p w14:paraId="5A80B6E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2,1%</w:t>
            </w:r>
          </w:p>
        </w:tc>
        <w:tc>
          <w:tcPr>
            <w:tcW w:w="1426" w:type="dxa"/>
            <w:vAlign w:val="center"/>
          </w:tcPr>
          <w:p w14:paraId="16F6194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1,1%</w:t>
            </w:r>
          </w:p>
        </w:tc>
        <w:tc>
          <w:tcPr>
            <w:tcW w:w="1426" w:type="dxa"/>
            <w:vAlign w:val="center"/>
          </w:tcPr>
          <w:p w14:paraId="7A33C22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0,1%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EAD4A4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0,3%</w:t>
            </w:r>
          </w:p>
        </w:tc>
        <w:tc>
          <w:tcPr>
            <w:tcW w:w="1426" w:type="dxa"/>
            <w:vAlign w:val="center"/>
          </w:tcPr>
          <w:p w14:paraId="49088C3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"rese5"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0,2%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4191F632" w14:textId="77777777" w:rsidTr="00A03B5C">
        <w:trPr>
          <w:cantSplit/>
          <w:trHeight w:hRule="exact" w:val="418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599ABE6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Culture</w:t>
            </w:r>
          </w:p>
        </w:tc>
        <w:tc>
          <w:tcPr>
            <w:tcW w:w="1426" w:type="dxa"/>
            <w:vAlign w:val="center"/>
          </w:tcPr>
          <w:p w14:paraId="2087974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0CC2CC5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vAlign w:val="center"/>
          </w:tcPr>
          <w:p w14:paraId="282702A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7B9C6AB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0,9%</w:t>
            </w:r>
          </w:p>
        </w:tc>
        <w:tc>
          <w:tcPr>
            <w:tcW w:w="1426" w:type="dxa"/>
            <w:vAlign w:val="center"/>
          </w:tcPr>
          <w:p w14:paraId="3AB80B3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"cult5"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0,9%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3A2DE6D7" w14:textId="77777777" w:rsidTr="00A03B5C">
        <w:trPr>
          <w:cantSplit/>
          <w:trHeight w:hRule="exact" w:val="424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179EBA2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Education/Youth</w:t>
            </w:r>
          </w:p>
        </w:tc>
        <w:tc>
          <w:tcPr>
            <w:tcW w:w="1426" w:type="dxa"/>
            <w:vAlign w:val="center"/>
          </w:tcPr>
          <w:p w14:paraId="3F572EE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0,6%</w:t>
            </w:r>
          </w:p>
        </w:tc>
        <w:tc>
          <w:tcPr>
            <w:tcW w:w="1426" w:type="dxa"/>
            <w:vAlign w:val="center"/>
          </w:tcPr>
          <w:p w14:paraId="0EAFF0A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0EAFCCC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094F91D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4C998FC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"educ5"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0,8%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5063289B" w14:textId="77777777" w:rsidTr="00A03B5C">
        <w:trPr>
          <w:cantSplit/>
          <w:trHeight w:hRule="exact" w:val="436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0DFD9143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Competitiveness</w:t>
            </w:r>
          </w:p>
        </w:tc>
        <w:tc>
          <w:tcPr>
            <w:tcW w:w="1426" w:type="dxa"/>
            <w:vAlign w:val="center"/>
          </w:tcPr>
          <w:p w14:paraId="53BA71E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nl-NL"/>
              </w:rPr>
              <w:t>1,1%</w:t>
            </w:r>
          </w:p>
        </w:tc>
        <w:tc>
          <w:tcPr>
            <w:tcW w:w="1426" w:type="dxa"/>
            <w:vAlign w:val="center"/>
          </w:tcPr>
          <w:p w14:paraId="32B1B95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1,1%</w:t>
            </w:r>
          </w:p>
        </w:tc>
        <w:tc>
          <w:tcPr>
            <w:tcW w:w="1426" w:type="dxa"/>
            <w:vAlign w:val="center"/>
          </w:tcPr>
          <w:p w14:paraId="671F039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BD95CF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4CCF866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"comp5"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1,7%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5A287A4E" w14:textId="77777777" w:rsidTr="00A03B5C">
        <w:trPr>
          <w:cantSplit/>
          <w:trHeight w:hRule="exact" w:val="43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0719955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Energy</w:t>
            </w:r>
          </w:p>
        </w:tc>
        <w:tc>
          <w:tcPr>
            <w:tcW w:w="1426" w:type="dxa"/>
            <w:vAlign w:val="center"/>
          </w:tcPr>
          <w:p w14:paraId="7B829B3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2%</w:t>
            </w:r>
          </w:p>
        </w:tc>
        <w:tc>
          <w:tcPr>
            <w:tcW w:w="1426" w:type="dxa"/>
            <w:vAlign w:val="center"/>
          </w:tcPr>
          <w:p w14:paraId="5C8A90A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1,3%</w:t>
            </w:r>
          </w:p>
        </w:tc>
        <w:tc>
          <w:tcPr>
            <w:tcW w:w="1426" w:type="dxa"/>
            <w:vAlign w:val="center"/>
          </w:tcPr>
          <w:p w14:paraId="4ADC760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0,9%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06A944E3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0,7%</w:t>
            </w:r>
          </w:p>
        </w:tc>
        <w:tc>
          <w:tcPr>
            <w:tcW w:w="1426" w:type="dxa"/>
            <w:vAlign w:val="center"/>
          </w:tcPr>
          <w:p w14:paraId="26C4777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"ener5"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3,8%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68513BDB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5DE8ED4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Transport</w:t>
            </w:r>
          </w:p>
        </w:tc>
        <w:tc>
          <w:tcPr>
            <w:tcW w:w="1426" w:type="dxa"/>
            <w:vAlign w:val="center"/>
          </w:tcPr>
          <w:p w14:paraId="4BE2DE8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 xml:space="preserve">2,6% </w:t>
            </w:r>
          </w:p>
        </w:tc>
        <w:tc>
          <w:tcPr>
            <w:tcW w:w="1426" w:type="dxa"/>
            <w:vAlign w:val="center"/>
          </w:tcPr>
          <w:p w14:paraId="597FF44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3,9%</w:t>
            </w:r>
          </w:p>
        </w:tc>
        <w:tc>
          <w:tcPr>
            <w:tcW w:w="1426" w:type="dxa"/>
            <w:vAlign w:val="center"/>
          </w:tcPr>
          <w:p w14:paraId="1CCB1EB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3,3%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3765FA9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6,5%</w:t>
            </w:r>
          </w:p>
        </w:tc>
        <w:tc>
          <w:tcPr>
            <w:tcW w:w="1426" w:type="dxa"/>
            <w:vAlign w:val="center"/>
          </w:tcPr>
          <w:p w14:paraId="5E4A6D5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"transp5"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4,2%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4A3E4D0B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0F72229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Environment</w:t>
            </w:r>
          </w:p>
        </w:tc>
        <w:tc>
          <w:tcPr>
            <w:tcW w:w="1426" w:type="dxa"/>
            <w:vAlign w:val="center"/>
          </w:tcPr>
          <w:p w14:paraId="28A4DEA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12,6%</w:t>
            </w:r>
          </w:p>
        </w:tc>
        <w:tc>
          <w:tcPr>
            <w:tcW w:w="1426" w:type="dxa"/>
            <w:vAlign w:val="center"/>
          </w:tcPr>
          <w:p w14:paraId="57FDAB0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13,1%</w:t>
            </w:r>
          </w:p>
        </w:tc>
        <w:tc>
          <w:tcPr>
            <w:tcW w:w="1426" w:type="dxa"/>
            <w:vAlign w:val="center"/>
          </w:tcPr>
          <w:p w14:paraId="399795B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8%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0756993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11%</w:t>
            </w:r>
          </w:p>
        </w:tc>
        <w:tc>
          <w:tcPr>
            <w:tcW w:w="1426" w:type="dxa"/>
            <w:vAlign w:val="center"/>
          </w:tcPr>
          <w:p w14:paraId="203FCA3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"envir5"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13,7%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023027DD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531E726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Health and Consumer Protection</w:t>
            </w:r>
          </w:p>
        </w:tc>
        <w:tc>
          <w:tcPr>
            <w:tcW w:w="1426" w:type="dxa"/>
            <w:vAlign w:val="center"/>
          </w:tcPr>
          <w:p w14:paraId="5217468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4,5%</w:t>
            </w:r>
          </w:p>
        </w:tc>
        <w:tc>
          <w:tcPr>
            <w:tcW w:w="1426" w:type="dxa"/>
            <w:vAlign w:val="center"/>
          </w:tcPr>
          <w:p w14:paraId="61F9D84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6,1%</w:t>
            </w:r>
          </w:p>
        </w:tc>
        <w:tc>
          <w:tcPr>
            <w:tcW w:w="1426" w:type="dxa"/>
            <w:vAlign w:val="center"/>
          </w:tcPr>
          <w:p w14:paraId="48EBD65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5,2%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A8AB5A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4,7%</w:t>
            </w:r>
          </w:p>
        </w:tc>
        <w:tc>
          <w:tcPr>
            <w:tcW w:w="1426" w:type="dxa"/>
            <w:vAlign w:val="center"/>
          </w:tcPr>
          <w:p w14:paraId="5668812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"health5"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2,8%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467D6C08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0C76099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Economic and Monetary Policy</w:t>
            </w:r>
          </w:p>
        </w:tc>
        <w:tc>
          <w:tcPr>
            <w:tcW w:w="1426" w:type="dxa"/>
            <w:vAlign w:val="center"/>
          </w:tcPr>
          <w:p w14:paraId="275A206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8,7%</w:t>
            </w:r>
          </w:p>
        </w:tc>
        <w:tc>
          <w:tcPr>
            <w:tcW w:w="1426" w:type="dxa"/>
            <w:vAlign w:val="center"/>
          </w:tcPr>
          <w:p w14:paraId="4799CB4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4%</w:t>
            </w:r>
          </w:p>
        </w:tc>
        <w:tc>
          <w:tcPr>
            <w:tcW w:w="1426" w:type="dxa"/>
            <w:vAlign w:val="center"/>
          </w:tcPr>
          <w:p w14:paraId="7218326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8,5%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552863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8,3%</w:t>
            </w:r>
          </w:p>
        </w:tc>
        <w:tc>
          <w:tcPr>
            <w:tcW w:w="1426" w:type="dxa"/>
            <w:vAlign w:val="center"/>
          </w:tcPr>
          <w:p w14:paraId="69F3BBE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"econo5"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9,4%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6361C00D" w14:textId="77777777" w:rsidTr="00A03B5C">
        <w:trPr>
          <w:cantSplit/>
          <w:trHeight w:hRule="exact" w:val="47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54A64F3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Tax Questions – Fiscal Issues</w:t>
            </w:r>
          </w:p>
        </w:tc>
        <w:tc>
          <w:tcPr>
            <w:tcW w:w="1426" w:type="dxa"/>
            <w:vAlign w:val="center"/>
          </w:tcPr>
          <w:p w14:paraId="0B38CDF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3,7%</w:t>
            </w:r>
          </w:p>
        </w:tc>
        <w:tc>
          <w:tcPr>
            <w:tcW w:w="1426" w:type="dxa"/>
            <w:vAlign w:val="center"/>
          </w:tcPr>
          <w:p w14:paraId="1D41407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4,2%</w:t>
            </w:r>
          </w:p>
        </w:tc>
        <w:tc>
          <w:tcPr>
            <w:tcW w:w="1426" w:type="dxa"/>
            <w:vAlign w:val="center"/>
          </w:tcPr>
          <w:p w14:paraId="6B51D0C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4,3%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3CC2E55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6,5%</w:t>
            </w:r>
          </w:p>
        </w:tc>
        <w:tc>
          <w:tcPr>
            <w:tcW w:w="1426" w:type="dxa"/>
            <w:vAlign w:val="center"/>
          </w:tcPr>
          <w:p w14:paraId="1BE60BD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"tax_5"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5,7%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6A3AD88C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3811975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External Relations – CFSP</w:t>
            </w:r>
          </w:p>
        </w:tc>
        <w:tc>
          <w:tcPr>
            <w:tcW w:w="1426" w:type="dxa"/>
            <w:vAlign w:val="center"/>
          </w:tcPr>
          <w:p w14:paraId="15E82F5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8,1%</w:t>
            </w:r>
          </w:p>
        </w:tc>
        <w:tc>
          <w:tcPr>
            <w:tcW w:w="1426" w:type="dxa"/>
            <w:vAlign w:val="center"/>
          </w:tcPr>
          <w:p w14:paraId="076DCA3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10,6%</w:t>
            </w:r>
          </w:p>
        </w:tc>
        <w:tc>
          <w:tcPr>
            <w:tcW w:w="1426" w:type="dxa"/>
            <w:vAlign w:val="center"/>
          </w:tcPr>
          <w:p w14:paraId="19F2979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12,7%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0AAF256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10,2%</w:t>
            </w:r>
          </w:p>
        </w:tc>
        <w:tc>
          <w:tcPr>
            <w:tcW w:w="1426" w:type="dxa"/>
            <w:vAlign w:val="center"/>
          </w:tcPr>
          <w:p w14:paraId="7C3A78D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"external5"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10,2%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7FCDAF03" w14:textId="77777777" w:rsidTr="00A03B5C">
        <w:trPr>
          <w:cantSplit/>
          <w:trHeight w:hRule="exact" w:val="423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6E926A3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Civilian Protection</w:t>
            </w:r>
          </w:p>
        </w:tc>
        <w:tc>
          <w:tcPr>
            <w:tcW w:w="1426" w:type="dxa"/>
            <w:vAlign w:val="center"/>
          </w:tcPr>
          <w:p w14:paraId="0201CDC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0,8%</w:t>
            </w:r>
          </w:p>
        </w:tc>
        <w:tc>
          <w:tcPr>
            <w:tcW w:w="1426" w:type="dxa"/>
            <w:vAlign w:val="center"/>
          </w:tcPr>
          <w:p w14:paraId="1A3EE55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0,6%</w:t>
            </w:r>
          </w:p>
        </w:tc>
        <w:tc>
          <w:tcPr>
            <w:tcW w:w="1426" w:type="dxa"/>
            <w:vAlign w:val="center"/>
          </w:tcPr>
          <w:p w14:paraId="79F102F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0,3%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E0C803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309FDC2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"civi5"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73E319C2" w14:textId="77777777" w:rsidTr="00A03B5C">
        <w:trPr>
          <w:cantSplit/>
          <w:trHeight w:hRule="exact" w:val="414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10C0070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Enlargement</w:t>
            </w:r>
          </w:p>
        </w:tc>
        <w:tc>
          <w:tcPr>
            <w:tcW w:w="1426" w:type="dxa"/>
            <w:vAlign w:val="center"/>
          </w:tcPr>
          <w:p w14:paraId="31DAFBB3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vAlign w:val="center"/>
          </w:tcPr>
          <w:p w14:paraId="38F6DF8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vAlign w:val="center"/>
          </w:tcPr>
          <w:p w14:paraId="71EA7EF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0,6%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4C1658D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0,7%</w:t>
            </w:r>
          </w:p>
        </w:tc>
        <w:tc>
          <w:tcPr>
            <w:tcW w:w="1426" w:type="dxa"/>
            <w:vAlign w:val="center"/>
          </w:tcPr>
          <w:p w14:paraId="105A510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"enla5"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33A1137C" w14:textId="77777777" w:rsidTr="00A03B5C">
        <w:trPr>
          <w:cantSplit/>
          <w:trHeight w:hRule="exact" w:val="454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6A602BB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Defence and Military matters</w:t>
            </w:r>
          </w:p>
        </w:tc>
        <w:tc>
          <w:tcPr>
            <w:tcW w:w="1426" w:type="dxa"/>
            <w:vAlign w:val="center"/>
          </w:tcPr>
          <w:p w14:paraId="067A48F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2,5%</w:t>
            </w:r>
          </w:p>
        </w:tc>
        <w:tc>
          <w:tcPr>
            <w:tcW w:w="1426" w:type="dxa"/>
            <w:vAlign w:val="center"/>
          </w:tcPr>
          <w:p w14:paraId="1C4E607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0,8%</w:t>
            </w:r>
          </w:p>
        </w:tc>
        <w:tc>
          <w:tcPr>
            <w:tcW w:w="1426" w:type="dxa"/>
            <w:vAlign w:val="center"/>
          </w:tcPr>
          <w:p w14:paraId="05D746D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1,4%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EC573E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1%</w:t>
            </w:r>
          </w:p>
        </w:tc>
        <w:tc>
          <w:tcPr>
            <w:tcW w:w="1426" w:type="dxa"/>
            <w:vAlign w:val="center"/>
          </w:tcPr>
          <w:p w14:paraId="67FB6D6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"defe5"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1,1%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122FE54D" w14:textId="77777777" w:rsidTr="00A03B5C">
        <w:trPr>
          <w:cantSplit/>
          <w:trHeight w:hRule="exact" w:val="404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45755AA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Assistance for Development</w:t>
            </w:r>
          </w:p>
        </w:tc>
        <w:tc>
          <w:tcPr>
            <w:tcW w:w="1426" w:type="dxa"/>
            <w:vAlign w:val="center"/>
          </w:tcPr>
          <w:p w14:paraId="4224AED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vAlign w:val="center"/>
          </w:tcPr>
          <w:p w14:paraId="14550C1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0,1%</w:t>
            </w:r>
          </w:p>
        </w:tc>
        <w:tc>
          <w:tcPr>
            <w:tcW w:w="1426" w:type="dxa"/>
            <w:vAlign w:val="center"/>
          </w:tcPr>
          <w:p w14:paraId="1DBE4E03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8C399A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</w:p>
        </w:tc>
        <w:tc>
          <w:tcPr>
            <w:tcW w:w="1426" w:type="dxa"/>
            <w:vAlign w:val="center"/>
          </w:tcPr>
          <w:p w14:paraId="72E9E62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"assi5"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0,2%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0BB9E818" w14:textId="77777777" w:rsidTr="00A03B5C">
        <w:trPr>
          <w:cantSplit/>
          <w:trHeight w:hRule="exact" w:val="739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527C812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Regional Policy and Economical/Social Cohesion</w:t>
            </w:r>
          </w:p>
        </w:tc>
        <w:tc>
          <w:tcPr>
            <w:tcW w:w="1426" w:type="dxa"/>
            <w:vAlign w:val="center"/>
          </w:tcPr>
          <w:p w14:paraId="0D74A31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0,1%</w:t>
            </w:r>
          </w:p>
        </w:tc>
        <w:tc>
          <w:tcPr>
            <w:tcW w:w="1426" w:type="dxa"/>
            <w:vAlign w:val="center"/>
          </w:tcPr>
          <w:p w14:paraId="4EA294D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0,3%</w:t>
            </w:r>
          </w:p>
        </w:tc>
        <w:tc>
          <w:tcPr>
            <w:tcW w:w="1426" w:type="dxa"/>
            <w:vAlign w:val="center"/>
          </w:tcPr>
          <w:p w14:paraId="4E348E8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514D11D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0,1%</w:t>
            </w:r>
          </w:p>
        </w:tc>
        <w:tc>
          <w:tcPr>
            <w:tcW w:w="1426" w:type="dxa"/>
            <w:vAlign w:val="center"/>
          </w:tcPr>
          <w:p w14:paraId="14B2001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"regi5"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358E419C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7609989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Social Policy</w:t>
            </w:r>
          </w:p>
        </w:tc>
        <w:tc>
          <w:tcPr>
            <w:tcW w:w="1426" w:type="dxa"/>
            <w:vAlign w:val="center"/>
          </w:tcPr>
          <w:p w14:paraId="6930AC3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5,2%</w:t>
            </w:r>
          </w:p>
        </w:tc>
        <w:tc>
          <w:tcPr>
            <w:tcW w:w="1426" w:type="dxa"/>
            <w:vAlign w:val="center"/>
          </w:tcPr>
          <w:p w14:paraId="0B4B39C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5,1%</w:t>
            </w:r>
          </w:p>
        </w:tc>
        <w:tc>
          <w:tcPr>
            <w:tcW w:w="1426" w:type="dxa"/>
            <w:vAlign w:val="center"/>
          </w:tcPr>
          <w:p w14:paraId="5FF38C6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4,1%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D5E762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3,5%</w:t>
            </w:r>
          </w:p>
        </w:tc>
        <w:tc>
          <w:tcPr>
            <w:tcW w:w="1426" w:type="dxa"/>
            <w:vAlign w:val="center"/>
          </w:tcPr>
          <w:p w14:paraId="4BE89AF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"social5"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4,1%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766AF7C0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2D77E0E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Justice and Home Affairs</w:t>
            </w:r>
          </w:p>
        </w:tc>
        <w:tc>
          <w:tcPr>
            <w:tcW w:w="1426" w:type="dxa"/>
            <w:vAlign w:val="center"/>
          </w:tcPr>
          <w:p w14:paraId="6AFADE1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16,8%</w:t>
            </w:r>
          </w:p>
        </w:tc>
        <w:tc>
          <w:tcPr>
            <w:tcW w:w="1426" w:type="dxa"/>
            <w:vAlign w:val="center"/>
          </w:tcPr>
          <w:p w14:paraId="35272E1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23,4%</w:t>
            </w:r>
          </w:p>
        </w:tc>
        <w:tc>
          <w:tcPr>
            <w:tcW w:w="1426" w:type="dxa"/>
            <w:vAlign w:val="center"/>
          </w:tcPr>
          <w:p w14:paraId="3B1EF2A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27,4%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D4FDE8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19,1%</w:t>
            </w:r>
          </w:p>
        </w:tc>
        <w:tc>
          <w:tcPr>
            <w:tcW w:w="1426" w:type="dxa"/>
            <w:vAlign w:val="center"/>
          </w:tcPr>
          <w:p w14:paraId="6C182C5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"justi5"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15,9%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5CA7DB04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00AF664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Legal questions</w:t>
            </w:r>
          </w:p>
        </w:tc>
        <w:tc>
          <w:tcPr>
            <w:tcW w:w="1426" w:type="dxa"/>
            <w:vAlign w:val="center"/>
          </w:tcPr>
          <w:p w14:paraId="63F3906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5,1%</w:t>
            </w:r>
          </w:p>
        </w:tc>
        <w:tc>
          <w:tcPr>
            <w:tcW w:w="1426" w:type="dxa"/>
            <w:vAlign w:val="center"/>
          </w:tcPr>
          <w:p w14:paraId="11F88F4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3,6%</w:t>
            </w:r>
          </w:p>
        </w:tc>
        <w:tc>
          <w:tcPr>
            <w:tcW w:w="1426" w:type="dxa"/>
            <w:vAlign w:val="center"/>
          </w:tcPr>
          <w:p w14:paraId="079C4D8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2,2%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2575EF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3,5%</w:t>
            </w:r>
          </w:p>
        </w:tc>
        <w:tc>
          <w:tcPr>
            <w:tcW w:w="1426" w:type="dxa"/>
            <w:vAlign w:val="center"/>
          </w:tcPr>
          <w:p w14:paraId="3CE29CD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"legal5"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3,4%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554994B4" w14:textId="77777777" w:rsidTr="00A03B5C">
        <w:trPr>
          <w:trHeight w:hRule="exact" w:val="446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2E8A0C6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Functioning of the institutions</w:t>
            </w:r>
          </w:p>
        </w:tc>
        <w:tc>
          <w:tcPr>
            <w:tcW w:w="1426" w:type="dxa"/>
            <w:vAlign w:val="center"/>
          </w:tcPr>
          <w:p w14:paraId="010AD77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2,8%</w:t>
            </w:r>
          </w:p>
        </w:tc>
        <w:tc>
          <w:tcPr>
            <w:tcW w:w="1426" w:type="dxa"/>
            <w:vAlign w:val="center"/>
          </w:tcPr>
          <w:p w14:paraId="17F8900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2,8%</w:t>
            </w:r>
          </w:p>
        </w:tc>
        <w:tc>
          <w:tcPr>
            <w:tcW w:w="1426" w:type="dxa"/>
            <w:vAlign w:val="center"/>
          </w:tcPr>
          <w:p w14:paraId="35B92A7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3,3%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B9DF93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6,2%</w:t>
            </w:r>
          </w:p>
        </w:tc>
        <w:tc>
          <w:tcPr>
            <w:tcW w:w="1426" w:type="dxa"/>
            <w:vAlign w:val="center"/>
          </w:tcPr>
          <w:p w14:paraId="166FACE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"insti5"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2,8%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13302766" w14:textId="77777777" w:rsidTr="00A03B5C">
        <w:trPr>
          <w:cantSplit/>
          <w:trHeight w:hRule="exact" w:val="66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02DA955C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Financing of the Union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br/>
              <w:t>(Budget, Statute)</w:t>
            </w:r>
          </w:p>
        </w:tc>
        <w:tc>
          <w:tcPr>
            <w:tcW w:w="1426" w:type="dxa"/>
            <w:vAlign w:val="center"/>
          </w:tcPr>
          <w:p w14:paraId="16A0A75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0,4%</w:t>
            </w:r>
          </w:p>
        </w:tc>
        <w:tc>
          <w:tcPr>
            <w:tcW w:w="1426" w:type="dxa"/>
            <w:vAlign w:val="center"/>
          </w:tcPr>
          <w:p w14:paraId="2C4081E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0,2%</w:t>
            </w:r>
          </w:p>
        </w:tc>
        <w:tc>
          <w:tcPr>
            <w:tcW w:w="1426" w:type="dxa"/>
            <w:vAlign w:val="center"/>
          </w:tcPr>
          <w:p w14:paraId="41C589B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0,1%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523FF2F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0,1%</w:t>
            </w:r>
          </w:p>
        </w:tc>
        <w:tc>
          <w:tcPr>
            <w:tcW w:w="1426" w:type="dxa"/>
            <w:vAlign w:val="center"/>
          </w:tcPr>
          <w:p w14:paraId="7A57BE6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"fina5"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06DD70E3" w14:textId="77777777" w:rsidTr="00A03B5C">
        <w:trPr>
          <w:trHeight w:hRule="exact" w:val="402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39642D87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Transparency</w:t>
            </w:r>
          </w:p>
        </w:tc>
        <w:tc>
          <w:tcPr>
            <w:tcW w:w="1426" w:type="dxa"/>
            <w:vAlign w:val="center"/>
          </w:tcPr>
          <w:p w14:paraId="533353B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732015E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30F5517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4E439A4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1281566E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"transpa5"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0,7%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6C096DA3" w14:textId="77777777" w:rsidTr="00A03B5C">
        <w:trPr>
          <w:trHeight w:hRule="exact" w:val="450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78406D6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General policy questions</w:t>
            </w:r>
          </w:p>
        </w:tc>
        <w:tc>
          <w:tcPr>
            <w:tcW w:w="1426" w:type="dxa"/>
            <w:vAlign w:val="center"/>
          </w:tcPr>
          <w:p w14:paraId="5AB230C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1,1%</w:t>
            </w:r>
          </w:p>
        </w:tc>
        <w:tc>
          <w:tcPr>
            <w:tcW w:w="1426" w:type="dxa"/>
            <w:vAlign w:val="center"/>
          </w:tcPr>
          <w:p w14:paraId="0106483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1,8%</w:t>
            </w:r>
          </w:p>
        </w:tc>
        <w:tc>
          <w:tcPr>
            <w:tcW w:w="1426" w:type="dxa"/>
            <w:vAlign w:val="center"/>
          </w:tcPr>
          <w:p w14:paraId="690C49FA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1,6%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77EF54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1,3%</w:t>
            </w:r>
          </w:p>
        </w:tc>
        <w:tc>
          <w:tcPr>
            <w:tcW w:w="1426" w:type="dxa"/>
            <w:vAlign w:val="center"/>
          </w:tcPr>
          <w:p w14:paraId="7C949AF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"general5"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1,2%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782AAACA" w14:textId="77777777" w:rsidTr="00A03B5C">
        <w:trPr>
          <w:cantSplit/>
          <w:trHeight w:hRule="exact" w:val="560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40BFEEB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Parliamentary Questions</w:t>
            </w:r>
          </w:p>
        </w:tc>
        <w:tc>
          <w:tcPr>
            <w:tcW w:w="1426" w:type="dxa"/>
            <w:vAlign w:val="center"/>
          </w:tcPr>
          <w:p w14:paraId="1E36B17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0,7%</w:t>
            </w:r>
          </w:p>
        </w:tc>
        <w:tc>
          <w:tcPr>
            <w:tcW w:w="1426" w:type="dxa"/>
            <w:vAlign w:val="center"/>
          </w:tcPr>
          <w:p w14:paraId="3343C04F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0,5%</w:t>
            </w:r>
          </w:p>
        </w:tc>
        <w:tc>
          <w:tcPr>
            <w:tcW w:w="1426" w:type="dxa"/>
            <w:vAlign w:val="center"/>
          </w:tcPr>
          <w:p w14:paraId="49355D82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1,1%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F5110A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0,9%</w:t>
            </w:r>
          </w:p>
        </w:tc>
        <w:tc>
          <w:tcPr>
            <w:tcW w:w="1426" w:type="dxa"/>
            <w:vAlign w:val="center"/>
          </w:tcPr>
          <w:p w14:paraId="03F8BB00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begin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instrText xml:space="preserve"> MERGEFIELD "parl5" </w:instrTex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separate"/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0,7%</w:t>
            </w: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  <w:tr w:rsidR="00310E61" w:rsidRPr="00310E61" w14:paraId="78C564C8" w14:textId="77777777" w:rsidTr="00A03B5C">
        <w:trPr>
          <w:cantSplit/>
          <w:trHeight w:hRule="exact" w:val="488"/>
        </w:trPr>
        <w:tc>
          <w:tcPr>
            <w:tcW w:w="333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7E705A4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Various</w:t>
            </w:r>
          </w:p>
        </w:tc>
        <w:tc>
          <w:tcPr>
            <w:tcW w:w="1426" w:type="dxa"/>
            <w:vAlign w:val="center"/>
          </w:tcPr>
          <w:p w14:paraId="14D01A9B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nl-NL"/>
              </w:rPr>
              <w:t>0,1%</w:t>
            </w:r>
          </w:p>
        </w:tc>
        <w:tc>
          <w:tcPr>
            <w:tcW w:w="1426" w:type="dxa"/>
            <w:vAlign w:val="center"/>
          </w:tcPr>
          <w:p w14:paraId="0E995E5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0,2%</w:t>
            </w:r>
          </w:p>
        </w:tc>
        <w:tc>
          <w:tcPr>
            <w:tcW w:w="1426" w:type="dxa"/>
            <w:vAlign w:val="center"/>
          </w:tcPr>
          <w:p w14:paraId="2CC5D626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3CB54AC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0%</w:t>
            </w:r>
          </w:p>
        </w:tc>
        <w:tc>
          <w:tcPr>
            <w:tcW w:w="1426" w:type="dxa"/>
            <w:vAlign w:val="center"/>
          </w:tcPr>
          <w:p w14:paraId="12022EA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1,77%</w:t>
            </w:r>
          </w:p>
        </w:tc>
      </w:tr>
      <w:tr w:rsidR="00310E61" w:rsidRPr="00310E61" w14:paraId="7B7B805A" w14:textId="77777777" w:rsidTr="00A03B5C">
        <w:trPr>
          <w:cantSplit/>
          <w:trHeight w:hRule="exact" w:val="488"/>
        </w:trPr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846DD" w14:textId="65C03AE4" w:rsidR="00AC2BAA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BREXIT</w:t>
            </w:r>
          </w:p>
          <w:p w14:paraId="1AA02B46" w14:textId="77777777" w:rsidR="00310E61" w:rsidRPr="00AC2BAA" w:rsidRDefault="00310E61" w:rsidP="00AC2BAA">
            <w:pPr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  <w:tc>
          <w:tcPr>
            <w:tcW w:w="1426" w:type="dxa"/>
            <w:vAlign w:val="center"/>
          </w:tcPr>
          <w:p w14:paraId="03837005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nl-NL"/>
              </w:rPr>
            </w:pPr>
          </w:p>
        </w:tc>
        <w:tc>
          <w:tcPr>
            <w:tcW w:w="1426" w:type="dxa"/>
            <w:vAlign w:val="center"/>
          </w:tcPr>
          <w:p w14:paraId="646D1A39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  <w:tc>
          <w:tcPr>
            <w:tcW w:w="1426" w:type="dxa"/>
            <w:vAlign w:val="center"/>
          </w:tcPr>
          <w:p w14:paraId="4893F591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6F4094FD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  <w:tc>
          <w:tcPr>
            <w:tcW w:w="1426" w:type="dxa"/>
            <w:vAlign w:val="center"/>
          </w:tcPr>
          <w:p w14:paraId="1BA09B88" w14:textId="77777777" w:rsidR="00310E61" w:rsidRPr="00310E61" w:rsidRDefault="00310E61" w:rsidP="00310E61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310E61">
              <w:rPr>
                <w:rFonts w:asciiTheme="majorBidi" w:hAnsiTheme="majorBidi" w:cstheme="majorBidi"/>
                <w:szCs w:val="24"/>
                <w:lang w:val="en-GB"/>
              </w:rPr>
              <w:t>2,42%</w:t>
            </w:r>
          </w:p>
        </w:tc>
      </w:tr>
    </w:tbl>
    <w:p w14:paraId="38EA05EA" w14:textId="77777777" w:rsidR="0067693E" w:rsidRPr="0067693E" w:rsidRDefault="0067693E" w:rsidP="00AC2BAA">
      <w:pPr>
        <w:spacing w:after="200" w:line="276" w:lineRule="auto"/>
        <w:rPr>
          <w:rFonts w:asciiTheme="majorBidi" w:hAnsiTheme="majorBidi" w:cstheme="majorBidi"/>
          <w:szCs w:val="24"/>
          <w:lang w:val="en-GB"/>
        </w:rPr>
      </w:pPr>
    </w:p>
    <w:sectPr w:rsidR="0067693E" w:rsidRPr="0067693E" w:rsidSect="00F367AB">
      <w:footerReference w:type="default" r:id="rId10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CB25" w14:textId="77777777" w:rsidR="00C522A8" w:rsidRDefault="00C522A8" w:rsidP="00C522A8">
      <w:pPr>
        <w:spacing w:line="240" w:lineRule="auto"/>
      </w:pPr>
      <w:r>
        <w:separator/>
      </w:r>
    </w:p>
  </w:endnote>
  <w:endnote w:type="continuationSeparator" w:id="0">
    <w:p w14:paraId="63DC91E6" w14:textId="77777777" w:rsidR="00C522A8" w:rsidRDefault="00C522A8" w:rsidP="00C52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DFE0" w14:textId="34B4B3D8" w:rsidR="00C522A8" w:rsidRPr="00A455F1" w:rsidRDefault="00A455F1" w:rsidP="00AC2BAA">
    <w:pPr>
      <w:pStyle w:val="Footer"/>
      <w:rPr>
        <w:sz w:val="18"/>
        <w:szCs w:val="18"/>
        <w:lang w:val="fr-BE"/>
      </w:rPr>
    </w:pP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</w:r>
    <w:r w:rsidRPr="00A455F1">
      <w:rPr>
        <w:sz w:val="18"/>
        <w:szCs w:val="18"/>
        <w:lang w:val="fr-BE"/>
      </w:rPr>
      <w:t>LDH</w:t>
    </w:r>
    <w:r w:rsidR="00AC2BAA">
      <w:rPr>
        <w:sz w:val="18"/>
        <w:szCs w:val="18"/>
        <w:lang w:val="fr-BE"/>
      </w:rPr>
      <w:t>/SBL</w:t>
    </w:r>
    <w:r w:rsidRPr="00A455F1">
      <w:rPr>
        <w:sz w:val="18"/>
        <w:szCs w:val="18"/>
        <w:lang w:val="fr-BE"/>
      </w:rPr>
      <w:t>/</w:t>
    </w:r>
    <w:r w:rsidR="00AC2BAA">
      <w:rPr>
        <w:sz w:val="18"/>
        <w:szCs w:val="18"/>
        <w:lang w:val="fr-BE"/>
      </w:rPr>
      <w:t>04</w:t>
    </w:r>
    <w:r w:rsidRPr="00A455F1">
      <w:rPr>
        <w:sz w:val="18"/>
        <w:szCs w:val="18"/>
        <w:lang w:val="fr-BE"/>
      </w:rPr>
      <w:t>0</w:t>
    </w:r>
    <w:r w:rsidR="00AC2BAA">
      <w:rPr>
        <w:sz w:val="18"/>
        <w:szCs w:val="18"/>
        <w:lang w:val="fr-BE"/>
      </w:rPr>
      <w:t>9</w:t>
    </w:r>
    <w:r w:rsidRPr="00A455F1">
      <w:rPr>
        <w:sz w:val="18"/>
        <w:szCs w:val="18"/>
        <w:lang w:val="fr-BE"/>
      </w:rPr>
      <w:t>2018</w:t>
    </w:r>
  </w:p>
  <w:p w14:paraId="32C14408" w14:textId="77777777" w:rsidR="00A455F1" w:rsidRPr="00A455F1" w:rsidRDefault="00A455F1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965F" w14:textId="77777777" w:rsidR="00C522A8" w:rsidRDefault="00C522A8" w:rsidP="00C522A8">
      <w:pPr>
        <w:spacing w:line="240" w:lineRule="auto"/>
      </w:pPr>
      <w:r>
        <w:separator/>
      </w:r>
    </w:p>
  </w:footnote>
  <w:footnote w:type="continuationSeparator" w:id="0">
    <w:p w14:paraId="015A3DC5" w14:textId="77777777" w:rsidR="00C522A8" w:rsidRDefault="00C522A8" w:rsidP="00C522A8">
      <w:pPr>
        <w:spacing w:line="240" w:lineRule="auto"/>
      </w:pPr>
      <w:r>
        <w:continuationSeparator/>
      </w:r>
    </w:p>
  </w:footnote>
  <w:footnote w:id="1">
    <w:p w14:paraId="0BD7E537" w14:textId="77777777" w:rsidR="00C522A8" w:rsidRPr="00045117" w:rsidRDefault="00C522A8" w:rsidP="00EB5D1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522A8">
        <w:t> </w:t>
      </w:r>
      <w:hyperlink r:id="rId1" w:history="1">
        <w:r w:rsidR="00EB5D1F" w:rsidRPr="00EB5D1F">
          <w:rPr>
            <w:rStyle w:val="Hyperlink"/>
          </w:rPr>
          <w:t xml:space="preserve">   OJ L 325, 11.12.2009, p. 36</w:t>
        </w:r>
      </w:hyperlink>
    </w:p>
  </w:footnote>
  <w:footnote w:id="2">
    <w:p w14:paraId="22AED768" w14:textId="2F7381D9" w:rsidR="00BB1526" w:rsidRPr="00BB1526" w:rsidRDefault="00BB15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B1526">
        <w:rPr>
          <w:rFonts w:asciiTheme="minorBidi" w:hAnsiTheme="minorBidi"/>
        </w:rPr>
        <w:t>See also Summary of procedures in</w:t>
      </w:r>
      <w:r>
        <w:t xml:space="preserve">  </w:t>
      </w:r>
      <w:hyperlink r:id="rId2" w:history="1">
        <w:r w:rsidRPr="00BB1526">
          <w:rPr>
            <w:rStyle w:val="Hyperlink"/>
          </w:rPr>
          <w:t>ST 6896/1/1</w:t>
        </w:r>
        <w:r w:rsidRPr="00BB1526">
          <w:rPr>
            <w:rStyle w:val="Hyperlink"/>
          </w:rPr>
          <w:t>7</w:t>
        </w:r>
        <w:r w:rsidRPr="00BB1526">
          <w:rPr>
            <w:rStyle w:val="Hyperlink"/>
          </w:rPr>
          <w:t xml:space="preserve"> R</w:t>
        </w:r>
        <w:r w:rsidRPr="00BB1526">
          <w:rPr>
            <w:rStyle w:val="Hyperlink"/>
          </w:rPr>
          <w:t>E</w:t>
        </w:r>
        <w:r w:rsidRPr="00BB1526">
          <w:rPr>
            <w:rStyle w:val="Hyperlink"/>
          </w:rPr>
          <w:t>V1</w:t>
        </w:r>
      </w:hyperlink>
    </w:p>
  </w:footnote>
  <w:footnote w:id="3">
    <w:p w14:paraId="74811CD5" w14:textId="77777777" w:rsidR="009C27E9" w:rsidRDefault="009C27E9" w:rsidP="009C27E9">
      <w:pPr>
        <w:pStyle w:val="FootnoteText"/>
        <w:rPr>
          <w:rFonts w:asciiTheme="minorBidi" w:hAnsiTheme="minorBidi"/>
          <w:lang w:val="en-GB"/>
        </w:rPr>
      </w:pPr>
      <w:r>
        <w:rPr>
          <w:rStyle w:val="FootnoteReference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lang w:val="en-GB"/>
        </w:rPr>
        <w:tab/>
        <w:t xml:space="preserve">Time-limit of 15 working days, which in exceptional cases, for example, in the event of a very large </w:t>
      </w:r>
      <w:r>
        <w:rPr>
          <w:rFonts w:asciiTheme="minorBidi" w:hAnsiTheme="minorBidi"/>
          <w:lang w:val="en-GB"/>
        </w:rPr>
        <w:tab/>
        <w:t>number of documents, may be extended by 15 working days.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B6C"/>
    <w:multiLevelType w:val="hybridMultilevel"/>
    <w:tmpl w:val="B4F806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939F4"/>
    <w:multiLevelType w:val="singleLevel"/>
    <w:tmpl w:val="EE32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EA17635"/>
    <w:multiLevelType w:val="hybridMultilevel"/>
    <w:tmpl w:val="9E0A91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630"/>
    <w:multiLevelType w:val="hybridMultilevel"/>
    <w:tmpl w:val="4C20E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EAD"/>
    <w:multiLevelType w:val="hybridMultilevel"/>
    <w:tmpl w:val="397CB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BADE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24164"/>
    <w:multiLevelType w:val="hybridMultilevel"/>
    <w:tmpl w:val="603A0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1909"/>
    <w:multiLevelType w:val="hybridMultilevel"/>
    <w:tmpl w:val="4342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17F8"/>
    <w:multiLevelType w:val="hybridMultilevel"/>
    <w:tmpl w:val="4A946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6721"/>
    <w:multiLevelType w:val="hybridMultilevel"/>
    <w:tmpl w:val="72AEF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523E"/>
    <w:multiLevelType w:val="hybridMultilevel"/>
    <w:tmpl w:val="9FC8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60740"/>
    <w:multiLevelType w:val="hybridMultilevel"/>
    <w:tmpl w:val="E6840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57CA"/>
    <w:multiLevelType w:val="hybridMultilevel"/>
    <w:tmpl w:val="F8D6D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C522A8"/>
    <w:rsid w:val="00045117"/>
    <w:rsid w:val="000460F2"/>
    <w:rsid w:val="00067B55"/>
    <w:rsid w:val="00106368"/>
    <w:rsid w:val="00151F9D"/>
    <w:rsid w:val="00205D5F"/>
    <w:rsid w:val="00287A70"/>
    <w:rsid w:val="00293384"/>
    <w:rsid w:val="002A3338"/>
    <w:rsid w:val="00310E61"/>
    <w:rsid w:val="00335882"/>
    <w:rsid w:val="00376668"/>
    <w:rsid w:val="0062042D"/>
    <w:rsid w:val="006278AB"/>
    <w:rsid w:val="0067693E"/>
    <w:rsid w:val="00680D84"/>
    <w:rsid w:val="007445FC"/>
    <w:rsid w:val="00862031"/>
    <w:rsid w:val="00862171"/>
    <w:rsid w:val="00877662"/>
    <w:rsid w:val="008A3834"/>
    <w:rsid w:val="008B4A7C"/>
    <w:rsid w:val="008D5E8E"/>
    <w:rsid w:val="008E7881"/>
    <w:rsid w:val="008F092B"/>
    <w:rsid w:val="009A0FE8"/>
    <w:rsid w:val="009C27E9"/>
    <w:rsid w:val="00A30364"/>
    <w:rsid w:val="00A455F1"/>
    <w:rsid w:val="00AC2BAA"/>
    <w:rsid w:val="00BB1526"/>
    <w:rsid w:val="00BB54AC"/>
    <w:rsid w:val="00C06DBD"/>
    <w:rsid w:val="00C522A8"/>
    <w:rsid w:val="00C85386"/>
    <w:rsid w:val="00CA68D3"/>
    <w:rsid w:val="00CB369D"/>
    <w:rsid w:val="00CC7700"/>
    <w:rsid w:val="00DB3A77"/>
    <w:rsid w:val="00E57C25"/>
    <w:rsid w:val="00EB00EE"/>
    <w:rsid w:val="00EB10F9"/>
    <w:rsid w:val="00EB35CF"/>
    <w:rsid w:val="00EB5D1F"/>
    <w:rsid w:val="00EC2AED"/>
    <w:rsid w:val="00EC7584"/>
    <w:rsid w:val="00ED6C78"/>
    <w:rsid w:val="00EF4DCC"/>
    <w:rsid w:val="00F367AB"/>
    <w:rsid w:val="00F5228F"/>
    <w:rsid w:val="00F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1516"/>
  <w15:chartTrackingRefBased/>
  <w15:docId w15:val="{0CAC0FD6-730D-4A77-855E-0D9B5579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22A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2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2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2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A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22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A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D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8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ta.consilium.europa.eu/doc/document/ST-8689-2018-INIT/en/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consilium.europa.eu/doc/document/ST-6896-2017-REV-1/en/pdf" TargetMode="External"/><Relationship Id="rId1" Type="http://schemas.openxmlformats.org/officeDocument/2006/relationships/hyperlink" Target="https://eur-lex.europa.eu/legal-content/EN/TXT/PDF/?uri=CELEX:32009Q1211%2801%29&amp;from=E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Legislative documents issued in 2017</a:t>
            </a:r>
          </a:p>
        </c:rich>
      </c:tx>
      <c:layout>
        <c:manualLayout>
          <c:xMode val="edge"/>
          <c:yMode val="edge"/>
          <c:x val="0.26157314696174122"/>
          <c:y val="2.373247319988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Public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E5861E52-2A3E-40A2-AEC6-6ACD6F7FA48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5B6-4EAE-9A89-2C9306F5545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50F4DF1-F929-4049-B2FD-614B9E58B6D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B6-4EAE-9A89-2C9306F554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Sheet1!$A$5:$A$6</c:f>
              <c:strCache>
                <c:ptCount val="2"/>
                <c:pt idx="0">
                  <c:v>Upon circulation</c:v>
                </c:pt>
                <c:pt idx="1">
                  <c:v>After requests for access</c:v>
                </c:pt>
              </c:strCache>
            </c:strRef>
          </c:cat>
          <c:val>
            <c:numRef>
              <c:f>Sheet1!$B$5:$B$6</c:f>
              <c:numCache>
                <c:formatCode>General</c:formatCode>
                <c:ptCount val="2"/>
                <c:pt idx="0">
                  <c:v>32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6-4EAE-9A89-2C9306F5545A}"/>
            </c:ext>
          </c:extLst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LIMITE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224BB95E-7552-40C7-9CE5-1C579AC3A38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5B6-4EAE-9A89-2C9306F5545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54C2FB9-65BE-43D3-8C9E-A57F6698E99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5B6-4EAE-9A89-2C9306F554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Sheet1!$A$5:$A$6</c:f>
              <c:strCache>
                <c:ptCount val="2"/>
                <c:pt idx="0">
                  <c:v>Upon circulation</c:v>
                </c:pt>
                <c:pt idx="1">
                  <c:v>After requests for access</c:v>
                </c:pt>
              </c:strCache>
            </c:strRef>
          </c:cat>
          <c:val>
            <c:numRef>
              <c:f>Sheet1!$C$5:$C$6</c:f>
              <c:numCache>
                <c:formatCode>General</c:formatCode>
                <c:ptCount val="2"/>
                <c:pt idx="0">
                  <c:v>68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B6-4EAE-9A89-2C9306F5545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33134512"/>
        <c:axId val="333136152"/>
      </c:barChart>
      <c:catAx>
        <c:axId val="33313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136152"/>
        <c:crosses val="autoZero"/>
        <c:auto val="0"/>
        <c:lblAlgn val="ctr"/>
        <c:lblOffset val="100"/>
        <c:noMultiLvlLbl val="0"/>
      </c:catAx>
      <c:valAx>
        <c:axId val="33313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 of legislative documents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13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A171-8304-4229-AE72-8705EE7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 of European Council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HERT Luc</dc:creator>
  <cp:keywords/>
  <dc:description/>
  <cp:lastModifiedBy>BLISS Sally</cp:lastModifiedBy>
  <cp:revision>2</cp:revision>
  <cp:lastPrinted>2018-09-04T14:59:00Z</cp:lastPrinted>
  <dcterms:created xsi:type="dcterms:W3CDTF">2018-09-04T15:01:00Z</dcterms:created>
  <dcterms:modified xsi:type="dcterms:W3CDTF">2018-09-04T15:01:00Z</dcterms:modified>
</cp:coreProperties>
</file>