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2E0E" w:rsidRDefault="00AD2E0E" w:rsidP="00103706">
      <w:pPr>
        <w:jc w:val="both"/>
      </w:pPr>
      <w:r w:rsidRPr="00103706">
        <w:rPr>
          <w:noProof/>
          <w:lang w:val="en-US"/>
        </w:rPr>
        <w:drawing>
          <wp:anchor distT="0" distB="0" distL="114300" distR="114300" simplePos="0" relativeHeight="251659264" behindDoc="1" locked="0" layoutInCell="1" allowOverlap="1">
            <wp:simplePos x="0" y="0"/>
            <wp:positionH relativeFrom="column">
              <wp:posOffset>1188128</wp:posOffset>
            </wp:positionH>
            <wp:positionV relativeFrom="paragraph">
              <wp:posOffset>-622037</wp:posOffset>
            </wp:positionV>
            <wp:extent cx="3046796" cy="451945"/>
            <wp:effectExtent l="19050" t="0" r="1204" b="0"/>
            <wp:wrapNone/>
            <wp:docPr id="1" name="Picture 1" descr="CME Group Logo (sent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ME Group Logo (sent2012)"/>
                    <pic:cNvPicPr>
                      <a:picLocks noChangeAspect="1" noChangeArrowheads="1"/>
                    </pic:cNvPicPr>
                  </pic:nvPicPr>
                  <pic:blipFill>
                    <a:blip r:embed="rId8" cstate="print"/>
                    <a:srcRect/>
                    <a:stretch>
                      <a:fillRect/>
                    </a:stretch>
                  </pic:blipFill>
                  <pic:spPr bwMode="auto">
                    <a:xfrm>
                      <a:off x="0" y="0"/>
                      <a:ext cx="3046796" cy="451945"/>
                    </a:xfrm>
                    <a:prstGeom prst="rect">
                      <a:avLst/>
                    </a:prstGeom>
                    <a:noFill/>
                    <a:ln w="9525">
                      <a:noFill/>
                      <a:miter lim="800000"/>
                      <a:headEnd/>
                      <a:tailEnd/>
                    </a:ln>
                  </pic:spPr>
                </pic:pic>
              </a:graphicData>
            </a:graphic>
          </wp:anchor>
        </w:drawing>
      </w:r>
      <w:r>
        <w:t>CME Group is the world’s leading and most diverse derivatives marketplace. Building on the heritage of CME, CBOT, NYMEX and COMEX, CME Group serves the risk management needs of customers around the globe. We provide the widest range of benchmark futures and options products available on any exchange, covering all major asset classes. Our collective vision is one of ongoing global growth, innovative product development, continually enhanced technology and the highest level of service available on any exchange.</w:t>
      </w:r>
    </w:p>
    <w:p w:rsidR="00AD2E0E" w:rsidRDefault="001F644F" w:rsidP="00AD2E0E">
      <w:pPr>
        <w:jc w:val="both"/>
      </w:pPr>
      <w:r>
        <w:t xml:space="preserve">Europe, Middle East and Africa (EMEA) </w:t>
      </w:r>
      <w:proofErr w:type="gramStart"/>
      <w:r w:rsidR="00AD2E0E">
        <w:t>plays</w:t>
      </w:r>
      <w:proofErr w:type="gramEnd"/>
      <w:r w:rsidR="00AD2E0E">
        <w:t xml:space="preserve"> a pivotal role in our global growth plans. CME Group continues to grow and invest in the region, both organically and through our strategic alliances and partnerships.</w:t>
      </w:r>
    </w:p>
    <w:p w:rsidR="00AD2E0E" w:rsidRPr="002F7513" w:rsidRDefault="00AD2E0E" w:rsidP="00AD2E0E">
      <w:pPr>
        <w:jc w:val="both"/>
        <w:rPr>
          <w:b/>
          <w:bCs/>
          <w:color w:val="0070C0"/>
        </w:rPr>
      </w:pPr>
      <w:r w:rsidRPr="002F7513">
        <w:rPr>
          <w:b/>
          <w:bCs/>
          <w:color w:val="0070C0"/>
        </w:rPr>
        <w:t>Background on CME Group in E</w:t>
      </w:r>
      <w:bookmarkStart w:id="0" w:name="yourposition"/>
      <w:bookmarkEnd w:id="0"/>
      <w:r w:rsidRPr="002F7513">
        <w:rPr>
          <w:b/>
          <w:bCs/>
          <w:color w:val="0070C0"/>
        </w:rPr>
        <w:t xml:space="preserve">urope </w:t>
      </w:r>
    </w:p>
    <w:p w:rsidR="00AD2E0E" w:rsidRDefault="00AD2E0E" w:rsidP="00AD2E0E">
      <w:pPr>
        <w:pStyle w:val="ListParagraph"/>
        <w:numPr>
          <w:ilvl w:val="0"/>
          <w:numId w:val="1"/>
        </w:numPr>
        <w:jc w:val="both"/>
      </w:pPr>
      <w:r>
        <w:t xml:space="preserve">CME Europe Ltd: </w:t>
      </w:r>
      <w:r w:rsidRPr="00026415">
        <w:t>Pending regulatory approval, CME Europe Ltd will initially begin tr</w:t>
      </w:r>
      <w:r w:rsidR="00446777">
        <w:t>ading foreign exchange futures</w:t>
      </w:r>
      <w:r w:rsidRPr="00026415">
        <w:t xml:space="preserve"> products and is expected to launch mid-2013.</w:t>
      </w:r>
    </w:p>
    <w:p w:rsidR="00AD2E0E" w:rsidRDefault="00AD2E0E" w:rsidP="00AD2E0E">
      <w:pPr>
        <w:pStyle w:val="ListParagraph"/>
        <w:numPr>
          <w:ilvl w:val="0"/>
          <w:numId w:val="1"/>
        </w:numPr>
        <w:jc w:val="both"/>
      </w:pPr>
      <w:r>
        <w:t xml:space="preserve">Today, </w:t>
      </w:r>
      <w:r w:rsidR="00C67DED">
        <w:t>more than</w:t>
      </w:r>
      <w:r>
        <w:t xml:space="preserve"> 20% </w:t>
      </w:r>
      <w:r w:rsidRPr="00626B6B">
        <w:t>of our volume is tra</w:t>
      </w:r>
      <w:r>
        <w:t xml:space="preserve">ded outside of </w:t>
      </w:r>
      <w:r w:rsidR="00C67DED">
        <w:t>the United States</w:t>
      </w:r>
      <w:r>
        <w:t xml:space="preserve">. In Q4 2011, 15% of our volume </w:t>
      </w:r>
      <w:r w:rsidRPr="00626B6B">
        <w:t xml:space="preserve">was from EMEA </w:t>
      </w:r>
      <w:r>
        <w:t xml:space="preserve">which had grown to 17% in Q1 2012. </w:t>
      </w:r>
    </w:p>
    <w:p w:rsidR="00AD2E0E" w:rsidRDefault="00AD2E0E" w:rsidP="00AD2E0E">
      <w:pPr>
        <w:pStyle w:val="ListParagraph"/>
        <w:numPr>
          <w:ilvl w:val="0"/>
          <w:numId w:val="1"/>
        </w:numPr>
        <w:jc w:val="both"/>
      </w:pPr>
      <w:r w:rsidRPr="00C94294">
        <w:t>CME</w:t>
      </w:r>
      <w:r>
        <w:t xml:space="preserve"> opened in London in 1979 with </w:t>
      </w:r>
      <w:r w:rsidR="001F644F">
        <w:t>five</w:t>
      </w:r>
      <w:r>
        <w:t xml:space="preserve"> employees and CBOT opened in London in 1987 with </w:t>
      </w:r>
      <w:r w:rsidR="001F644F">
        <w:t>three</w:t>
      </w:r>
      <w:r>
        <w:t xml:space="preserve"> employees. Today, CME Group </w:t>
      </w:r>
      <w:r w:rsidR="00C67DED">
        <w:t>employs</w:t>
      </w:r>
      <w:r>
        <w:t xml:space="preserve"> approximately 1</w:t>
      </w:r>
      <w:r w:rsidR="00435CCC">
        <w:t>2</w:t>
      </w:r>
      <w:r>
        <w:t xml:space="preserve">0 </w:t>
      </w:r>
      <w:r w:rsidR="00C67DED">
        <w:t>people</w:t>
      </w:r>
      <w:r>
        <w:t xml:space="preserve"> in the London, One New Change office. </w:t>
      </w:r>
    </w:p>
    <w:p w:rsidR="00AD2E0E" w:rsidRDefault="00AD2E0E" w:rsidP="00AD2E0E">
      <w:pPr>
        <w:pStyle w:val="ListParagraph"/>
        <w:numPr>
          <w:ilvl w:val="0"/>
          <w:numId w:val="1"/>
        </w:numPr>
        <w:jc w:val="both"/>
      </w:pPr>
      <w:r>
        <w:t xml:space="preserve">CME </w:t>
      </w:r>
      <w:r w:rsidRPr="00626B6B">
        <w:t>Clearing Europe</w:t>
      </w:r>
      <w:r>
        <w:t>, the Group’s London-based multi-asset clearing house for OTC derivatives markets,</w:t>
      </w:r>
      <w:r w:rsidRPr="00626B6B">
        <w:t xml:space="preserve"> has been </w:t>
      </w:r>
      <w:hyperlink r:id="rId9" w:history="1">
        <w:r w:rsidRPr="00B853E6">
          <w:rPr>
            <w:rStyle w:val="Hyperlink"/>
          </w:rPr>
          <w:t>in operation since May 2011</w:t>
        </w:r>
      </w:hyperlink>
      <w:r>
        <w:t xml:space="preserve"> and now offers more than 20</w:t>
      </w:r>
      <w:r w:rsidRPr="00626B6B">
        <w:t>0 commodity OTC products for clearing</w:t>
      </w:r>
      <w:r>
        <w:t>, including energy</w:t>
      </w:r>
      <w:r w:rsidRPr="00CB0435">
        <w:t>, agricultural, freight and metals derivative products</w:t>
      </w:r>
      <w:r w:rsidRPr="00626B6B">
        <w:t xml:space="preserve">. </w:t>
      </w:r>
    </w:p>
    <w:p w:rsidR="00AD2E0E" w:rsidRPr="00CB0435" w:rsidRDefault="00AD2E0E" w:rsidP="00AD2E0E">
      <w:pPr>
        <w:pStyle w:val="ListParagraph"/>
        <w:numPr>
          <w:ilvl w:val="0"/>
          <w:numId w:val="1"/>
        </w:numPr>
        <w:jc w:val="both"/>
      </w:pPr>
      <w:r w:rsidRPr="00CB0435">
        <w:rPr>
          <w:lang w:val="en-US"/>
        </w:rPr>
        <w:t>CME Clearing Europe are currently working on the launch of real-time, open access clearing for OTC financial derivatives – in the first instance for interest rate swaps.</w:t>
      </w:r>
    </w:p>
    <w:p w:rsidR="00AD2E0E" w:rsidRDefault="00AD2E0E" w:rsidP="00AD2E0E">
      <w:pPr>
        <w:pStyle w:val="ListParagraph"/>
        <w:numPr>
          <w:ilvl w:val="0"/>
          <w:numId w:val="1"/>
        </w:numPr>
        <w:jc w:val="both"/>
      </w:pPr>
      <w:r>
        <w:t>W</w:t>
      </w:r>
      <w:r w:rsidRPr="00626B6B">
        <w:t xml:space="preserve">e announced at the beginning of </w:t>
      </w:r>
      <w:r>
        <w:t>2012</w:t>
      </w:r>
      <w:r w:rsidRPr="00626B6B">
        <w:t xml:space="preserve"> that we would be opening a Belfast office</w:t>
      </w:r>
      <w:r>
        <w:t xml:space="preserve">, employing predominately IT programmers and IT staff. At the opening, CME Group had hired 12 individuals, and expected to create up to 100 new jobs in Belfast. </w:t>
      </w:r>
    </w:p>
    <w:p w:rsidR="00AD2E0E" w:rsidRDefault="00AD2E0E" w:rsidP="00AD2E0E">
      <w:pPr>
        <w:pStyle w:val="ListParagraph"/>
        <w:numPr>
          <w:ilvl w:val="0"/>
          <w:numId w:val="1"/>
        </w:numPr>
        <w:jc w:val="both"/>
      </w:pPr>
      <w:r>
        <w:t xml:space="preserve">In </w:t>
      </w:r>
      <w:r w:rsidRPr="00626B6B">
        <w:t>March</w:t>
      </w:r>
      <w:r>
        <w:t>,</w:t>
      </w:r>
      <w:r w:rsidRPr="00626B6B">
        <w:t xml:space="preserve"> we announced our </w:t>
      </w:r>
      <w:hyperlink r:id="rId10" w:history="1">
        <w:r w:rsidRPr="00B853E6">
          <w:rPr>
            <w:rStyle w:val="Hyperlink"/>
          </w:rPr>
          <w:t>recapitalization of the Dubai Mercantile Exchange</w:t>
        </w:r>
      </w:hyperlink>
      <w:r>
        <w:t xml:space="preserve"> (DME)</w:t>
      </w:r>
      <w:r w:rsidRPr="00626B6B">
        <w:t xml:space="preserve"> and we now own 50% (up from 25%). That business trades on CME </w:t>
      </w:r>
      <w:proofErr w:type="spellStart"/>
      <w:r w:rsidRPr="00626B6B">
        <w:t>Globex</w:t>
      </w:r>
      <w:proofErr w:type="spellEnd"/>
      <w:r w:rsidRPr="00626B6B">
        <w:t xml:space="preserve"> and is cleared in the US, but we do offer their OTC products for clearing in Europe</w:t>
      </w:r>
      <w:r>
        <w:t>.</w:t>
      </w:r>
    </w:p>
    <w:p w:rsidR="00C67DED" w:rsidRPr="00C67DED" w:rsidRDefault="00AD2E0E" w:rsidP="00C67DED">
      <w:pPr>
        <w:pStyle w:val="ListParagraph"/>
        <w:numPr>
          <w:ilvl w:val="0"/>
          <w:numId w:val="1"/>
        </w:numPr>
        <w:jc w:val="both"/>
      </w:pPr>
      <w:r>
        <w:t xml:space="preserve">Some of </w:t>
      </w:r>
      <w:r w:rsidRPr="00C67DED">
        <w:t xml:space="preserve">CME Group’s </w:t>
      </w:r>
      <w:r w:rsidR="00103706" w:rsidRPr="00C67DED">
        <w:t xml:space="preserve">other </w:t>
      </w:r>
      <w:r w:rsidRPr="00C67DED">
        <w:t xml:space="preserve">strategic alliances and partnerships include BM&amp;F </w:t>
      </w:r>
      <w:proofErr w:type="spellStart"/>
      <w:r w:rsidRPr="00C67DED">
        <w:t>Bovespa</w:t>
      </w:r>
      <w:proofErr w:type="spellEnd"/>
      <w:r w:rsidR="00103706" w:rsidRPr="00C67DED">
        <w:t xml:space="preserve"> in Brazil, </w:t>
      </w:r>
      <w:proofErr w:type="spellStart"/>
      <w:r w:rsidR="00103706" w:rsidRPr="00C67DED">
        <w:t>MexDer</w:t>
      </w:r>
      <w:proofErr w:type="spellEnd"/>
      <w:r w:rsidR="00103706" w:rsidRPr="00C67DED">
        <w:t xml:space="preserve"> in Mexico, Bursa Malaysia, Johannesburg Stock Exchange, Korea Exchange, Osaka Securities E</w:t>
      </w:r>
      <w:r w:rsidR="00435CCC" w:rsidRPr="00C67DED">
        <w:t xml:space="preserve">xchange and Singapore Exchange Ltd. </w:t>
      </w:r>
    </w:p>
    <w:p w:rsidR="00C67DED" w:rsidRDefault="00C67DED" w:rsidP="00C67DED">
      <w:pPr>
        <w:pStyle w:val="ListParagraph"/>
        <w:numPr>
          <w:ilvl w:val="0"/>
          <w:numId w:val="1"/>
        </w:numPr>
        <w:jc w:val="both"/>
      </w:pPr>
      <w:r w:rsidRPr="00C67DED">
        <w:t xml:space="preserve">Based in London, </w:t>
      </w:r>
      <w:r>
        <w:t xml:space="preserve">CME Group launched in May 2012 </w:t>
      </w:r>
      <w:hyperlink r:id="rId11" w:tgtFrame="_blank" w:history="1">
        <w:r w:rsidRPr="00C67DED">
          <w:rPr>
            <w:rStyle w:val="Hyperlink"/>
            <w:rFonts w:eastAsiaTheme="majorEastAsia"/>
          </w:rPr>
          <w:t>CME Direct</w:t>
        </w:r>
      </w:hyperlink>
      <w:r>
        <w:t xml:space="preserve">, which is </w:t>
      </w:r>
      <w:r w:rsidRPr="00C67DED">
        <w:t xml:space="preserve">a new technology </w:t>
      </w:r>
      <w:r>
        <w:t>that offers</w:t>
      </w:r>
      <w:r w:rsidRPr="00C67DED">
        <w:t xml:space="preserve"> side-by-side trading of exchange-listed and over-the-counter (OTC) markets. CME Direct will initially support trading of CME Group's benchmark energy futures markets alongside OTC energy swaps through leading inter-dealer brokers.</w:t>
      </w:r>
    </w:p>
    <w:p w:rsidR="001F644F" w:rsidRPr="00C67DED" w:rsidRDefault="001F644F" w:rsidP="001F644F">
      <w:pPr>
        <w:pStyle w:val="ListParagraph"/>
        <w:jc w:val="both"/>
      </w:pPr>
      <w:bookmarkStart w:id="1" w:name="_GoBack"/>
      <w:bookmarkEnd w:id="1"/>
    </w:p>
    <w:p w:rsidR="00AD2E0E" w:rsidRPr="00C67DED" w:rsidRDefault="00AD2E0E" w:rsidP="00C67DED">
      <w:pPr>
        <w:spacing w:after="200" w:line="276" w:lineRule="auto"/>
        <w:rPr>
          <w:b/>
          <w:bCs/>
          <w:color w:val="0070C0"/>
        </w:rPr>
      </w:pPr>
      <w:r>
        <w:rPr>
          <w:b/>
          <w:bCs/>
          <w:color w:val="0070C0"/>
        </w:rPr>
        <w:lastRenderedPageBreak/>
        <w:t>About CME Group</w:t>
      </w:r>
    </w:p>
    <w:p w:rsidR="00AD2E0E" w:rsidRDefault="00AD2E0E" w:rsidP="00103706">
      <w:pPr>
        <w:pStyle w:val="NormalWeb"/>
        <w:jc w:val="both"/>
      </w:pPr>
      <w:r>
        <w:t>As the world's leading and most diverse derivatives marketplace, CME Group (</w:t>
      </w:r>
      <w:hyperlink r:id="rId12" w:tgtFrame="_blank" w:history="1">
        <w:r>
          <w:rPr>
            <w:rStyle w:val="Hyperlink"/>
            <w:rFonts w:eastAsiaTheme="majorEastAsia"/>
          </w:rPr>
          <w:t>www.cmegroup.com</w:t>
        </w:r>
      </w:hyperlink>
      <w:r>
        <w:t xml:space="preserve">) is where the world comes to manage risk.  CME Group exchanges offer the widest range of global benchmark products across all major asset classes, including futures and options based on </w:t>
      </w:r>
      <w:hyperlink r:id="rId13" w:tgtFrame="_blank" w:history="1">
        <w:r>
          <w:rPr>
            <w:rStyle w:val="Hyperlink"/>
            <w:rFonts w:eastAsiaTheme="majorEastAsia"/>
          </w:rPr>
          <w:t>interest rates</w:t>
        </w:r>
      </w:hyperlink>
      <w:r>
        <w:t xml:space="preserve">, </w:t>
      </w:r>
      <w:hyperlink r:id="rId14" w:tgtFrame="_blank" w:history="1">
        <w:r>
          <w:rPr>
            <w:rStyle w:val="Hyperlink"/>
            <w:rFonts w:eastAsiaTheme="majorEastAsia"/>
          </w:rPr>
          <w:t>equity indexes</w:t>
        </w:r>
      </w:hyperlink>
      <w:r>
        <w:t xml:space="preserve">, </w:t>
      </w:r>
      <w:hyperlink r:id="rId15" w:tgtFrame="_blank" w:history="1">
        <w:r>
          <w:rPr>
            <w:rStyle w:val="Hyperlink"/>
            <w:rFonts w:eastAsiaTheme="majorEastAsia"/>
          </w:rPr>
          <w:t>foreign exchange</w:t>
        </w:r>
      </w:hyperlink>
      <w:r>
        <w:t xml:space="preserve">, </w:t>
      </w:r>
      <w:hyperlink r:id="rId16" w:tgtFrame="_blank" w:history="1">
        <w:r>
          <w:rPr>
            <w:rStyle w:val="Hyperlink"/>
            <w:rFonts w:eastAsiaTheme="majorEastAsia"/>
          </w:rPr>
          <w:t>energy</w:t>
        </w:r>
      </w:hyperlink>
      <w:r>
        <w:t xml:space="preserve">, </w:t>
      </w:r>
      <w:hyperlink r:id="rId17" w:tgtFrame="_blank" w:history="1">
        <w:r>
          <w:rPr>
            <w:rStyle w:val="Hyperlink"/>
            <w:rFonts w:eastAsiaTheme="majorEastAsia"/>
          </w:rPr>
          <w:t>agricultural commodities</w:t>
        </w:r>
      </w:hyperlink>
      <w:r>
        <w:t xml:space="preserve">, </w:t>
      </w:r>
      <w:hyperlink r:id="rId18" w:tgtFrame="_blank" w:history="1">
        <w:r>
          <w:rPr>
            <w:rStyle w:val="Hyperlink"/>
            <w:rFonts w:eastAsiaTheme="majorEastAsia"/>
          </w:rPr>
          <w:t>metals</w:t>
        </w:r>
      </w:hyperlink>
      <w:r>
        <w:t xml:space="preserve">, </w:t>
      </w:r>
      <w:hyperlink r:id="rId19" w:tgtFrame="_blank" w:history="1">
        <w:r>
          <w:rPr>
            <w:rStyle w:val="Hyperlink"/>
            <w:rFonts w:eastAsiaTheme="majorEastAsia"/>
          </w:rPr>
          <w:t>weather</w:t>
        </w:r>
      </w:hyperlink>
      <w:r>
        <w:t xml:space="preserve"> and </w:t>
      </w:r>
      <w:hyperlink r:id="rId20" w:tgtFrame="_blank" w:history="1">
        <w:r>
          <w:rPr>
            <w:rStyle w:val="Hyperlink"/>
            <w:rFonts w:eastAsiaTheme="majorEastAsia"/>
          </w:rPr>
          <w:t>real estate</w:t>
        </w:r>
      </w:hyperlink>
      <w:r>
        <w:t xml:space="preserve">.  CME Group brings buyers and sellers together through its </w:t>
      </w:r>
      <w:hyperlink r:id="rId21" w:tgtFrame="_blank" w:history="1">
        <w:r>
          <w:rPr>
            <w:rStyle w:val="Hyperlink"/>
            <w:rFonts w:eastAsiaTheme="majorEastAsia"/>
          </w:rPr>
          <w:t xml:space="preserve">CME </w:t>
        </w:r>
        <w:proofErr w:type="spellStart"/>
        <w:r>
          <w:rPr>
            <w:rStyle w:val="Hyperlink"/>
            <w:rFonts w:eastAsiaTheme="majorEastAsia"/>
          </w:rPr>
          <w:t>Globex</w:t>
        </w:r>
        <w:proofErr w:type="spellEnd"/>
      </w:hyperlink>
      <w:r>
        <w:rPr>
          <w:vertAlign w:val="superscript"/>
        </w:rPr>
        <w:t>®</w:t>
      </w:r>
      <w:r>
        <w:t xml:space="preserve"> electronic trading platform and its trading facilities in New York and Chicago.  CME Group also operates </w:t>
      </w:r>
      <w:hyperlink r:id="rId22" w:tgtFrame="_blank" w:history="1">
        <w:r>
          <w:rPr>
            <w:rStyle w:val="Hyperlink"/>
            <w:rFonts w:eastAsiaTheme="majorEastAsia"/>
          </w:rPr>
          <w:t>CME Clearing</w:t>
        </w:r>
      </w:hyperlink>
      <w:r>
        <w:t>, one of the world's leading central counterparty clearing providers, which offers clearing and settlement services across asset classes for exchange-traded contracts and over-the-counter derivatives transactions. These products and services ensure that businesses everywhere can substantially mitigate counterparty credit risk.</w:t>
      </w:r>
    </w:p>
    <w:p w:rsidR="00103706" w:rsidRDefault="00B725FB" w:rsidP="00103706">
      <w:pPr>
        <w:pStyle w:val="NormalWeb"/>
        <w:jc w:val="both"/>
      </w:pPr>
      <w:hyperlink r:id="rId23" w:history="1">
        <w:r w:rsidR="006C06CB" w:rsidRPr="006C06CB">
          <w:rPr>
            <w:rStyle w:val="Hyperlink"/>
          </w:rPr>
          <w:t>CME Clearing Europe</w:t>
        </w:r>
      </w:hyperlink>
      <w:r w:rsidR="006C06CB" w:rsidRPr="006C06CB">
        <w:t xml:space="preserve"> is a UK clearing house that provides a single, integrated platform for clearing and risk managing a broad range of OTC commodity derivatives under English law in a European regulatory framework. We will shortly extend our product range to include clearing of OTC financial derivatives, initially interest rate swaps (IRS), followed by FX and CDS. Launched in May 2011, we are firmly established in the European market.</w:t>
      </w:r>
    </w:p>
    <w:p w:rsidR="00B853E6" w:rsidRDefault="00B853E6" w:rsidP="00AD2E0E">
      <w:pPr>
        <w:rPr>
          <w:b/>
          <w:bCs/>
          <w:color w:val="0070C0"/>
        </w:rPr>
      </w:pPr>
    </w:p>
    <w:p w:rsidR="00AD2E0E" w:rsidRDefault="00AD2E0E" w:rsidP="00AD2E0E">
      <w:r w:rsidRPr="002F7513">
        <w:rPr>
          <w:b/>
          <w:bCs/>
          <w:color w:val="0070C0"/>
        </w:rPr>
        <w:t>Resources</w:t>
      </w:r>
    </w:p>
    <w:p w:rsidR="00AD2E0E" w:rsidRPr="00C67907" w:rsidRDefault="00AD2E0E" w:rsidP="00AD2E0E">
      <w:r>
        <w:t>L</w:t>
      </w:r>
      <w:r w:rsidRPr="00C67907">
        <w:t>ist of all key resources for CME Group</w:t>
      </w:r>
      <w:r w:rsidR="006C06CB">
        <w:t xml:space="preserve">: </w:t>
      </w:r>
      <w:hyperlink r:id="rId24" w:history="1">
        <w:r w:rsidRPr="00C67907">
          <w:rPr>
            <w:rStyle w:val="Hyperlink"/>
            <w:szCs w:val="24"/>
          </w:rPr>
          <w:t>http://www.cmegroup.com/tools-information/index.html</w:t>
        </w:r>
      </w:hyperlink>
      <w:r>
        <w:t xml:space="preserve"> </w:t>
      </w:r>
      <w:r w:rsidRPr="00C67907">
        <w:t xml:space="preserve"> </w:t>
      </w:r>
    </w:p>
    <w:p w:rsidR="00AD2E0E" w:rsidRDefault="00AD2E0E" w:rsidP="00AD2E0E">
      <w:r>
        <w:t>CME Group Education page</w:t>
      </w:r>
      <w:r w:rsidR="006C06CB">
        <w:t xml:space="preserve">: </w:t>
      </w:r>
      <w:hyperlink r:id="rId25" w:history="1">
        <w:r w:rsidRPr="00017F9F">
          <w:rPr>
            <w:rStyle w:val="Hyperlink"/>
          </w:rPr>
          <w:t>http://www.cmegroup.com/education/index.html</w:t>
        </w:r>
      </w:hyperlink>
      <w:r>
        <w:t xml:space="preserve"> </w:t>
      </w:r>
    </w:p>
    <w:p w:rsidR="00AD2E0E" w:rsidRPr="00C67907" w:rsidRDefault="00AD2E0E" w:rsidP="00AD2E0E">
      <w:r>
        <w:t>L</w:t>
      </w:r>
      <w:r w:rsidRPr="00C67907">
        <w:t>ink to our media room for the latest news</w:t>
      </w:r>
      <w:r w:rsidR="006C06CB">
        <w:t xml:space="preserve">: </w:t>
      </w:r>
      <w:hyperlink r:id="rId26" w:history="1">
        <w:r w:rsidRPr="00C67907">
          <w:rPr>
            <w:rStyle w:val="Hyperlink"/>
            <w:szCs w:val="24"/>
          </w:rPr>
          <w:t>http://cmegroup.mediaroom.com/</w:t>
        </w:r>
      </w:hyperlink>
      <w:r w:rsidRPr="00C67907">
        <w:t xml:space="preserve"> </w:t>
      </w:r>
    </w:p>
    <w:p w:rsidR="00AD2E0E" w:rsidRDefault="00AD2E0E" w:rsidP="00AD2E0E">
      <w:pPr>
        <w:pStyle w:val="NormalWeb"/>
      </w:pPr>
      <w:r>
        <w:t>Subscription centre for CME Group information and announcements:</w:t>
      </w:r>
      <w:r w:rsidR="006C06CB">
        <w:t xml:space="preserve"> </w:t>
      </w:r>
      <w:hyperlink r:id="rId27" w:history="1">
        <w:r w:rsidRPr="00017F9F">
          <w:rPr>
            <w:rStyle w:val="Hyperlink"/>
          </w:rPr>
          <w:t>http://www.cmegroup.com/tools-information/communications/sub-center.html</w:t>
        </w:r>
      </w:hyperlink>
      <w:r>
        <w:t xml:space="preserve"> </w:t>
      </w:r>
    </w:p>
    <w:p w:rsidR="00435CCC" w:rsidRPr="002934D0" w:rsidRDefault="00435CCC" w:rsidP="00AD2E0E">
      <w:pPr>
        <w:spacing w:after="0" w:line="240" w:lineRule="auto"/>
        <w:rPr>
          <w:szCs w:val="24"/>
        </w:rPr>
      </w:pPr>
      <w:proofErr w:type="spellStart"/>
      <w:r>
        <w:rPr>
          <w:szCs w:val="24"/>
        </w:rPr>
        <w:t>OpenMarkets</w:t>
      </w:r>
      <w:proofErr w:type="spellEnd"/>
      <w:r>
        <w:rPr>
          <w:szCs w:val="24"/>
        </w:rPr>
        <w:t xml:space="preserve"> (online magazine published by CME Group)</w:t>
      </w:r>
      <w:r w:rsidR="006C06CB">
        <w:rPr>
          <w:szCs w:val="24"/>
        </w:rPr>
        <w:t xml:space="preserve">: </w:t>
      </w:r>
      <w:hyperlink r:id="rId28" w:history="1">
        <w:r w:rsidRPr="007000D3">
          <w:rPr>
            <w:rStyle w:val="Hyperlink"/>
            <w:szCs w:val="24"/>
          </w:rPr>
          <w:t>http://openmarkets.cmegroup.com/</w:t>
        </w:r>
      </w:hyperlink>
      <w:r>
        <w:rPr>
          <w:szCs w:val="24"/>
        </w:rPr>
        <w:t xml:space="preserve"> </w:t>
      </w:r>
    </w:p>
    <w:sectPr w:rsidR="00435CCC" w:rsidRPr="002934D0" w:rsidSect="00435CCC">
      <w:footerReference w:type="default" r:id="rId29"/>
      <w:footerReference w:type="first" r:id="rId30"/>
      <w:pgSz w:w="11906" w:h="16838" w:code="9"/>
      <w:pgMar w:top="2552" w:right="1701" w:bottom="1871" w:left="1701" w:header="1021" w:footer="11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25FB" w:rsidRDefault="00B725FB" w:rsidP="004628AA">
      <w:pPr>
        <w:spacing w:after="0" w:line="240" w:lineRule="auto"/>
      </w:pPr>
      <w:r>
        <w:separator/>
      </w:r>
    </w:p>
  </w:endnote>
  <w:endnote w:type="continuationSeparator" w:id="0">
    <w:p w:rsidR="00B725FB" w:rsidRDefault="00B725FB" w:rsidP="004628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rdia New">
    <w:panose1 w:val="020B03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435"/>
      <w:gridCol w:w="2718"/>
    </w:tblGrid>
    <w:tr w:rsidR="00446777" w:rsidRPr="00AA03D3">
      <w:tc>
        <w:tcPr>
          <w:tcW w:w="5435" w:type="dxa"/>
        </w:tcPr>
        <w:p w:rsidR="00446777" w:rsidRPr="00AA03D3" w:rsidRDefault="00446777" w:rsidP="00435CCC">
          <w:pPr>
            <w:pStyle w:val="Footer"/>
            <w:tabs>
              <w:tab w:val="clear" w:pos="4536"/>
              <w:tab w:val="clear" w:pos="9072"/>
              <w:tab w:val="right" w:pos="7938"/>
            </w:tabs>
            <w:rPr>
              <w:color w:val="869189"/>
              <w:sz w:val="16"/>
              <w:szCs w:val="16"/>
            </w:rPr>
          </w:pPr>
        </w:p>
      </w:tc>
      <w:tc>
        <w:tcPr>
          <w:tcW w:w="2718" w:type="dxa"/>
        </w:tcPr>
        <w:p w:rsidR="00446777" w:rsidRPr="00AA03D3" w:rsidRDefault="00446777" w:rsidP="00435CCC">
          <w:pPr>
            <w:pStyle w:val="Footer"/>
            <w:tabs>
              <w:tab w:val="clear" w:pos="4536"/>
              <w:tab w:val="clear" w:pos="9072"/>
              <w:tab w:val="right" w:pos="7938"/>
            </w:tabs>
            <w:jc w:val="right"/>
            <w:rPr>
              <w:color w:val="869189"/>
              <w:sz w:val="16"/>
              <w:szCs w:val="16"/>
            </w:rPr>
          </w:pPr>
          <w:r w:rsidRPr="00AA03D3">
            <w:rPr>
              <w:color w:val="869189"/>
              <w:sz w:val="16"/>
              <w:szCs w:val="16"/>
            </w:rPr>
            <w:fldChar w:fldCharType="begin"/>
          </w:r>
          <w:r w:rsidRPr="00AA03D3">
            <w:rPr>
              <w:color w:val="869189"/>
              <w:sz w:val="16"/>
              <w:szCs w:val="16"/>
            </w:rPr>
            <w:instrText xml:space="preserve"> PAGE  \* MERGEFORMAT </w:instrText>
          </w:r>
          <w:r w:rsidRPr="00AA03D3">
            <w:rPr>
              <w:color w:val="869189"/>
              <w:sz w:val="16"/>
              <w:szCs w:val="16"/>
            </w:rPr>
            <w:fldChar w:fldCharType="separate"/>
          </w:r>
          <w:r w:rsidR="001F644F">
            <w:rPr>
              <w:noProof/>
              <w:color w:val="869189"/>
              <w:sz w:val="16"/>
              <w:szCs w:val="16"/>
            </w:rPr>
            <w:t>2</w:t>
          </w:r>
          <w:r w:rsidRPr="00AA03D3">
            <w:rPr>
              <w:color w:val="869189"/>
              <w:sz w:val="16"/>
              <w:szCs w:val="16"/>
            </w:rPr>
            <w:fldChar w:fldCharType="end"/>
          </w:r>
          <w:r w:rsidRPr="00AA03D3">
            <w:rPr>
              <w:color w:val="869189"/>
              <w:sz w:val="16"/>
              <w:szCs w:val="16"/>
            </w:rPr>
            <w:t>/</w:t>
          </w:r>
          <w:r w:rsidR="00B725FB">
            <w:fldChar w:fldCharType="begin"/>
          </w:r>
          <w:r w:rsidR="00B725FB">
            <w:instrText xml:space="preserve"> NUMPAGES   \* MERGEFORMAT </w:instrText>
          </w:r>
          <w:r w:rsidR="00B725FB">
            <w:fldChar w:fldCharType="separate"/>
          </w:r>
          <w:r w:rsidR="001F644F" w:rsidRPr="001F644F">
            <w:rPr>
              <w:noProof/>
              <w:color w:val="869189"/>
              <w:sz w:val="16"/>
              <w:szCs w:val="16"/>
            </w:rPr>
            <w:t>2</w:t>
          </w:r>
          <w:r w:rsidR="00B725FB">
            <w:rPr>
              <w:noProof/>
              <w:color w:val="869189"/>
              <w:sz w:val="16"/>
              <w:szCs w:val="16"/>
            </w:rPr>
            <w:fldChar w:fldCharType="end"/>
          </w:r>
        </w:p>
      </w:tc>
    </w:tr>
  </w:tbl>
  <w:p w:rsidR="00446777" w:rsidRPr="00A06795" w:rsidRDefault="00446777" w:rsidP="00435CCC">
    <w:pPr>
      <w:pStyle w:val="Footer"/>
      <w:tabs>
        <w:tab w:val="clear" w:pos="4536"/>
        <w:tab w:val="clear" w:pos="9072"/>
        <w:tab w:val="right" w:pos="793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062"/>
      <w:gridCol w:w="2091"/>
    </w:tblGrid>
    <w:tr w:rsidR="00446777" w:rsidRPr="00AA03D3">
      <w:tc>
        <w:tcPr>
          <w:tcW w:w="6062" w:type="dxa"/>
        </w:tcPr>
        <w:p w:rsidR="00446777" w:rsidRPr="00AA03D3" w:rsidRDefault="00446777">
          <w:pPr>
            <w:pStyle w:val="Footer"/>
            <w:tabs>
              <w:tab w:val="clear" w:pos="4536"/>
              <w:tab w:val="clear" w:pos="9072"/>
              <w:tab w:val="center" w:pos="3969"/>
              <w:tab w:val="right" w:pos="7938"/>
            </w:tabs>
            <w:rPr>
              <w:color w:val="868789"/>
              <w:sz w:val="16"/>
              <w:szCs w:val="16"/>
            </w:rPr>
          </w:pPr>
        </w:p>
      </w:tc>
      <w:tc>
        <w:tcPr>
          <w:tcW w:w="2091" w:type="dxa"/>
        </w:tcPr>
        <w:p w:rsidR="00446777" w:rsidRPr="00AA03D3" w:rsidRDefault="00446777" w:rsidP="00435CCC">
          <w:pPr>
            <w:pStyle w:val="Footer"/>
            <w:tabs>
              <w:tab w:val="clear" w:pos="4536"/>
              <w:tab w:val="clear" w:pos="9072"/>
              <w:tab w:val="center" w:pos="3969"/>
              <w:tab w:val="right" w:pos="7938"/>
            </w:tabs>
            <w:jc w:val="right"/>
            <w:rPr>
              <w:color w:val="868789"/>
              <w:sz w:val="16"/>
              <w:szCs w:val="16"/>
            </w:rPr>
          </w:pPr>
        </w:p>
      </w:tc>
    </w:tr>
  </w:tbl>
  <w:p w:rsidR="00446777" w:rsidRPr="00F35D36" w:rsidRDefault="00446777">
    <w:pPr>
      <w:pStyle w:val="Footer"/>
      <w:tabs>
        <w:tab w:val="clear" w:pos="4536"/>
        <w:tab w:val="clear" w:pos="9072"/>
        <w:tab w:val="center" w:pos="3969"/>
        <w:tab w:val="right" w:pos="7938"/>
      </w:tabs>
      <w:rPr>
        <w:color w:val="868789"/>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25FB" w:rsidRDefault="00B725FB" w:rsidP="004628AA">
      <w:pPr>
        <w:spacing w:after="0" w:line="240" w:lineRule="auto"/>
      </w:pPr>
      <w:r>
        <w:separator/>
      </w:r>
    </w:p>
  </w:footnote>
  <w:footnote w:type="continuationSeparator" w:id="0">
    <w:p w:rsidR="00B725FB" w:rsidRDefault="00B725FB" w:rsidP="004628A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953309"/>
    <w:multiLevelType w:val="hybridMultilevel"/>
    <w:tmpl w:val="4C06E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E0E"/>
    <w:rsid w:val="00011A94"/>
    <w:rsid w:val="00025FC4"/>
    <w:rsid w:val="000555A3"/>
    <w:rsid w:val="00067E1A"/>
    <w:rsid w:val="000857E1"/>
    <w:rsid w:val="00094CDE"/>
    <w:rsid w:val="000F4DC0"/>
    <w:rsid w:val="00103706"/>
    <w:rsid w:val="00112EE6"/>
    <w:rsid w:val="001F644F"/>
    <w:rsid w:val="00247A25"/>
    <w:rsid w:val="002E1956"/>
    <w:rsid w:val="00361A85"/>
    <w:rsid w:val="003B4328"/>
    <w:rsid w:val="00435CCC"/>
    <w:rsid w:val="00446777"/>
    <w:rsid w:val="004628AA"/>
    <w:rsid w:val="004C31C1"/>
    <w:rsid w:val="004C34B4"/>
    <w:rsid w:val="00513286"/>
    <w:rsid w:val="0059351F"/>
    <w:rsid w:val="005B0310"/>
    <w:rsid w:val="00660169"/>
    <w:rsid w:val="00673A85"/>
    <w:rsid w:val="00681E1D"/>
    <w:rsid w:val="006C06CB"/>
    <w:rsid w:val="006D1BA9"/>
    <w:rsid w:val="0071424F"/>
    <w:rsid w:val="00736818"/>
    <w:rsid w:val="00823A10"/>
    <w:rsid w:val="00865532"/>
    <w:rsid w:val="008679BE"/>
    <w:rsid w:val="00873E0B"/>
    <w:rsid w:val="008A4E4C"/>
    <w:rsid w:val="008B7DCC"/>
    <w:rsid w:val="008D76C9"/>
    <w:rsid w:val="00915A7B"/>
    <w:rsid w:val="0096585D"/>
    <w:rsid w:val="009E4FEA"/>
    <w:rsid w:val="009F4154"/>
    <w:rsid w:val="009F6051"/>
    <w:rsid w:val="00A52C19"/>
    <w:rsid w:val="00A71956"/>
    <w:rsid w:val="00AA54BF"/>
    <w:rsid w:val="00AC00E7"/>
    <w:rsid w:val="00AD2E0E"/>
    <w:rsid w:val="00B725FB"/>
    <w:rsid w:val="00B853E6"/>
    <w:rsid w:val="00B926F3"/>
    <w:rsid w:val="00BB7F35"/>
    <w:rsid w:val="00C67DED"/>
    <w:rsid w:val="00CA0450"/>
    <w:rsid w:val="00CD0C9B"/>
    <w:rsid w:val="00CE7A30"/>
    <w:rsid w:val="00CF7221"/>
    <w:rsid w:val="00DA4092"/>
    <w:rsid w:val="00DC4990"/>
    <w:rsid w:val="00E55189"/>
    <w:rsid w:val="00F12C15"/>
    <w:rsid w:val="00F20CED"/>
    <w:rsid w:val="00F31235"/>
    <w:rsid w:val="00FB1C20"/>
    <w:rsid w:val="00FD3676"/>
  </w:rsids>
  <m:mathPr>
    <m:mathFont m:val="Cambria Math"/>
    <m:brkBin m:val="before"/>
    <m:brkBinSub m:val="--"/>
    <m:smallFrac m:val="0"/>
    <m:dispDef/>
    <m:lMargin m:val="0"/>
    <m:rMargin m:val="0"/>
    <m:defJc m:val="centerGroup"/>
    <m:wrapIndent m:val="1440"/>
    <m:intLim m:val="subSup"/>
    <m:naryLim m:val="undOvr"/>
  </m:mathPr>
  <w:themeFontLang w:val="en-GB"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8"/>
        <w:lang w:val="en-GB" w:eastAsia="zh-CN"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E0E"/>
    <w:pPr>
      <w:spacing w:after="220" w:line="280" w:lineRule="atLeast"/>
    </w:pPr>
    <w:rPr>
      <w:rFonts w:ascii="Arial" w:eastAsia="Times New Roman" w:hAnsi="Arial" w:cs="Arial"/>
      <w:sz w:val="20"/>
      <w:szCs w:val="20"/>
      <w:lang w:eastAsia="en-US" w:bidi="ar-SA"/>
    </w:rPr>
  </w:style>
  <w:style w:type="paragraph" w:styleId="Heading1">
    <w:name w:val="heading 1"/>
    <w:basedOn w:val="Normal"/>
    <w:next w:val="Normal"/>
    <w:link w:val="Heading1Char"/>
    <w:uiPriority w:val="9"/>
    <w:qFormat/>
    <w:rsid w:val="00915A7B"/>
    <w:pPr>
      <w:keepNext/>
      <w:keepLines/>
      <w:spacing w:before="480" w:after="0"/>
      <w:outlineLvl w:val="0"/>
    </w:pPr>
    <w:rPr>
      <w:rFonts w:asciiTheme="majorHAnsi" w:eastAsiaTheme="majorEastAsia" w:hAnsiTheme="majorHAnsi" w:cstheme="majorBidi"/>
      <w:b/>
      <w:bCs/>
      <w:color w:val="9D0C33" w:themeColor="accent1" w:themeShade="BF"/>
      <w:sz w:val="28"/>
      <w:szCs w:val="35"/>
    </w:rPr>
  </w:style>
  <w:style w:type="paragraph" w:styleId="Heading2">
    <w:name w:val="heading 2"/>
    <w:basedOn w:val="Normal"/>
    <w:next w:val="Normal"/>
    <w:link w:val="Heading2Char"/>
    <w:uiPriority w:val="9"/>
    <w:unhideWhenUsed/>
    <w:qFormat/>
    <w:rsid w:val="00915A7B"/>
    <w:pPr>
      <w:keepNext/>
      <w:keepLines/>
      <w:spacing w:before="200" w:after="0"/>
      <w:outlineLvl w:val="1"/>
    </w:pPr>
    <w:rPr>
      <w:rFonts w:asciiTheme="majorHAnsi" w:eastAsiaTheme="majorEastAsia" w:hAnsiTheme="majorHAnsi" w:cstheme="majorBidi"/>
      <w:b/>
      <w:bCs/>
      <w:color w:val="D31145" w:themeColor="accent1"/>
      <w:sz w:val="26"/>
      <w:szCs w:val="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5A7B"/>
    <w:rPr>
      <w:rFonts w:asciiTheme="majorHAnsi" w:eastAsiaTheme="majorEastAsia" w:hAnsiTheme="majorHAnsi" w:cstheme="majorBidi"/>
      <w:b/>
      <w:bCs/>
      <w:color w:val="9D0C33" w:themeColor="accent1" w:themeShade="BF"/>
      <w:sz w:val="28"/>
      <w:szCs w:val="35"/>
    </w:rPr>
  </w:style>
  <w:style w:type="character" w:customStyle="1" w:styleId="Heading2Char">
    <w:name w:val="Heading 2 Char"/>
    <w:basedOn w:val="DefaultParagraphFont"/>
    <w:link w:val="Heading2"/>
    <w:uiPriority w:val="9"/>
    <w:rsid w:val="00915A7B"/>
    <w:rPr>
      <w:rFonts w:asciiTheme="majorHAnsi" w:eastAsiaTheme="majorEastAsia" w:hAnsiTheme="majorHAnsi" w:cstheme="majorBidi"/>
      <w:b/>
      <w:bCs/>
      <w:color w:val="D31145" w:themeColor="accent1"/>
      <w:sz w:val="26"/>
      <w:szCs w:val="33"/>
    </w:rPr>
  </w:style>
  <w:style w:type="paragraph" w:styleId="Title">
    <w:name w:val="Title"/>
    <w:basedOn w:val="Normal"/>
    <w:next w:val="Normal"/>
    <w:link w:val="TitleChar"/>
    <w:uiPriority w:val="99"/>
    <w:qFormat/>
    <w:rsid w:val="00915A7B"/>
    <w:pPr>
      <w:pBdr>
        <w:bottom w:val="single" w:sz="8" w:space="4" w:color="4F81BD"/>
      </w:pBdr>
      <w:spacing w:after="300" w:line="240" w:lineRule="auto"/>
      <w:contextualSpacing/>
    </w:pPr>
    <w:rPr>
      <w:rFonts w:ascii="Cambria" w:eastAsia="SimSun" w:hAnsi="Cambria" w:cs="Cambria"/>
      <w:color w:val="A94E91" w:themeColor="accent6"/>
      <w:spacing w:val="5"/>
      <w:kern w:val="28"/>
      <w:sz w:val="52"/>
      <w:szCs w:val="52"/>
    </w:rPr>
  </w:style>
  <w:style w:type="character" w:customStyle="1" w:styleId="TitleChar">
    <w:name w:val="Title Char"/>
    <w:basedOn w:val="DefaultParagraphFont"/>
    <w:link w:val="Title"/>
    <w:uiPriority w:val="99"/>
    <w:rsid w:val="00915A7B"/>
    <w:rPr>
      <w:rFonts w:ascii="Cambria" w:eastAsia="SimSun" w:hAnsi="Cambria" w:cs="Cambria"/>
      <w:color w:val="A94E91" w:themeColor="accent6"/>
      <w:spacing w:val="5"/>
      <w:kern w:val="28"/>
      <w:sz w:val="52"/>
      <w:szCs w:val="52"/>
      <w:lang w:bidi="ar-SA"/>
    </w:rPr>
  </w:style>
  <w:style w:type="paragraph" w:styleId="Footer">
    <w:name w:val="footer"/>
    <w:basedOn w:val="Normal"/>
    <w:link w:val="FooterChar"/>
    <w:rsid w:val="00AD2E0E"/>
    <w:pPr>
      <w:tabs>
        <w:tab w:val="center" w:pos="4536"/>
        <w:tab w:val="right" w:pos="9072"/>
      </w:tabs>
    </w:pPr>
    <w:rPr>
      <w:sz w:val="12"/>
    </w:rPr>
  </w:style>
  <w:style w:type="character" w:customStyle="1" w:styleId="FooterChar">
    <w:name w:val="Footer Char"/>
    <w:basedOn w:val="DefaultParagraphFont"/>
    <w:link w:val="Footer"/>
    <w:rsid w:val="00AD2E0E"/>
    <w:rPr>
      <w:rFonts w:ascii="Arial" w:eastAsia="Times New Roman" w:hAnsi="Arial" w:cs="Arial"/>
      <w:sz w:val="12"/>
      <w:szCs w:val="20"/>
      <w:lang w:eastAsia="en-US" w:bidi="ar-SA"/>
    </w:rPr>
  </w:style>
  <w:style w:type="character" w:styleId="Hyperlink">
    <w:name w:val="Hyperlink"/>
    <w:basedOn w:val="DefaultParagraphFont"/>
    <w:uiPriority w:val="99"/>
    <w:rsid w:val="00AD2E0E"/>
    <w:rPr>
      <w:color w:val="0000FF"/>
      <w:u w:val="single"/>
    </w:rPr>
  </w:style>
  <w:style w:type="paragraph" w:styleId="NormalWeb">
    <w:name w:val="Normal (Web)"/>
    <w:aliases w:val=" webb"/>
    <w:basedOn w:val="Normal"/>
    <w:uiPriority w:val="99"/>
    <w:rsid w:val="00AD2E0E"/>
    <w:rPr>
      <w:szCs w:val="24"/>
    </w:rPr>
  </w:style>
  <w:style w:type="table" w:styleId="TableGrid">
    <w:name w:val="Table Grid"/>
    <w:basedOn w:val="TableNormal"/>
    <w:rsid w:val="00AD2E0E"/>
    <w:pPr>
      <w:spacing w:after="130" w:line="280" w:lineRule="atLeast"/>
    </w:pPr>
    <w:rPr>
      <w:rFonts w:ascii="Times New Roman" w:eastAsia="Times New Roman" w:hAnsi="Times New Roman" w:cs="Times New Roman"/>
      <w:sz w:val="20"/>
      <w:szCs w:val="20"/>
      <w:lang w:val="sv-SE" w:eastAsia="sv-SE"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rsid w:val="00AD2E0E"/>
    <w:pPr>
      <w:spacing w:after="120"/>
      <w:ind w:left="720"/>
    </w:pPr>
  </w:style>
  <w:style w:type="paragraph" w:styleId="Header">
    <w:name w:val="header"/>
    <w:basedOn w:val="Normal"/>
    <w:link w:val="HeaderChar"/>
    <w:uiPriority w:val="99"/>
    <w:semiHidden/>
    <w:unhideWhenUsed/>
    <w:rsid w:val="00435CC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35CCC"/>
    <w:rPr>
      <w:rFonts w:ascii="Arial" w:eastAsia="Times New Roman" w:hAnsi="Arial" w:cs="Arial"/>
      <w:sz w:val="20"/>
      <w:szCs w:val="20"/>
      <w:lang w:eastAsia="en-US" w:bidi="ar-SA"/>
    </w:rPr>
  </w:style>
  <w:style w:type="character" w:styleId="FollowedHyperlink">
    <w:name w:val="FollowedHyperlink"/>
    <w:basedOn w:val="DefaultParagraphFont"/>
    <w:uiPriority w:val="99"/>
    <w:semiHidden/>
    <w:unhideWhenUsed/>
    <w:rsid w:val="00B926F3"/>
    <w:rPr>
      <w:color w:val="F89828"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8"/>
        <w:lang w:val="en-GB" w:eastAsia="zh-CN"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E0E"/>
    <w:pPr>
      <w:spacing w:after="220" w:line="280" w:lineRule="atLeast"/>
    </w:pPr>
    <w:rPr>
      <w:rFonts w:ascii="Arial" w:eastAsia="Times New Roman" w:hAnsi="Arial" w:cs="Arial"/>
      <w:sz w:val="20"/>
      <w:szCs w:val="20"/>
      <w:lang w:eastAsia="en-US" w:bidi="ar-SA"/>
    </w:rPr>
  </w:style>
  <w:style w:type="paragraph" w:styleId="Heading1">
    <w:name w:val="heading 1"/>
    <w:basedOn w:val="Normal"/>
    <w:next w:val="Normal"/>
    <w:link w:val="Heading1Char"/>
    <w:uiPriority w:val="9"/>
    <w:qFormat/>
    <w:rsid w:val="00915A7B"/>
    <w:pPr>
      <w:keepNext/>
      <w:keepLines/>
      <w:spacing w:before="480" w:after="0"/>
      <w:outlineLvl w:val="0"/>
    </w:pPr>
    <w:rPr>
      <w:rFonts w:asciiTheme="majorHAnsi" w:eastAsiaTheme="majorEastAsia" w:hAnsiTheme="majorHAnsi" w:cstheme="majorBidi"/>
      <w:b/>
      <w:bCs/>
      <w:color w:val="9D0C33" w:themeColor="accent1" w:themeShade="BF"/>
      <w:sz w:val="28"/>
      <w:szCs w:val="35"/>
    </w:rPr>
  </w:style>
  <w:style w:type="paragraph" w:styleId="Heading2">
    <w:name w:val="heading 2"/>
    <w:basedOn w:val="Normal"/>
    <w:next w:val="Normal"/>
    <w:link w:val="Heading2Char"/>
    <w:uiPriority w:val="9"/>
    <w:unhideWhenUsed/>
    <w:qFormat/>
    <w:rsid w:val="00915A7B"/>
    <w:pPr>
      <w:keepNext/>
      <w:keepLines/>
      <w:spacing w:before="200" w:after="0"/>
      <w:outlineLvl w:val="1"/>
    </w:pPr>
    <w:rPr>
      <w:rFonts w:asciiTheme="majorHAnsi" w:eastAsiaTheme="majorEastAsia" w:hAnsiTheme="majorHAnsi" w:cstheme="majorBidi"/>
      <w:b/>
      <w:bCs/>
      <w:color w:val="D31145" w:themeColor="accent1"/>
      <w:sz w:val="26"/>
      <w:szCs w:val="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5A7B"/>
    <w:rPr>
      <w:rFonts w:asciiTheme="majorHAnsi" w:eastAsiaTheme="majorEastAsia" w:hAnsiTheme="majorHAnsi" w:cstheme="majorBidi"/>
      <w:b/>
      <w:bCs/>
      <w:color w:val="9D0C33" w:themeColor="accent1" w:themeShade="BF"/>
      <w:sz w:val="28"/>
      <w:szCs w:val="35"/>
    </w:rPr>
  </w:style>
  <w:style w:type="character" w:customStyle="1" w:styleId="Heading2Char">
    <w:name w:val="Heading 2 Char"/>
    <w:basedOn w:val="DefaultParagraphFont"/>
    <w:link w:val="Heading2"/>
    <w:uiPriority w:val="9"/>
    <w:rsid w:val="00915A7B"/>
    <w:rPr>
      <w:rFonts w:asciiTheme="majorHAnsi" w:eastAsiaTheme="majorEastAsia" w:hAnsiTheme="majorHAnsi" w:cstheme="majorBidi"/>
      <w:b/>
      <w:bCs/>
      <w:color w:val="D31145" w:themeColor="accent1"/>
      <w:sz w:val="26"/>
      <w:szCs w:val="33"/>
    </w:rPr>
  </w:style>
  <w:style w:type="paragraph" w:styleId="Title">
    <w:name w:val="Title"/>
    <w:basedOn w:val="Normal"/>
    <w:next w:val="Normal"/>
    <w:link w:val="TitleChar"/>
    <w:uiPriority w:val="99"/>
    <w:qFormat/>
    <w:rsid w:val="00915A7B"/>
    <w:pPr>
      <w:pBdr>
        <w:bottom w:val="single" w:sz="8" w:space="4" w:color="4F81BD"/>
      </w:pBdr>
      <w:spacing w:after="300" w:line="240" w:lineRule="auto"/>
      <w:contextualSpacing/>
    </w:pPr>
    <w:rPr>
      <w:rFonts w:ascii="Cambria" w:eastAsia="SimSun" w:hAnsi="Cambria" w:cs="Cambria"/>
      <w:color w:val="A94E91" w:themeColor="accent6"/>
      <w:spacing w:val="5"/>
      <w:kern w:val="28"/>
      <w:sz w:val="52"/>
      <w:szCs w:val="52"/>
    </w:rPr>
  </w:style>
  <w:style w:type="character" w:customStyle="1" w:styleId="TitleChar">
    <w:name w:val="Title Char"/>
    <w:basedOn w:val="DefaultParagraphFont"/>
    <w:link w:val="Title"/>
    <w:uiPriority w:val="99"/>
    <w:rsid w:val="00915A7B"/>
    <w:rPr>
      <w:rFonts w:ascii="Cambria" w:eastAsia="SimSun" w:hAnsi="Cambria" w:cs="Cambria"/>
      <w:color w:val="A94E91" w:themeColor="accent6"/>
      <w:spacing w:val="5"/>
      <w:kern w:val="28"/>
      <w:sz w:val="52"/>
      <w:szCs w:val="52"/>
      <w:lang w:bidi="ar-SA"/>
    </w:rPr>
  </w:style>
  <w:style w:type="paragraph" w:styleId="Footer">
    <w:name w:val="footer"/>
    <w:basedOn w:val="Normal"/>
    <w:link w:val="FooterChar"/>
    <w:rsid w:val="00AD2E0E"/>
    <w:pPr>
      <w:tabs>
        <w:tab w:val="center" w:pos="4536"/>
        <w:tab w:val="right" w:pos="9072"/>
      </w:tabs>
    </w:pPr>
    <w:rPr>
      <w:sz w:val="12"/>
    </w:rPr>
  </w:style>
  <w:style w:type="character" w:customStyle="1" w:styleId="FooterChar">
    <w:name w:val="Footer Char"/>
    <w:basedOn w:val="DefaultParagraphFont"/>
    <w:link w:val="Footer"/>
    <w:rsid w:val="00AD2E0E"/>
    <w:rPr>
      <w:rFonts w:ascii="Arial" w:eastAsia="Times New Roman" w:hAnsi="Arial" w:cs="Arial"/>
      <w:sz w:val="12"/>
      <w:szCs w:val="20"/>
      <w:lang w:eastAsia="en-US" w:bidi="ar-SA"/>
    </w:rPr>
  </w:style>
  <w:style w:type="character" w:styleId="Hyperlink">
    <w:name w:val="Hyperlink"/>
    <w:basedOn w:val="DefaultParagraphFont"/>
    <w:uiPriority w:val="99"/>
    <w:rsid w:val="00AD2E0E"/>
    <w:rPr>
      <w:color w:val="0000FF"/>
      <w:u w:val="single"/>
    </w:rPr>
  </w:style>
  <w:style w:type="paragraph" w:styleId="NormalWeb">
    <w:name w:val="Normal (Web)"/>
    <w:aliases w:val=" webb"/>
    <w:basedOn w:val="Normal"/>
    <w:uiPriority w:val="99"/>
    <w:rsid w:val="00AD2E0E"/>
    <w:rPr>
      <w:szCs w:val="24"/>
    </w:rPr>
  </w:style>
  <w:style w:type="table" w:styleId="TableGrid">
    <w:name w:val="Table Grid"/>
    <w:basedOn w:val="TableNormal"/>
    <w:rsid w:val="00AD2E0E"/>
    <w:pPr>
      <w:spacing w:after="130" w:line="280" w:lineRule="atLeast"/>
    </w:pPr>
    <w:rPr>
      <w:rFonts w:ascii="Times New Roman" w:eastAsia="Times New Roman" w:hAnsi="Times New Roman" w:cs="Times New Roman"/>
      <w:sz w:val="20"/>
      <w:szCs w:val="20"/>
      <w:lang w:val="sv-SE" w:eastAsia="sv-SE"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rsid w:val="00AD2E0E"/>
    <w:pPr>
      <w:spacing w:after="120"/>
      <w:ind w:left="720"/>
    </w:pPr>
  </w:style>
  <w:style w:type="paragraph" w:styleId="Header">
    <w:name w:val="header"/>
    <w:basedOn w:val="Normal"/>
    <w:link w:val="HeaderChar"/>
    <w:uiPriority w:val="99"/>
    <w:semiHidden/>
    <w:unhideWhenUsed/>
    <w:rsid w:val="00435CC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35CCC"/>
    <w:rPr>
      <w:rFonts w:ascii="Arial" w:eastAsia="Times New Roman" w:hAnsi="Arial" w:cs="Arial"/>
      <w:sz w:val="20"/>
      <w:szCs w:val="20"/>
      <w:lang w:eastAsia="en-US" w:bidi="ar-SA"/>
    </w:rPr>
  </w:style>
  <w:style w:type="character" w:styleId="FollowedHyperlink">
    <w:name w:val="FollowedHyperlink"/>
    <w:basedOn w:val="DefaultParagraphFont"/>
    <w:uiPriority w:val="99"/>
    <w:semiHidden/>
    <w:unhideWhenUsed/>
    <w:rsid w:val="00B926F3"/>
    <w:rPr>
      <w:color w:val="F89828"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567277">
      <w:bodyDiv w:val="1"/>
      <w:marLeft w:val="0"/>
      <w:marRight w:val="0"/>
      <w:marTop w:val="0"/>
      <w:marBottom w:val="0"/>
      <w:divBdr>
        <w:top w:val="none" w:sz="0" w:space="0" w:color="auto"/>
        <w:left w:val="none" w:sz="0" w:space="0" w:color="auto"/>
        <w:bottom w:val="none" w:sz="0" w:space="0" w:color="auto"/>
        <w:right w:val="none" w:sz="0" w:space="0" w:color="auto"/>
      </w:divBdr>
    </w:div>
    <w:div w:id="1376007688">
      <w:bodyDiv w:val="1"/>
      <w:marLeft w:val="0"/>
      <w:marRight w:val="0"/>
      <w:marTop w:val="0"/>
      <w:marBottom w:val="0"/>
      <w:divBdr>
        <w:top w:val="none" w:sz="0" w:space="0" w:color="auto"/>
        <w:left w:val="none" w:sz="0" w:space="0" w:color="auto"/>
        <w:bottom w:val="none" w:sz="0" w:space="0" w:color="auto"/>
        <w:right w:val="none" w:sz="0" w:space="0" w:color="auto"/>
      </w:divBdr>
      <w:divsChild>
        <w:div w:id="1408068985">
          <w:marLeft w:val="0"/>
          <w:marRight w:val="0"/>
          <w:marTop w:val="0"/>
          <w:marBottom w:val="0"/>
          <w:divBdr>
            <w:top w:val="none" w:sz="0" w:space="0" w:color="auto"/>
            <w:left w:val="none" w:sz="0" w:space="0" w:color="auto"/>
            <w:bottom w:val="none" w:sz="0" w:space="0" w:color="auto"/>
            <w:right w:val="none" w:sz="0" w:space="0" w:color="auto"/>
          </w:divBdr>
          <w:divsChild>
            <w:div w:id="374500879">
              <w:marLeft w:val="0"/>
              <w:marRight w:val="0"/>
              <w:marTop w:val="0"/>
              <w:marBottom w:val="0"/>
              <w:divBdr>
                <w:top w:val="none" w:sz="0" w:space="0" w:color="auto"/>
                <w:left w:val="none" w:sz="0" w:space="0" w:color="auto"/>
                <w:bottom w:val="none" w:sz="0" w:space="0" w:color="auto"/>
                <w:right w:val="none" w:sz="0" w:space="0" w:color="auto"/>
              </w:divBdr>
              <w:divsChild>
                <w:div w:id="169325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megroup.com/trading/interest-rates/index.html" TargetMode="External"/><Relationship Id="rId18" Type="http://schemas.openxmlformats.org/officeDocument/2006/relationships/hyperlink" Target="http://www.cmegroup.com/trading/metals/" TargetMode="External"/><Relationship Id="rId26" Type="http://schemas.openxmlformats.org/officeDocument/2006/relationships/hyperlink" Target="http://cmegroup.mediaroom.com/" TargetMode="External"/><Relationship Id="rId3" Type="http://schemas.microsoft.com/office/2007/relationships/stylesWithEffects" Target="stylesWithEffects.xml"/><Relationship Id="rId21" Type="http://schemas.openxmlformats.org/officeDocument/2006/relationships/hyperlink" Target="http://www.cmegroup.com/globex/index.html" TargetMode="External"/><Relationship Id="rId7" Type="http://schemas.openxmlformats.org/officeDocument/2006/relationships/endnotes" Target="endnotes.xml"/><Relationship Id="rId12" Type="http://schemas.openxmlformats.org/officeDocument/2006/relationships/hyperlink" Target="http://www.cmegroup.com/" TargetMode="External"/><Relationship Id="rId17" Type="http://schemas.openxmlformats.org/officeDocument/2006/relationships/hyperlink" Target="http://www.cmegroup.com/trading/agricultural/" TargetMode="External"/><Relationship Id="rId25" Type="http://schemas.openxmlformats.org/officeDocument/2006/relationships/hyperlink" Target="http://www.cmegroup.com/education/index.html" TargetMode="External"/><Relationship Id="rId2" Type="http://schemas.openxmlformats.org/officeDocument/2006/relationships/styles" Target="styles.xml"/><Relationship Id="rId16" Type="http://schemas.openxmlformats.org/officeDocument/2006/relationships/hyperlink" Target="http://www.cmegroup.com/trading/energy/" TargetMode="External"/><Relationship Id="rId20" Type="http://schemas.openxmlformats.org/officeDocument/2006/relationships/hyperlink" Target="http://www.cmegroup.com/trading/real-estate/"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megroup.com/trading/cme-direct/index.html" TargetMode="External"/><Relationship Id="rId24" Type="http://schemas.openxmlformats.org/officeDocument/2006/relationships/hyperlink" Target="http://www.cmegroup.com/tools-information/index.htm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megroup.com/trading/fx/" TargetMode="External"/><Relationship Id="rId23" Type="http://schemas.openxmlformats.org/officeDocument/2006/relationships/hyperlink" Target="http://www.cmeclearingeurope.com/index.html" TargetMode="External"/><Relationship Id="rId28" Type="http://schemas.openxmlformats.org/officeDocument/2006/relationships/hyperlink" Target="http://openmarkets.cmegroup.com/" TargetMode="External"/><Relationship Id="rId10" Type="http://schemas.openxmlformats.org/officeDocument/2006/relationships/hyperlink" Target="http://cmegroup.mediaroom.com/index.php?s=43&amp;item=3241&amp;pagetemplate=article" TargetMode="External"/><Relationship Id="rId19" Type="http://schemas.openxmlformats.org/officeDocument/2006/relationships/hyperlink" Target="http://www.cmegroup.com/trading/weather/"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megroup.mediaroom.com/index.php?s=43&amp;item=3124&amp;pagetemplate=article" TargetMode="External"/><Relationship Id="rId14" Type="http://schemas.openxmlformats.org/officeDocument/2006/relationships/hyperlink" Target="http://www.cmegroup.com/trading/equity-index/index.html" TargetMode="External"/><Relationship Id="rId22" Type="http://schemas.openxmlformats.org/officeDocument/2006/relationships/hyperlink" Target="http://www.cmegroup.com/clearing/index.html" TargetMode="External"/><Relationship Id="rId27" Type="http://schemas.openxmlformats.org/officeDocument/2006/relationships/hyperlink" Target="http://www.cmegroup.com/tools-information/communications/sub-center.html" TargetMode="Externa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KreGav">
      <a:dk1>
        <a:sysClr val="windowText" lastClr="000000"/>
      </a:dk1>
      <a:lt1>
        <a:sysClr val="window" lastClr="FFFFFF"/>
      </a:lt1>
      <a:dk2>
        <a:srgbClr val="0C2E82"/>
      </a:dk2>
      <a:lt2>
        <a:srgbClr val="FFFFFF"/>
      </a:lt2>
      <a:accent1>
        <a:srgbClr val="D31145"/>
      </a:accent1>
      <a:accent2>
        <a:srgbClr val="0C2E82"/>
      </a:accent2>
      <a:accent3>
        <a:srgbClr val="666666"/>
      </a:accent3>
      <a:accent4>
        <a:srgbClr val="009DDC"/>
      </a:accent4>
      <a:accent5>
        <a:srgbClr val="F89828"/>
      </a:accent5>
      <a:accent6>
        <a:srgbClr val="A94E91"/>
      </a:accent6>
      <a:hlink>
        <a:srgbClr val="009DDC"/>
      </a:hlink>
      <a:folHlink>
        <a:srgbClr val="F8982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899</Words>
  <Characters>5128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Kreab Gavin Anderson</Company>
  <LinksUpToDate>false</LinksUpToDate>
  <CharactersWithSpaces>6015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Madeleine Palmstierna</dc:creator>
  <cp:lastModifiedBy>aschoenb</cp:lastModifiedBy>
  <cp:revision>4</cp:revision>
  <dcterms:created xsi:type="dcterms:W3CDTF">2012-08-20T06:35:00Z</dcterms:created>
  <dcterms:modified xsi:type="dcterms:W3CDTF">2012-08-20T06:45:00Z</dcterms:modified>
</cp:coreProperties>
</file>