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19" w:rsidRPr="00DB24D6" w:rsidRDefault="00711219" w:rsidP="00EF1CEE">
      <w:pPr>
        <w:spacing w:after="0" w:line="240" w:lineRule="auto"/>
        <w:jc w:val="both"/>
        <w:rPr>
          <w:rFonts w:ascii="Times New Roman" w:hAnsi="Times New Roman"/>
          <w:b/>
          <w:i/>
          <w:sz w:val="24"/>
          <w:szCs w:val="24"/>
        </w:rPr>
      </w:pPr>
      <w:r w:rsidRPr="00DB24D6">
        <w:rPr>
          <w:rFonts w:ascii="Times New Roman" w:hAnsi="Times New Roman"/>
          <w:b/>
          <w:i/>
          <w:sz w:val="24"/>
          <w:szCs w:val="24"/>
        </w:rPr>
        <w:t>Part of Introductions – for public expenditures</w:t>
      </w:r>
    </w:p>
    <w:p w:rsidR="00711219" w:rsidRPr="00DB24D6" w:rsidRDefault="00711219" w:rsidP="00711219">
      <w:pPr>
        <w:spacing w:after="0" w:line="240" w:lineRule="auto"/>
        <w:jc w:val="both"/>
        <w:rPr>
          <w:rFonts w:ascii="Times New Roman" w:hAnsi="Times New Roman"/>
          <w:i/>
          <w:sz w:val="24"/>
          <w:szCs w:val="24"/>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Estimating public expenditures in a particular country remains dependent on the state of information systems and the availability of data and should consider the national guidelines for the economic calculation (Kopp, P., 2015).</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autoSpaceDE w:val="0"/>
        <w:autoSpaceDN w:val="0"/>
        <w:adjustRightInd w:val="0"/>
        <w:spacing w:after="0" w:line="240" w:lineRule="auto"/>
        <w:jc w:val="both"/>
        <w:rPr>
          <w:rFonts w:ascii="Times New Roman" w:hAnsi="Times New Roman"/>
          <w:iCs/>
          <w:sz w:val="24"/>
          <w:szCs w:val="24"/>
        </w:rPr>
      </w:pPr>
      <w:r w:rsidRPr="00DB24D6">
        <w:rPr>
          <w:rFonts w:ascii="Times New Roman" w:hAnsi="Times New Roman"/>
          <w:iCs/>
          <w:sz w:val="24"/>
          <w:szCs w:val="24"/>
        </w:rPr>
        <w:t>Drug-related programmes and activities can be found at many different government levels; drug-related expenditure is frequently embedded in programmes with broader goals, explained in part due to the health, social and economic components of the drug phenomenon; the reactive nature of some drug-related expenditure, as for example, consequences of drug use and trafficking (police or law court services) cannot be easily forecasted and thus are not susceptible to having separate budget lines in appropriations. The amount of these forms of embedded expenditure can only be estimated through modelling approaches (EMCDDA, 2008).</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spacing w:after="0" w:line="240" w:lineRule="auto"/>
        <w:jc w:val="both"/>
        <w:rPr>
          <w:rFonts w:ascii="Times New Roman" w:hAnsi="Times New Roman"/>
          <w:sz w:val="24"/>
          <w:szCs w:val="24"/>
          <w:u w:val="single"/>
        </w:rPr>
      </w:pPr>
      <w:r w:rsidRPr="00DB24D6">
        <w:rPr>
          <w:rFonts w:ascii="Times New Roman" w:hAnsi="Times New Roman"/>
          <w:sz w:val="24"/>
          <w:szCs w:val="24"/>
          <w:u w:val="single"/>
        </w:rPr>
        <w:t>Comparing allocation of funds within policies and within different countries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Government expenditure reflects collective choices stemming from political processes and this varies from one country to another. International comparisons of public expenditure can only provide limited results. Many policy initiatives are unlikely to be easily transferable across countries in light of the different political, social and economic contexts that exist (EMCDDA, 2008).</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Regardless of the way countries have chosen to implement the supply reduction measures established by the UN Conventions, the effect of different approaches is still undetermined, and may jeopardise comparison between countries. If we consider prohibition versus legalization, on the one hand, consumption and the negative effects increase, and on the other, violence, so characteristic of illegal markets, would decrease (Kopp, 2006).</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Whatever the political choices are, all countries have a national drug policy and allocate significant resources to it. Based on the studies undertaken by </w:t>
      </w:r>
      <w:proofErr w:type="spellStart"/>
      <w:r w:rsidRPr="00DB24D6">
        <w:rPr>
          <w:rFonts w:ascii="Times New Roman" w:hAnsi="Times New Roman" w:cs="Times New Roman"/>
          <w:sz w:val="24"/>
          <w:szCs w:val="24"/>
        </w:rPr>
        <w:t>Kopp</w:t>
      </w:r>
      <w:proofErr w:type="spellEnd"/>
      <w:r w:rsidRPr="00DB24D6">
        <w:rPr>
          <w:rFonts w:ascii="Times New Roman" w:hAnsi="Times New Roman" w:cs="Times New Roman"/>
          <w:sz w:val="24"/>
          <w:szCs w:val="24"/>
        </w:rPr>
        <w:t xml:space="preserve"> &amp; </w:t>
      </w:r>
      <w:proofErr w:type="spellStart"/>
      <w:r w:rsidRPr="00DB24D6">
        <w:rPr>
          <w:rFonts w:ascii="Times New Roman" w:hAnsi="Times New Roman" w:cs="Times New Roman"/>
          <w:sz w:val="24"/>
          <w:szCs w:val="24"/>
        </w:rPr>
        <w:t>Fenoglio</w:t>
      </w:r>
      <w:proofErr w:type="spellEnd"/>
      <w:r w:rsidRPr="00DB24D6">
        <w:rPr>
          <w:rFonts w:ascii="Times New Roman" w:hAnsi="Times New Roman" w:cs="Times New Roman"/>
          <w:sz w:val="24"/>
          <w:szCs w:val="24"/>
        </w:rPr>
        <w:t xml:space="preserve"> (2003) </w:t>
      </w:r>
      <w:proofErr w:type="spellStart"/>
      <w:r w:rsidRPr="00DB24D6">
        <w:rPr>
          <w:rFonts w:ascii="Times New Roman" w:hAnsi="Times New Roman" w:cs="Times New Roman"/>
          <w:sz w:val="24"/>
          <w:szCs w:val="24"/>
        </w:rPr>
        <w:t>regarding</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i/>
          <w:sz w:val="24"/>
          <w:szCs w:val="24"/>
        </w:rPr>
        <w:t>per</w:t>
      </w:r>
      <w:proofErr w:type="spellEnd"/>
      <w:r w:rsidRPr="00DB24D6">
        <w:rPr>
          <w:rFonts w:ascii="Times New Roman" w:hAnsi="Times New Roman" w:cs="Times New Roman"/>
          <w:i/>
          <w:sz w:val="24"/>
          <w:szCs w:val="24"/>
        </w:rPr>
        <w:t xml:space="preserve"> </w:t>
      </w:r>
      <w:proofErr w:type="spellStart"/>
      <w:r w:rsidRPr="00DB24D6">
        <w:rPr>
          <w:rFonts w:ascii="Times New Roman" w:hAnsi="Times New Roman" w:cs="Times New Roman"/>
          <w:i/>
          <w:sz w:val="24"/>
          <w:szCs w:val="24"/>
        </w:rPr>
        <w:t>capita</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public</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expenditures</w:t>
      </w:r>
      <w:proofErr w:type="spellEnd"/>
      <w:r w:rsidRPr="00DB24D6">
        <w:rPr>
          <w:rFonts w:ascii="Times New Roman" w:hAnsi="Times New Roman" w:cs="Times New Roman"/>
          <w:sz w:val="24"/>
          <w:szCs w:val="24"/>
        </w:rPr>
        <w:t xml:space="preserve"> on </w:t>
      </w:r>
      <w:proofErr w:type="spellStart"/>
      <w:r w:rsidRPr="00DB24D6">
        <w:rPr>
          <w:rFonts w:ascii="Times New Roman" w:hAnsi="Times New Roman" w:cs="Times New Roman"/>
          <w:sz w:val="24"/>
          <w:szCs w:val="24"/>
        </w:rPr>
        <w:t>the</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fight</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against</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drugs</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in</w:t>
      </w:r>
      <w:proofErr w:type="spellEnd"/>
      <w:r w:rsidRPr="00DB24D6">
        <w:rPr>
          <w:rFonts w:ascii="Times New Roman" w:hAnsi="Times New Roman" w:cs="Times New Roman"/>
          <w:sz w:val="24"/>
          <w:szCs w:val="24"/>
        </w:rPr>
        <w:t xml:space="preserve"> a </w:t>
      </w:r>
      <w:proofErr w:type="spellStart"/>
      <w:r w:rsidRPr="00DB24D6">
        <w:rPr>
          <w:rFonts w:ascii="Times New Roman" w:hAnsi="Times New Roman" w:cs="Times New Roman"/>
          <w:sz w:val="24"/>
          <w:szCs w:val="24"/>
        </w:rPr>
        <w:t>number</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of</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European</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countries</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and</w:t>
      </w:r>
      <w:proofErr w:type="spellEnd"/>
      <w:r w:rsidRPr="00DB24D6">
        <w:rPr>
          <w:rFonts w:ascii="Times New Roman" w:hAnsi="Times New Roman" w:cs="Times New Roman"/>
          <w:sz w:val="24"/>
          <w:szCs w:val="24"/>
        </w:rPr>
        <w:t xml:space="preserve"> </w:t>
      </w:r>
      <w:proofErr w:type="spellStart"/>
      <w:r w:rsidRPr="00DB24D6">
        <w:rPr>
          <w:rFonts w:ascii="Times New Roman" w:hAnsi="Times New Roman" w:cs="Times New Roman"/>
          <w:sz w:val="24"/>
          <w:szCs w:val="24"/>
        </w:rPr>
        <w:t>the</w:t>
      </w:r>
      <w:proofErr w:type="spellEnd"/>
      <w:r w:rsidRPr="00DB24D6">
        <w:rPr>
          <w:rFonts w:ascii="Times New Roman" w:hAnsi="Times New Roman" w:cs="Times New Roman"/>
          <w:sz w:val="24"/>
          <w:szCs w:val="24"/>
        </w:rPr>
        <w:t xml:space="preserve"> United </w:t>
      </w:r>
      <w:proofErr w:type="spellStart"/>
      <w:r w:rsidRPr="00DB24D6">
        <w:rPr>
          <w:rFonts w:ascii="Times New Roman" w:hAnsi="Times New Roman" w:cs="Times New Roman"/>
          <w:sz w:val="24"/>
          <w:szCs w:val="24"/>
        </w:rPr>
        <w:t>States</w:t>
      </w:r>
      <w:proofErr w:type="spellEnd"/>
      <w:r w:rsidRPr="00DB24D6">
        <w:rPr>
          <w:rFonts w:ascii="Times New Roman" w:hAnsi="Times New Roman" w:cs="Times New Roman"/>
          <w:sz w:val="24"/>
          <w:szCs w:val="24"/>
        </w:rPr>
        <w:t xml:space="preserve">, </w:t>
      </w:r>
      <w:r w:rsidRPr="00DB24D6">
        <w:rPr>
          <w:rFonts w:ascii="Times New Roman" w:hAnsi="Times New Roman" w:cs="Times New Roman"/>
          <w:iCs/>
          <w:sz w:val="24"/>
          <w:szCs w:val="24"/>
          <w:lang w:val="en-GB"/>
        </w:rPr>
        <w:t>Kopp (2006) observes a certain convergence within the 70%-30% ratio, amongst the countries, 70% for supply reduction and 30% for demand reduction.</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Countries that have implemented decriminalization claim that driving away the stigma of criminality from the consumption of illicit drugs allows for earlier interventions and an health-based approach with significant results on health indicators (</w:t>
      </w:r>
      <w:proofErr w:type="spellStart"/>
      <w:r w:rsidRPr="00DB24D6">
        <w:rPr>
          <w:rFonts w:ascii="Times New Roman" w:hAnsi="Times New Roman" w:cs="Times New Roman"/>
          <w:iCs/>
          <w:sz w:val="24"/>
          <w:szCs w:val="24"/>
          <w:lang w:val="en-GB"/>
        </w:rPr>
        <w:t>Ló</w:t>
      </w:r>
      <w:proofErr w:type="spellEnd"/>
      <w:r w:rsidRPr="00DB24D6">
        <w:rPr>
          <w:rFonts w:ascii="Times New Roman" w:hAnsi="Times New Roman" w:cs="Times New Roman"/>
          <w:iCs/>
          <w:sz w:val="24"/>
          <w:szCs w:val="24"/>
          <w:lang w:val="en-GB"/>
        </w:rPr>
        <w:t xml:space="preserve">, A. &amp; Albuquerque, S., 2015) and less criminal effects due to consumption and possession for individual use. </w:t>
      </w:r>
      <w:proofErr w:type="spellStart"/>
      <w:r w:rsidRPr="00DB24D6">
        <w:rPr>
          <w:rFonts w:ascii="Times New Roman" w:hAnsi="Times New Roman" w:cs="Times New Roman"/>
          <w:iCs/>
          <w:sz w:val="24"/>
          <w:szCs w:val="24"/>
          <w:lang w:val="en-GB"/>
        </w:rPr>
        <w:t>Gonçalves</w:t>
      </w:r>
      <w:proofErr w:type="spellEnd"/>
      <w:r w:rsidRPr="00DB24D6">
        <w:rPr>
          <w:rFonts w:ascii="Times New Roman" w:hAnsi="Times New Roman" w:cs="Times New Roman"/>
          <w:iCs/>
          <w:sz w:val="24"/>
          <w:szCs w:val="24"/>
          <w:lang w:val="en-GB"/>
        </w:rPr>
        <w:t xml:space="preserve"> &amp; </w:t>
      </w:r>
      <w:r w:rsidRPr="00DB24D6">
        <w:rPr>
          <w:rFonts w:ascii="Times New Roman" w:hAnsi="Times New Roman" w:cs="Times New Roman"/>
          <w:i/>
          <w:iCs/>
          <w:sz w:val="24"/>
          <w:szCs w:val="24"/>
          <w:lang w:val="en-GB"/>
        </w:rPr>
        <w:t>all</w:t>
      </w:r>
      <w:r w:rsidRPr="00DB24D6">
        <w:rPr>
          <w:rFonts w:ascii="Times New Roman" w:hAnsi="Times New Roman" w:cs="Times New Roman"/>
          <w:iCs/>
          <w:sz w:val="24"/>
          <w:szCs w:val="24"/>
          <w:lang w:val="en-GB"/>
        </w:rPr>
        <w:t xml:space="preserve"> (2014) observe significant reduction in the Portuguese drug non-health related direct and indirect costs over the period between 2000 and 2004, namely legal system (direct) costs associated with criminal proceedings from drug-law offences and, particularly, (indirect) costs associated with lost income and lost production of individuals imprisoned for drug-law offences. They refrain, however, from drawing conclusions in regard to the clear causal relationships due to the implementation of the new Portuguese National Strategy for the Fight against Drugs</w:t>
      </w:r>
      <w:r w:rsidRPr="00DB24D6">
        <w:rPr>
          <w:rFonts w:ascii="Times New Roman" w:hAnsi="Times New Roman" w:cs="Times New Roman"/>
          <w:sz w:val="24"/>
          <w:szCs w:val="24"/>
        </w:rPr>
        <w:t xml:space="preserve"> </w:t>
      </w:r>
      <w:r w:rsidRPr="00DB24D6">
        <w:rPr>
          <w:rFonts w:ascii="Times New Roman" w:hAnsi="Times New Roman" w:cs="Times New Roman"/>
          <w:iCs/>
          <w:sz w:val="24"/>
          <w:szCs w:val="24"/>
          <w:lang w:val="en-GB"/>
        </w:rPr>
        <w:t>(NSFAD), following which the drug decriminalisation policy was put into place.</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The call for further humanisation and revision of drug control policies (e.g. liberalisation, decriminalisation, flexibility for introduction of various drug control models minimising </w:t>
      </w:r>
      <w:r w:rsidRPr="00DB24D6">
        <w:rPr>
          <w:rFonts w:ascii="Times New Roman" w:hAnsi="Times New Roman" w:cs="Times New Roman"/>
          <w:iCs/>
          <w:sz w:val="24"/>
          <w:szCs w:val="24"/>
          <w:lang w:val="en-GB"/>
        </w:rPr>
        <w:lastRenderedPageBreak/>
        <w:t>harms and costs) must be viewed in light of the increased focus on the harmful consequences. While the aim of this research undertaking, as set out in the terms of reference (Message to the PC’s, P-PG/COST (2015)4 October 2015), is not to judge different drug policy regimes or to propose drug policy reforms, it can’t be overlooked that different policies and approaches may have likewise different outcomes and consequences, particularly over individuals caught using illicit drugs. This puts additional challenges in comparing allocation of funds within policies and within different countries.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Estimating drug-related public expenditure poses a series of challenges. One is that only a small part of drug-related public expenditure can be traced back directly to a government’s budget and accountancy documents.</w:t>
      </w:r>
      <w:r w:rsidRPr="00DB24D6">
        <w:rPr>
          <w:rFonts w:ascii="Times New Roman" w:hAnsi="Times New Roman" w:cs="Times New Roman"/>
          <w:color w:val="000000"/>
          <w:sz w:val="24"/>
          <w:szCs w:val="24"/>
        </w:rPr>
        <w:t xml:space="preserve"> </w:t>
      </w:r>
      <w:r w:rsidRPr="00DB24D6">
        <w:rPr>
          <w:rFonts w:ascii="Times New Roman" w:hAnsi="Times New Roman" w:cs="Times New Roman"/>
          <w:iCs/>
          <w:sz w:val="24"/>
          <w:szCs w:val="24"/>
          <w:lang w:val="en-GB"/>
        </w:rPr>
        <w:t>Another challenge is that when a country develops a national estimate of drug-related public expenditure it often does not have access to the full desired data set. When this exercise is transposed to the European level, the availability of comparable and harmonised data becomes even more limited (EMCDDA, 2014)</w:t>
      </w:r>
      <w:r w:rsidRPr="00DB24D6">
        <w:rPr>
          <w:rFonts w:ascii="Times New Roman" w:hAnsi="Times New Roman" w:cs="Times New Roman"/>
          <w:color w:val="000000"/>
          <w:sz w:val="24"/>
          <w:szCs w:val="24"/>
        </w:rPr>
        <w:t>.</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roofErr w:type="spellStart"/>
      <w:r w:rsidRPr="00DB24D6">
        <w:rPr>
          <w:rFonts w:ascii="Times New Roman" w:hAnsi="Times New Roman" w:cs="Times New Roman"/>
          <w:iCs/>
          <w:sz w:val="24"/>
          <w:szCs w:val="24"/>
          <w:lang w:val="en-GB"/>
        </w:rPr>
        <w:t>Pacula</w:t>
      </w:r>
      <w:proofErr w:type="spellEnd"/>
      <w:r w:rsidRPr="00DB24D6">
        <w:rPr>
          <w:rFonts w:ascii="Times New Roman" w:hAnsi="Times New Roman" w:cs="Times New Roman"/>
          <w:iCs/>
          <w:sz w:val="24"/>
          <w:szCs w:val="24"/>
          <w:lang w:val="en-GB"/>
        </w:rPr>
        <w:t xml:space="preserve"> &amp; </w:t>
      </w:r>
      <w:r w:rsidRPr="00DB24D6">
        <w:rPr>
          <w:rFonts w:ascii="Times New Roman" w:hAnsi="Times New Roman" w:cs="Times New Roman"/>
          <w:i/>
          <w:iCs/>
          <w:sz w:val="24"/>
          <w:szCs w:val="24"/>
          <w:lang w:val="en-GB"/>
        </w:rPr>
        <w:t>all</w:t>
      </w:r>
      <w:r w:rsidRPr="00DB24D6">
        <w:rPr>
          <w:rFonts w:ascii="Times New Roman" w:hAnsi="Times New Roman" w:cs="Times New Roman"/>
          <w:iCs/>
          <w:sz w:val="24"/>
          <w:szCs w:val="24"/>
          <w:lang w:val="en-GB"/>
        </w:rPr>
        <w:t xml:space="preserve"> (2009) concluded that it is not possible to develop a meaningful comparative estimate of the cost of drug use across countries or to aggregate these costs to the regional or global level, despite considerable work done in some developed countries to quantify the social cost of drug abuse. These differences are due to political and social environments which influence not only the types of harms considered in those calculations, but also the relationship between drug use and the harm (e.g. harm reduction strategies influencing the relationship between injection drug use and the spread of HIV/AIDS). Methodological differences in the measurement of harms, the inclusion of intangible costs, and the time horizon in which harms are evaluated leads to further inconsistencies.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Regardless the variety of factors which undermine the robustness of the findings, including lack of data, layering of assumptions and changes in the epidemiological knowledge base, Single, E. (2009) argues that economic cost estimates should nonetheless be conducted and continually refined, as the detailed findings are of great utility to the design and targeting of prevention programming and policy. </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autoSpaceDE w:val="0"/>
        <w:autoSpaceDN w:val="0"/>
        <w:adjustRightInd w:val="0"/>
        <w:spacing w:after="0" w:line="240" w:lineRule="auto"/>
        <w:jc w:val="both"/>
        <w:rPr>
          <w:rFonts w:ascii="Times New Roman" w:hAnsi="Times New Roman"/>
          <w:iCs/>
          <w:sz w:val="24"/>
          <w:szCs w:val="24"/>
        </w:rPr>
      </w:pPr>
      <w:proofErr w:type="spellStart"/>
      <w:r w:rsidRPr="00DB24D6">
        <w:rPr>
          <w:rFonts w:ascii="Times New Roman" w:hAnsi="Times New Roman"/>
          <w:iCs/>
          <w:sz w:val="24"/>
          <w:szCs w:val="24"/>
        </w:rPr>
        <w:t>Heijink</w:t>
      </w:r>
      <w:proofErr w:type="spellEnd"/>
      <w:r w:rsidRPr="00DB24D6">
        <w:rPr>
          <w:rFonts w:ascii="Times New Roman" w:hAnsi="Times New Roman"/>
          <w:iCs/>
          <w:sz w:val="24"/>
          <w:szCs w:val="24"/>
        </w:rPr>
        <w:t xml:space="preserve"> (2006) reaches the same assumption regarding the comparability of cost-of-illness (COI) studies. He concludes that the fact that COI studies are limited to aggregate levels</w:t>
      </w:r>
      <w:proofErr w:type="gramStart"/>
      <w:r w:rsidRPr="00DB24D6">
        <w:rPr>
          <w:rFonts w:ascii="Times New Roman" w:hAnsi="Times New Roman"/>
          <w:iCs/>
          <w:sz w:val="24"/>
          <w:szCs w:val="24"/>
        </w:rPr>
        <w:t>, ,</w:t>
      </w:r>
      <w:proofErr w:type="gramEnd"/>
      <w:r w:rsidRPr="00DB24D6">
        <w:rPr>
          <w:rFonts w:ascii="Times New Roman" w:hAnsi="Times New Roman"/>
          <w:iCs/>
          <w:sz w:val="24"/>
          <w:szCs w:val="24"/>
        </w:rPr>
        <w:t xml:space="preserve"> does not mean that there is no room for improvement. The use of a common reporting framework as provided by the System of Health Accounts (SHA), accounts developed by OECD to improve comparability of health expenditure among countries, will facilitate cross country comparisons.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Because cross-country comparison encounters more difficulties because of conceptual and methodological differences in expenditure measurement across countries, </w:t>
      </w:r>
      <w:proofErr w:type="spellStart"/>
      <w:r w:rsidRPr="00DB24D6">
        <w:rPr>
          <w:rFonts w:ascii="Times New Roman" w:hAnsi="Times New Roman" w:cs="Times New Roman"/>
          <w:iCs/>
          <w:sz w:val="24"/>
          <w:szCs w:val="24"/>
          <w:lang w:val="en-GB"/>
        </w:rPr>
        <w:t>Lievens</w:t>
      </w:r>
      <w:proofErr w:type="spellEnd"/>
      <w:r w:rsidRPr="00DB24D6">
        <w:rPr>
          <w:rFonts w:ascii="Times New Roman" w:hAnsi="Times New Roman" w:cs="Times New Roman"/>
          <w:iCs/>
          <w:sz w:val="24"/>
          <w:szCs w:val="24"/>
          <w:lang w:val="en-GB"/>
        </w:rPr>
        <w:t xml:space="preserve"> &amp; </w:t>
      </w:r>
      <w:r w:rsidRPr="00DB24D6">
        <w:rPr>
          <w:rFonts w:ascii="Times New Roman" w:hAnsi="Times New Roman" w:cs="Times New Roman"/>
          <w:i/>
          <w:iCs/>
          <w:sz w:val="24"/>
          <w:szCs w:val="24"/>
          <w:lang w:val="en-GB"/>
        </w:rPr>
        <w:t>all</w:t>
      </w:r>
      <w:r w:rsidRPr="00DB24D6">
        <w:rPr>
          <w:rFonts w:ascii="Times New Roman" w:hAnsi="Times New Roman" w:cs="Times New Roman"/>
          <w:iCs/>
          <w:sz w:val="24"/>
          <w:szCs w:val="24"/>
          <w:lang w:val="en-GB"/>
        </w:rPr>
        <w:t xml:space="preserve"> (2012) emphasize that the cross country comparison show that a uniform methodology is necessary to estimate the public expenditures in different countries.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The result of the series of on-going symposia organized by the Canadian Centre on Substance Abuse (CCSA) with the support of a variety of regional, national and international organisations was a general framework for the development of cost estimates. Superficially, a COI study involves combining an epidemiological database with financial information to generate an amount valued in monetary terms which purports to say something about the costs to society of a particular disease. Studies of the economic costs of substance abuse (COI) are described as (1) a type of cost-of-illness study (2) in which the impact of substance abuse on </w:t>
      </w:r>
      <w:r w:rsidRPr="00DB24D6">
        <w:rPr>
          <w:rFonts w:ascii="Times New Roman" w:hAnsi="Times New Roman" w:cs="Times New Roman"/>
          <w:iCs/>
          <w:sz w:val="24"/>
          <w:szCs w:val="24"/>
          <w:lang w:val="en-GB"/>
        </w:rPr>
        <w:lastRenderedPageBreak/>
        <w:t xml:space="preserve">the material welfare of a society is estimated by examining (3) the social costs of resources expended for treatment, prevention, research and law enforcement, plus (4) losses of production due to increased morbidity and mortality, plus (5) some measure for the quality of life years lost, relative to a counterfactual scenario in which there is no substance abuse. Each part of this statement bears elaboration. </w:t>
      </w:r>
      <w:proofErr w:type="gramStart"/>
      <w:r w:rsidRPr="00DB24D6">
        <w:rPr>
          <w:rFonts w:ascii="Times New Roman" w:hAnsi="Times New Roman" w:cs="Times New Roman"/>
          <w:iCs/>
          <w:sz w:val="24"/>
          <w:szCs w:val="24"/>
          <w:lang w:val="en-GB"/>
        </w:rPr>
        <w:t xml:space="preserve">(Single, E. &amp; </w:t>
      </w:r>
      <w:r w:rsidRPr="00DB24D6">
        <w:rPr>
          <w:rFonts w:ascii="Times New Roman" w:hAnsi="Times New Roman" w:cs="Times New Roman"/>
          <w:i/>
          <w:iCs/>
          <w:sz w:val="24"/>
          <w:szCs w:val="24"/>
          <w:lang w:val="en-GB"/>
        </w:rPr>
        <w:t>all</w:t>
      </w:r>
      <w:r w:rsidRPr="00DB24D6">
        <w:rPr>
          <w:rFonts w:ascii="Times New Roman" w:hAnsi="Times New Roman" w:cs="Times New Roman"/>
          <w:iCs/>
          <w:sz w:val="24"/>
          <w:szCs w:val="24"/>
          <w:lang w:val="en-GB"/>
        </w:rPr>
        <w:t>, 2003).</w:t>
      </w:r>
      <w:proofErr w:type="gramEnd"/>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autoSpaceDE w:val="0"/>
        <w:autoSpaceDN w:val="0"/>
        <w:adjustRightInd w:val="0"/>
        <w:spacing w:after="0" w:line="240" w:lineRule="auto"/>
        <w:jc w:val="both"/>
        <w:rPr>
          <w:rFonts w:ascii="Times New Roman" w:hAnsi="Times New Roman"/>
          <w:iCs/>
          <w:sz w:val="24"/>
          <w:szCs w:val="24"/>
        </w:rPr>
      </w:pPr>
      <w:r w:rsidRPr="00DB24D6">
        <w:rPr>
          <w:rFonts w:ascii="Times New Roman" w:hAnsi="Times New Roman"/>
          <w:iCs/>
          <w:sz w:val="24"/>
          <w:szCs w:val="24"/>
        </w:rPr>
        <w:t>To measure in monetary units the cost of unintended harms, as well to monetize the consequences of illicit drug use, presents increased challenges. It requires a common approach and commonly agreed gui</w:t>
      </w:r>
      <w:r w:rsidRPr="00DB24D6">
        <w:rPr>
          <w:rFonts w:ascii="Times New Roman" w:eastAsia="Times New Roman" w:hAnsi="Times New Roman"/>
          <w:iCs/>
          <w:sz w:val="24"/>
          <w:szCs w:val="24"/>
          <w:lang w:eastAsia="hr-HR"/>
        </w:rPr>
        <w:t>delines, such as the international guidelines that were produced for estimating the costs of substance abuse, based on the cost-of-illness studies, the framework that has guided work of this kind for several decades. The focus is on issues of economic modelling and on epidemiological issues involved in estimating deaths, hospitalizations and crime attributable to substance abuse.</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11219" w:rsidP="00711219">
      <w:pPr>
        <w:spacing w:after="0" w:line="240" w:lineRule="auto"/>
        <w:jc w:val="both"/>
        <w:rPr>
          <w:rFonts w:ascii="Times New Roman" w:hAnsi="Times New Roman"/>
          <w:sz w:val="24"/>
          <w:szCs w:val="24"/>
          <w:u w:val="single"/>
        </w:rPr>
      </w:pPr>
      <w:r w:rsidRPr="00DB24D6">
        <w:rPr>
          <w:rFonts w:ascii="Times New Roman" w:hAnsi="Times New Roman"/>
          <w:sz w:val="24"/>
          <w:szCs w:val="24"/>
          <w:u w:val="single"/>
        </w:rPr>
        <w:t>Monitoring results and outcomes</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The problems of comparison and commensuration are addressed by placing monetary values on drug-related harms. The obstacles to effective monitoring of drug policy include a shortage of robust data, the need to develop a rational and effective system for weighting and comparing different kinds of drug-related harm, and a lack of consistent methodologies to enable comparisons to be made between different drug policies (Roberts &amp; all, 2006).</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According to </w:t>
      </w:r>
      <w:proofErr w:type="spellStart"/>
      <w:r w:rsidRPr="00DB24D6">
        <w:rPr>
          <w:rFonts w:ascii="Times New Roman" w:hAnsi="Times New Roman" w:cs="Times New Roman"/>
          <w:iCs/>
          <w:sz w:val="24"/>
          <w:szCs w:val="24"/>
          <w:lang w:val="en-GB"/>
        </w:rPr>
        <w:t>Carnevale</w:t>
      </w:r>
      <w:proofErr w:type="spellEnd"/>
      <w:r w:rsidRPr="00DB24D6">
        <w:rPr>
          <w:rFonts w:ascii="Times New Roman" w:hAnsi="Times New Roman" w:cs="Times New Roman"/>
          <w:iCs/>
          <w:sz w:val="24"/>
          <w:szCs w:val="24"/>
          <w:lang w:val="en-GB"/>
        </w:rPr>
        <w:t xml:space="preserve"> Associates (2008), for drug control policy to be most effective, it must both be evidenced-based and supported by a budget specifically designed to implement it. It is important to obtain estimates of the costs of problems stemming from drug use and responses; in order to make informed decisions when allocating scarce resources, policymakers must have a sound understanding of the relative costs of drug-related interventions (EMCDDA, 2008).</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Efficiency measures whether the available resources are used to obtain the best value for money, considering the relationship between resource inputs (the costs of labour, capital and/or equipment) and either intermediate (e.g. number of problematic drug users treated) or final outputs (e.g. lives saved, life years gained, percentage reduction in crimes committed). Any economic evaluation should identify, measure, value and compare the costs and outcomes of the alternatives being considered. Achieving efficiency requires giving priority to those interventions providing the greatest output per unit cost (EMCDDA, 2008).</w:t>
      </w: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u w:val="single"/>
          <w:lang w:val="en-GB"/>
        </w:rPr>
      </w:pPr>
      <w:r w:rsidRPr="00DB24D6">
        <w:rPr>
          <w:rFonts w:ascii="Times New Roman" w:hAnsi="Times New Roman" w:cs="Times New Roman"/>
          <w:iCs/>
          <w:sz w:val="24"/>
          <w:szCs w:val="24"/>
          <w:u w:val="single"/>
          <w:lang w:val="en-GB"/>
        </w:rPr>
        <w:t>Rising the awareness of necessity for doing estimation of public expenditure because is often seen as lots of money is spending what is not always right.</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11219" w:rsidP="00711219">
      <w:pPr>
        <w:pStyle w:val="HTMLunaprijedoblikovano"/>
        <w:shd w:val="clear" w:color="auto" w:fill="FFFFFF"/>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International guidelines for estimating the costs of substance have now been used in national studies in four continents, with more consistent and comparable results than in previous studies. Although the bottom-line results have been used to argue for alcohol and drug issues having a higher place on the public policy agenda, the real value in such studies lies in the detailed results regarding mortality and morbidity attributable to substance abuse, the relative contribution of acute versus chronic conditions to overall problem levels and the role of substance misuse in adverse social consequences, such as crime and economic productivity.</w:t>
      </w:r>
    </w:p>
    <w:p w:rsidR="00711219" w:rsidRPr="00DB24D6" w:rsidRDefault="00711219" w:rsidP="00711219">
      <w:pPr>
        <w:autoSpaceDE w:val="0"/>
        <w:autoSpaceDN w:val="0"/>
        <w:adjustRightInd w:val="0"/>
        <w:spacing w:after="0" w:line="240" w:lineRule="auto"/>
        <w:jc w:val="both"/>
        <w:rPr>
          <w:rFonts w:ascii="Times New Roman" w:hAnsi="Times New Roman"/>
          <w:iCs/>
          <w:sz w:val="24"/>
          <w:szCs w:val="24"/>
        </w:rPr>
      </w:pP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r w:rsidRPr="00DB24D6">
        <w:rPr>
          <w:rFonts w:ascii="Times New Roman" w:hAnsi="Times New Roman"/>
          <w:iCs/>
          <w:sz w:val="24"/>
          <w:szCs w:val="24"/>
        </w:rPr>
        <w:t>The Economic Impact of Illicit D</w:t>
      </w:r>
      <w:r w:rsidRPr="00DB24D6">
        <w:rPr>
          <w:rFonts w:ascii="Times New Roman" w:eastAsia="Times New Roman" w:hAnsi="Times New Roman"/>
          <w:iCs/>
          <w:sz w:val="24"/>
          <w:szCs w:val="24"/>
          <w:lang w:eastAsia="hr-HR"/>
        </w:rPr>
        <w:t xml:space="preserve">rug </w:t>
      </w:r>
      <w:r w:rsidRPr="00DB24D6">
        <w:rPr>
          <w:rFonts w:ascii="Times New Roman" w:hAnsi="Times New Roman"/>
          <w:iCs/>
          <w:sz w:val="24"/>
          <w:szCs w:val="24"/>
        </w:rPr>
        <w:t>U</w:t>
      </w:r>
      <w:r w:rsidRPr="00DB24D6">
        <w:rPr>
          <w:rFonts w:ascii="Times New Roman" w:eastAsia="Times New Roman" w:hAnsi="Times New Roman"/>
          <w:iCs/>
          <w:sz w:val="24"/>
          <w:szCs w:val="24"/>
          <w:lang w:eastAsia="hr-HR"/>
        </w:rPr>
        <w:t xml:space="preserve">se on American </w:t>
      </w:r>
      <w:r w:rsidRPr="00DB24D6">
        <w:rPr>
          <w:rFonts w:ascii="Times New Roman" w:hAnsi="Times New Roman"/>
          <w:iCs/>
          <w:sz w:val="24"/>
          <w:szCs w:val="24"/>
        </w:rPr>
        <w:t>S</w:t>
      </w:r>
      <w:r w:rsidRPr="00DB24D6">
        <w:rPr>
          <w:rFonts w:ascii="Times New Roman" w:eastAsia="Times New Roman" w:hAnsi="Times New Roman"/>
          <w:iCs/>
          <w:sz w:val="24"/>
          <w:szCs w:val="24"/>
          <w:lang w:eastAsia="hr-HR"/>
        </w:rPr>
        <w:t xml:space="preserve">ociety </w:t>
      </w:r>
      <w:r w:rsidRPr="00DB24D6">
        <w:rPr>
          <w:rFonts w:ascii="Times New Roman" w:hAnsi="Times New Roman"/>
          <w:iCs/>
          <w:sz w:val="24"/>
          <w:szCs w:val="24"/>
        </w:rPr>
        <w:t xml:space="preserve">carried by the </w:t>
      </w:r>
      <w:r w:rsidRPr="00DB24D6">
        <w:rPr>
          <w:rFonts w:ascii="Times New Roman" w:eastAsia="Times New Roman" w:hAnsi="Times New Roman"/>
          <w:iCs/>
          <w:sz w:val="24"/>
          <w:szCs w:val="24"/>
          <w:lang w:eastAsia="hr-HR"/>
        </w:rPr>
        <w:t xml:space="preserve">National Drug Intelligence </w:t>
      </w:r>
      <w:proofErr w:type="spellStart"/>
      <w:r w:rsidRPr="00DB24D6">
        <w:rPr>
          <w:rFonts w:ascii="Times New Roman" w:eastAsia="Times New Roman" w:hAnsi="Times New Roman"/>
          <w:iCs/>
          <w:sz w:val="24"/>
          <w:szCs w:val="24"/>
          <w:lang w:eastAsia="hr-HR"/>
        </w:rPr>
        <w:t>Center</w:t>
      </w:r>
      <w:proofErr w:type="spellEnd"/>
      <w:r w:rsidRPr="00DB24D6">
        <w:rPr>
          <w:rFonts w:ascii="Times New Roman" w:hAnsi="Times New Roman"/>
          <w:iCs/>
          <w:sz w:val="24"/>
          <w:szCs w:val="24"/>
        </w:rPr>
        <w:t xml:space="preserve"> is an emblematic </w:t>
      </w:r>
      <w:r w:rsidRPr="00DB24D6">
        <w:rPr>
          <w:rFonts w:ascii="Times New Roman" w:eastAsia="Times New Roman" w:hAnsi="Times New Roman"/>
          <w:iCs/>
          <w:sz w:val="24"/>
          <w:szCs w:val="24"/>
          <w:lang w:eastAsia="hr-HR"/>
        </w:rPr>
        <w:t xml:space="preserve">illustration how </w:t>
      </w:r>
      <w:r w:rsidRPr="00DB24D6">
        <w:rPr>
          <w:rFonts w:ascii="Times New Roman" w:hAnsi="Times New Roman"/>
          <w:iCs/>
          <w:sz w:val="24"/>
          <w:szCs w:val="24"/>
        </w:rPr>
        <w:t xml:space="preserve">estimating illicit drugs public </w:t>
      </w:r>
      <w:r w:rsidRPr="00DB24D6">
        <w:rPr>
          <w:rFonts w:ascii="Times New Roman" w:hAnsi="Times New Roman"/>
          <w:iCs/>
          <w:sz w:val="24"/>
          <w:szCs w:val="24"/>
        </w:rPr>
        <w:lastRenderedPageBreak/>
        <w:t xml:space="preserve">expenditures serve the purpose to design and refine policy </w:t>
      </w:r>
      <w:r w:rsidRPr="00DB24D6">
        <w:rPr>
          <w:rFonts w:ascii="Times New Roman" w:eastAsia="Times New Roman" w:hAnsi="Times New Roman"/>
          <w:iCs/>
          <w:sz w:val="24"/>
          <w:szCs w:val="24"/>
          <w:lang w:eastAsia="hr-HR"/>
        </w:rPr>
        <w:t>(NDIC, 2011)</w:t>
      </w:r>
      <w:r w:rsidRPr="00DB24D6">
        <w:rPr>
          <w:rFonts w:ascii="Times New Roman" w:hAnsi="Times New Roman"/>
          <w:iCs/>
          <w:sz w:val="24"/>
          <w:szCs w:val="24"/>
        </w:rPr>
        <w:t xml:space="preserve">. </w:t>
      </w:r>
      <w:r w:rsidRPr="00DB24D6">
        <w:rPr>
          <w:rFonts w:ascii="Times New Roman" w:eastAsia="Times New Roman" w:hAnsi="Times New Roman"/>
          <w:iCs/>
          <w:sz w:val="24"/>
          <w:szCs w:val="24"/>
          <w:lang w:eastAsia="hr-HR"/>
        </w:rPr>
        <w:t>The assessment was conducted within a Cost of Illness (COI) framework. As such, it monetizes the consequences of illicit drug use, thereby allowing its impact to be gauged relative to other social problems. Unlike other health problems, illicit drug use consequences may include criminal sanctions.</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Direct and indirect costs attributable to illicit drug use were estimated in three areas: crime, health, and productivity. Because it is possible to characterize productivity lost to drug-induced incarceration and drug-induced homicide as either crime or productivity costs, a “scenario” was provided for each method of accounting.</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Both scenarios include three components, Crime, Health and Productivity and yield the same result. On the base model scenario, incarceration and homicide are components of productivity and are not included in crime. On the alternative model, incarceration and homicide are components of crime.</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The following table shows how the different cost instalments were aggregated or broken down.</w:t>
      </w: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p>
    <w:p w:rsidR="00711219" w:rsidRPr="00DB24D6" w:rsidRDefault="007B12C9" w:rsidP="00711219">
      <w:pPr>
        <w:autoSpaceDE w:val="0"/>
        <w:autoSpaceDN w:val="0"/>
        <w:adjustRightInd w:val="0"/>
        <w:spacing w:after="0" w:line="240" w:lineRule="auto"/>
        <w:jc w:val="center"/>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Table </w:t>
      </w:r>
    </w:p>
    <w:p w:rsidR="00711219" w:rsidRPr="00DB24D6" w:rsidRDefault="00711219" w:rsidP="00711219">
      <w:pPr>
        <w:autoSpaceDE w:val="0"/>
        <w:autoSpaceDN w:val="0"/>
        <w:adjustRightInd w:val="0"/>
        <w:spacing w:after="0" w:line="240" w:lineRule="auto"/>
        <w:jc w:val="center"/>
        <w:rPr>
          <w:rFonts w:ascii="Times New Roman" w:eastAsia="Times New Roman" w:hAnsi="Times New Roman"/>
          <w:iCs/>
          <w:sz w:val="24"/>
          <w:szCs w:val="24"/>
          <w:lang w:eastAsia="hr-HR"/>
        </w:rPr>
      </w:pPr>
    </w:p>
    <w:p w:rsidR="00711219" w:rsidRPr="00DB24D6" w:rsidRDefault="00711219" w:rsidP="00711219">
      <w:pPr>
        <w:autoSpaceDE w:val="0"/>
        <w:autoSpaceDN w:val="0"/>
        <w:adjustRightInd w:val="0"/>
        <w:spacing w:after="0" w:line="240" w:lineRule="auto"/>
        <w:jc w:val="center"/>
        <w:rPr>
          <w:rFonts w:ascii="Times New Roman" w:eastAsia="Times New Roman" w:hAnsi="Times New Roman"/>
          <w:iCs/>
          <w:sz w:val="24"/>
          <w:szCs w:val="24"/>
          <w:lang w:eastAsia="hr-HR"/>
        </w:rPr>
      </w:pPr>
      <w:r w:rsidRPr="00DB24D6">
        <w:rPr>
          <w:rFonts w:ascii="Times New Roman" w:hAnsi="Times New Roman"/>
          <w:iCs/>
          <w:sz w:val="24"/>
          <w:szCs w:val="24"/>
        </w:rPr>
        <w:t>Economic Impact of Illicit D</w:t>
      </w:r>
      <w:r w:rsidRPr="00DB24D6">
        <w:rPr>
          <w:rFonts w:ascii="Times New Roman" w:eastAsia="Times New Roman" w:hAnsi="Times New Roman"/>
          <w:iCs/>
          <w:sz w:val="24"/>
          <w:szCs w:val="24"/>
          <w:lang w:eastAsia="hr-HR"/>
        </w:rPr>
        <w:t xml:space="preserve">rug </w:t>
      </w:r>
      <w:r w:rsidRPr="00DB24D6">
        <w:rPr>
          <w:rFonts w:ascii="Times New Roman" w:hAnsi="Times New Roman"/>
          <w:iCs/>
          <w:sz w:val="24"/>
          <w:szCs w:val="24"/>
        </w:rPr>
        <w:t>U</w:t>
      </w:r>
      <w:r w:rsidRPr="00DB24D6">
        <w:rPr>
          <w:rFonts w:ascii="Times New Roman" w:eastAsia="Times New Roman" w:hAnsi="Times New Roman"/>
          <w:iCs/>
          <w:sz w:val="24"/>
          <w:szCs w:val="24"/>
          <w:lang w:eastAsia="hr-HR"/>
        </w:rPr>
        <w:t xml:space="preserve">se on American </w:t>
      </w:r>
      <w:r w:rsidRPr="00DB24D6">
        <w:rPr>
          <w:rFonts w:ascii="Times New Roman" w:hAnsi="Times New Roman"/>
          <w:iCs/>
          <w:sz w:val="24"/>
          <w:szCs w:val="24"/>
        </w:rPr>
        <w:t>S</w:t>
      </w:r>
      <w:r w:rsidRPr="00DB24D6">
        <w:rPr>
          <w:rFonts w:ascii="Times New Roman" w:eastAsia="Times New Roman" w:hAnsi="Times New Roman"/>
          <w:iCs/>
          <w:sz w:val="24"/>
          <w:szCs w:val="24"/>
          <w:lang w:eastAsia="hr-HR"/>
        </w:rPr>
        <w:t>ociety in 2007</w:t>
      </w:r>
    </w:p>
    <w:p w:rsidR="00711219" w:rsidRPr="00DB24D6" w:rsidRDefault="00711219" w:rsidP="00711219">
      <w:pPr>
        <w:autoSpaceDE w:val="0"/>
        <w:autoSpaceDN w:val="0"/>
        <w:adjustRightInd w:val="0"/>
        <w:spacing w:after="0" w:line="240" w:lineRule="auto"/>
        <w:jc w:val="center"/>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(Costs are in thousands)</w:t>
      </w:r>
    </w:p>
    <w:tbl>
      <w:tblPr>
        <w:tblStyle w:val="Reetkatablice"/>
        <w:tblW w:w="0" w:type="auto"/>
        <w:jc w:val="center"/>
        <w:tblInd w:w="-34" w:type="dxa"/>
        <w:tblLook w:val="04A0"/>
      </w:tblPr>
      <w:tblGrid>
        <w:gridCol w:w="4519"/>
        <w:gridCol w:w="4509"/>
      </w:tblGrid>
      <w:tr w:rsidR="00711219" w:rsidRPr="00DB24D6" w:rsidTr="0068172A">
        <w:trPr>
          <w:jc w:val="center"/>
        </w:trPr>
        <w:tc>
          <w:tcPr>
            <w:tcW w:w="4519" w:type="dxa"/>
            <w:tcBorders>
              <w:left w:val="single" w:sz="4" w:space="0" w:color="auto"/>
            </w:tcBorders>
            <w:shd w:val="clear" w:color="auto" w:fill="C00000"/>
          </w:tcPr>
          <w:p w:rsidR="00711219" w:rsidRPr="00DB24D6" w:rsidRDefault="00711219" w:rsidP="007B12C9">
            <w:pPr>
              <w:autoSpaceDE w:val="0"/>
              <w:autoSpaceDN w:val="0"/>
              <w:adjustRightInd w:val="0"/>
              <w:jc w:val="center"/>
              <w:rPr>
                <w:rFonts w:ascii="Times New Roman" w:eastAsia="Times New Roman" w:hAnsi="Times New Roman"/>
                <w:b/>
                <w:iCs/>
                <w:color w:val="FFFFFF" w:themeColor="background1"/>
                <w:sz w:val="24"/>
                <w:szCs w:val="24"/>
                <w:lang w:eastAsia="hr-HR"/>
              </w:rPr>
            </w:pPr>
            <w:r w:rsidRPr="00DB24D6">
              <w:rPr>
                <w:rFonts w:ascii="Times New Roman" w:eastAsia="Times New Roman" w:hAnsi="Times New Roman"/>
                <w:b/>
                <w:iCs/>
                <w:color w:val="FFFFFF" w:themeColor="background1"/>
                <w:sz w:val="24"/>
                <w:szCs w:val="24"/>
                <w:lang w:eastAsia="hr-HR"/>
              </w:rPr>
              <w:t>Base model scenario</w:t>
            </w:r>
          </w:p>
        </w:tc>
        <w:tc>
          <w:tcPr>
            <w:tcW w:w="4509" w:type="dxa"/>
            <w:shd w:val="clear" w:color="auto" w:fill="C00000"/>
          </w:tcPr>
          <w:p w:rsidR="00711219" w:rsidRPr="00DB24D6" w:rsidRDefault="00711219" w:rsidP="007B12C9">
            <w:pPr>
              <w:autoSpaceDE w:val="0"/>
              <w:autoSpaceDN w:val="0"/>
              <w:adjustRightInd w:val="0"/>
              <w:jc w:val="center"/>
              <w:rPr>
                <w:rFonts w:ascii="Times New Roman" w:eastAsia="Times New Roman" w:hAnsi="Times New Roman"/>
                <w:b/>
                <w:iCs/>
                <w:color w:val="FFFFFF" w:themeColor="background1"/>
                <w:sz w:val="24"/>
                <w:szCs w:val="24"/>
                <w:lang w:eastAsia="hr-HR"/>
              </w:rPr>
            </w:pPr>
            <w:r w:rsidRPr="00DB24D6">
              <w:rPr>
                <w:rFonts w:ascii="Times New Roman" w:eastAsia="Times New Roman" w:hAnsi="Times New Roman"/>
                <w:b/>
                <w:iCs/>
                <w:color w:val="FFFFFF" w:themeColor="background1"/>
                <w:sz w:val="24"/>
                <w:szCs w:val="24"/>
                <w:lang w:eastAsia="hr-HR"/>
              </w:rPr>
              <w:t>Alternative scenario</w:t>
            </w:r>
          </w:p>
        </w:tc>
      </w:tr>
      <w:tr w:rsidR="00711219" w:rsidRPr="00DB24D6" w:rsidTr="0068172A">
        <w:trPr>
          <w:jc w:val="center"/>
        </w:trPr>
        <w:tc>
          <w:tcPr>
            <w:tcW w:w="451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Crime Costs</w:t>
            </w:r>
          </w:p>
        </w:tc>
        <w:tc>
          <w:tcPr>
            <w:tcW w:w="450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Crime Costs</w:t>
            </w:r>
          </w:p>
        </w:tc>
      </w:tr>
      <w:tr w:rsidR="00711219" w:rsidRPr="00DB24D6" w:rsidTr="0068172A">
        <w:trPr>
          <w:jc w:val="center"/>
        </w:trPr>
        <w:tc>
          <w:tcPr>
            <w:tcW w:w="4519" w:type="dxa"/>
            <w:tcBorders>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Criminal Justice System</w:t>
            </w:r>
          </w:p>
        </w:tc>
        <w:tc>
          <w:tcPr>
            <w:tcW w:w="4509" w:type="dxa"/>
            <w:tcBorders>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Criminal Justice System</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Crime Victim</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Crime Victim</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Personal</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Personal</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Property</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1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Property</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Other</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1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Other</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Productivity</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1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Incarceration</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461"/>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c>
          <w:tcPr>
            <w:tcW w:w="4509" w:type="dxa"/>
            <w:tcBorders>
              <w:top w:val="nil"/>
              <w:left w:val="single" w:sz="4" w:space="0" w:color="auto"/>
            </w:tcBorders>
          </w:tcPr>
          <w:p w:rsidR="00711219" w:rsidRPr="00DB24D6" w:rsidRDefault="00711219" w:rsidP="007B12C9">
            <w:pPr>
              <w:autoSpaceDE w:val="0"/>
              <w:autoSpaceDN w:val="0"/>
              <w:adjustRightInd w:val="0"/>
              <w:ind w:firstLine="461"/>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Crime Costs Subtotal $61,376,694</w:t>
            </w:r>
          </w:p>
        </w:tc>
        <w:tc>
          <w:tcPr>
            <w:tcW w:w="4509" w:type="dxa"/>
            <w:tcBorders>
              <w:top w:val="nil"/>
              <w:left w:val="single" w:sz="4" w:space="0" w:color="auto"/>
            </w:tcBorders>
          </w:tcPr>
          <w:p w:rsidR="00711219" w:rsidRPr="00DB24D6" w:rsidRDefault="00711219" w:rsidP="007B12C9">
            <w:pPr>
              <w:autoSpaceDE w:val="0"/>
              <w:autoSpaceDN w:val="0"/>
              <w:adjustRightInd w:val="0"/>
              <w:ind w:firstLine="36"/>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Crime Costs Subtotal $113,277,166</w:t>
            </w:r>
          </w:p>
        </w:tc>
      </w:tr>
      <w:tr w:rsidR="00711219" w:rsidRPr="00DB24D6" w:rsidTr="0068172A">
        <w:trPr>
          <w:jc w:val="center"/>
        </w:trPr>
        <w:tc>
          <w:tcPr>
            <w:tcW w:w="451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Health Costs</w:t>
            </w:r>
          </w:p>
        </w:tc>
        <w:tc>
          <w:tcPr>
            <w:tcW w:w="450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Health Costs</w:t>
            </w:r>
          </w:p>
        </w:tc>
      </w:tr>
      <w:tr w:rsidR="00711219" w:rsidRPr="00DB24D6" w:rsidTr="0068172A">
        <w:trPr>
          <w:jc w:val="center"/>
        </w:trPr>
        <w:tc>
          <w:tcPr>
            <w:tcW w:w="4519" w:type="dxa"/>
            <w:tcBorders>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w:t>
            </w:r>
          </w:p>
        </w:tc>
        <w:tc>
          <w:tcPr>
            <w:tcW w:w="4509" w:type="dxa"/>
            <w:tcBorders>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State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State</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 and Emergency Department</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 and Emergency Department</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Non-homicide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Non-homicide</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649"/>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603"/>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64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Emergency Department</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603"/>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Emergency Department</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Homicide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Homicide</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649"/>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649"/>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64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Emergency Department</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649"/>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Emergency Department</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Insurance Administration </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Insurance Administration</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Other</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Other</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 Prevention</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 Prevention</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 Research</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Federal Research</w:t>
            </w:r>
          </w:p>
        </w:tc>
      </w:tr>
      <w:tr w:rsidR="00711219" w:rsidRPr="00DB24D6" w:rsidTr="0068172A">
        <w:trPr>
          <w:jc w:val="center"/>
        </w:trPr>
        <w:tc>
          <w:tcPr>
            <w:tcW w:w="4519" w:type="dxa"/>
            <w:tcBorders>
              <w:top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AIDS</w:t>
            </w:r>
          </w:p>
        </w:tc>
        <w:tc>
          <w:tcPr>
            <w:tcW w:w="4509" w:type="dxa"/>
            <w:tcBorders>
              <w:top w:val="nil"/>
              <w:lef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AIDS</w:t>
            </w:r>
          </w:p>
        </w:tc>
      </w:tr>
      <w:tr w:rsidR="00711219" w:rsidRPr="00DB24D6" w:rsidTr="0068172A">
        <w:trPr>
          <w:jc w:val="center"/>
        </w:trPr>
        <w:tc>
          <w:tcPr>
            <w:tcW w:w="4519" w:type="dxa"/>
            <w:tcBorders>
              <w:top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lastRenderedPageBreak/>
              <w:t>Health Costs Subtotal $11,416,232</w:t>
            </w:r>
          </w:p>
        </w:tc>
        <w:tc>
          <w:tcPr>
            <w:tcW w:w="4509" w:type="dxa"/>
            <w:tcBorders>
              <w:top w:val="nil"/>
              <w:lef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Health Costs Subtotal $11,416,232</w:t>
            </w:r>
          </w:p>
        </w:tc>
      </w:tr>
      <w:tr w:rsidR="00711219" w:rsidRPr="00DB24D6" w:rsidTr="0068172A">
        <w:trPr>
          <w:jc w:val="center"/>
        </w:trPr>
        <w:tc>
          <w:tcPr>
            <w:tcW w:w="451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Productivity Costs</w:t>
            </w:r>
          </w:p>
        </w:tc>
        <w:tc>
          <w:tcPr>
            <w:tcW w:w="4509" w:type="dxa"/>
            <w:tcBorders>
              <w:bottom w:val="single" w:sz="4" w:space="0" w:color="auto"/>
            </w:tcBorders>
          </w:tcPr>
          <w:p w:rsidR="00711219" w:rsidRPr="00DB24D6" w:rsidRDefault="00711219" w:rsidP="007B12C9">
            <w:pPr>
              <w:autoSpaceDE w:val="0"/>
              <w:autoSpaceDN w:val="0"/>
              <w:adjustRightInd w:val="0"/>
              <w:jc w:val="center"/>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Productivity Costs</w:t>
            </w:r>
          </w:p>
        </w:tc>
      </w:tr>
      <w:tr w:rsidR="00711219" w:rsidRPr="00DB24D6" w:rsidTr="0068172A">
        <w:trPr>
          <w:jc w:val="center"/>
        </w:trPr>
        <w:tc>
          <w:tcPr>
            <w:tcW w:w="4519" w:type="dxa"/>
            <w:tcBorders>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Labour participation</w:t>
            </w:r>
          </w:p>
        </w:tc>
        <w:tc>
          <w:tcPr>
            <w:tcW w:w="4509" w:type="dxa"/>
            <w:tcBorders>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Labour participation</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 (State)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 (State)</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 (Federal)</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Specialty Treatment (Federal)</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Hospitalization</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Hospitalization</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Incarceration</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Premature Mortality (non-homicide)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Premature Mortality (non-homicide)</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Premature Mortality (homicide)</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nil"/>
              <w:bottom w:val="nil"/>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Males</w:t>
            </w:r>
          </w:p>
        </w:tc>
        <w:tc>
          <w:tcPr>
            <w:tcW w:w="4509" w:type="dxa"/>
            <w:tcBorders>
              <w:top w:val="nil"/>
              <w:left w:val="single" w:sz="4" w:space="0" w:color="auto"/>
              <w:bottom w:val="nil"/>
            </w:tcBorders>
          </w:tcPr>
          <w:p w:rsidR="00711219" w:rsidRPr="00DB24D6" w:rsidRDefault="00711219" w:rsidP="007B12C9">
            <w:pPr>
              <w:autoSpaceDE w:val="0"/>
              <w:autoSpaceDN w:val="0"/>
              <w:adjustRightInd w:val="0"/>
              <w:ind w:hanging="106"/>
              <w:jc w:val="both"/>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nil"/>
              <w:bottom w:val="single" w:sz="4" w:space="0" w:color="auto"/>
              <w:right w:val="single" w:sz="4" w:space="0" w:color="auto"/>
            </w:tcBorders>
          </w:tcPr>
          <w:p w:rsidR="00711219" w:rsidRPr="00DB24D6" w:rsidRDefault="00711219" w:rsidP="007B12C9">
            <w:pPr>
              <w:autoSpaceDE w:val="0"/>
              <w:autoSpaceDN w:val="0"/>
              <w:adjustRightInd w:val="0"/>
              <w:ind w:firstLine="365"/>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Females</w:t>
            </w:r>
          </w:p>
        </w:tc>
        <w:tc>
          <w:tcPr>
            <w:tcW w:w="4509" w:type="dxa"/>
            <w:tcBorders>
              <w:top w:val="nil"/>
              <w:left w:val="single" w:sz="4" w:space="0" w:color="auto"/>
              <w:bottom w:val="single" w:sz="4" w:space="0" w:color="auto"/>
            </w:tcBorders>
          </w:tcPr>
          <w:p w:rsidR="00711219" w:rsidRPr="00DB24D6" w:rsidRDefault="00711219" w:rsidP="007B12C9">
            <w:pPr>
              <w:autoSpaceDE w:val="0"/>
              <w:autoSpaceDN w:val="0"/>
              <w:adjustRightInd w:val="0"/>
              <w:jc w:val="both"/>
              <w:rPr>
                <w:rFonts w:ascii="Times New Roman" w:eastAsia="Times New Roman" w:hAnsi="Times New Roman"/>
                <w:iCs/>
                <w:sz w:val="24"/>
                <w:szCs w:val="24"/>
                <w:lang w:eastAsia="hr-HR"/>
              </w:rPr>
            </w:pPr>
          </w:p>
        </w:tc>
      </w:tr>
      <w:tr w:rsidR="00711219" w:rsidRPr="00DB24D6" w:rsidTr="0068172A">
        <w:trPr>
          <w:jc w:val="center"/>
        </w:trPr>
        <w:tc>
          <w:tcPr>
            <w:tcW w:w="4519" w:type="dxa"/>
            <w:tcBorders>
              <w:top w:val="single" w:sz="4" w:space="0" w:color="auto"/>
              <w:bottom w:val="single" w:sz="4" w:space="0" w:color="auto"/>
              <w:right w:val="single" w:sz="4" w:space="0" w:color="auto"/>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Productivity Costs Subtotal $120,304,004</w:t>
            </w:r>
          </w:p>
        </w:tc>
        <w:tc>
          <w:tcPr>
            <w:tcW w:w="4509" w:type="dxa"/>
            <w:tcBorders>
              <w:top w:val="single" w:sz="4" w:space="0" w:color="auto"/>
              <w:left w:val="single" w:sz="4" w:space="0" w:color="auto"/>
              <w:bottom w:val="single" w:sz="4" w:space="0" w:color="auto"/>
            </w:tcBorders>
          </w:tcPr>
          <w:p w:rsidR="00711219" w:rsidRPr="00DB24D6" w:rsidRDefault="00711219" w:rsidP="007B12C9">
            <w:pPr>
              <w:autoSpaceDE w:val="0"/>
              <w:autoSpaceDN w:val="0"/>
              <w:adjustRightInd w:val="0"/>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Productivity Costs Subtotal $68,403,082</w:t>
            </w:r>
          </w:p>
        </w:tc>
      </w:tr>
      <w:tr w:rsidR="00711219" w:rsidRPr="00DB24D6" w:rsidTr="0068172A">
        <w:trPr>
          <w:jc w:val="center"/>
        </w:trPr>
        <w:tc>
          <w:tcPr>
            <w:tcW w:w="4519" w:type="dxa"/>
            <w:tcBorders>
              <w:top w:val="single" w:sz="4" w:space="0" w:color="auto"/>
              <w:right w:val="single" w:sz="4" w:space="0" w:color="auto"/>
            </w:tcBorders>
          </w:tcPr>
          <w:p w:rsidR="00711219" w:rsidRPr="00DB24D6" w:rsidRDefault="00711219" w:rsidP="007B12C9">
            <w:pPr>
              <w:autoSpaceDE w:val="0"/>
              <w:autoSpaceDN w:val="0"/>
              <w:adjustRightInd w:val="0"/>
              <w:ind w:firstLine="790"/>
              <w:jc w:val="both"/>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Total $193,096,930</w:t>
            </w:r>
          </w:p>
        </w:tc>
        <w:tc>
          <w:tcPr>
            <w:tcW w:w="4509" w:type="dxa"/>
            <w:tcBorders>
              <w:top w:val="single" w:sz="4" w:space="0" w:color="auto"/>
              <w:left w:val="single" w:sz="4" w:space="0" w:color="auto"/>
            </w:tcBorders>
          </w:tcPr>
          <w:p w:rsidR="00711219" w:rsidRPr="00DB24D6" w:rsidRDefault="00711219" w:rsidP="007B12C9">
            <w:pPr>
              <w:autoSpaceDE w:val="0"/>
              <w:autoSpaceDN w:val="0"/>
              <w:adjustRightInd w:val="0"/>
              <w:ind w:firstLine="790"/>
              <w:jc w:val="both"/>
              <w:rPr>
                <w:rFonts w:ascii="Times New Roman" w:eastAsia="Times New Roman" w:hAnsi="Times New Roman"/>
                <w:b/>
                <w:iCs/>
                <w:sz w:val="24"/>
                <w:szCs w:val="24"/>
                <w:lang w:eastAsia="hr-HR"/>
              </w:rPr>
            </w:pPr>
            <w:r w:rsidRPr="00DB24D6">
              <w:rPr>
                <w:rFonts w:ascii="Times New Roman" w:eastAsia="Times New Roman" w:hAnsi="Times New Roman"/>
                <w:b/>
                <w:iCs/>
                <w:sz w:val="24"/>
                <w:szCs w:val="24"/>
                <w:lang w:eastAsia="hr-HR"/>
              </w:rPr>
              <w:t>Total $193,096,930</w:t>
            </w:r>
          </w:p>
        </w:tc>
      </w:tr>
    </w:tbl>
    <w:p w:rsidR="00711219" w:rsidRPr="0068172A" w:rsidRDefault="00711219" w:rsidP="0068172A">
      <w:pPr>
        <w:autoSpaceDE w:val="0"/>
        <w:autoSpaceDN w:val="0"/>
        <w:adjustRightInd w:val="0"/>
        <w:spacing w:after="0" w:line="240" w:lineRule="auto"/>
        <w:rPr>
          <w:rFonts w:ascii="Times New Roman" w:eastAsia="Times New Roman" w:hAnsi="Times New Roman"/>
          <w:i/>
          <w:iCs/>
          <w:sz w:val="24"/>
          <w:szCs w:val="24"/>
          <w:lang w:eastAsia="hr-HR"/>
        </w:rPr>
      </w:pPr>
      <w:r w:rsidRPr="0068172A">
        <w:rPr>
          <w:rFonts w:ascii="Times New Roman" w:eastAsia="Times New Roman" w:hAnsi="Times New Roman"/>
          <w:i/>
          <w:iCs/>
          <w:sz w:val="24"/>
          <w:szCs w:val="24"/>
          <w:lang w:eastAsia="hr-HR"/>
        </w:rPr>
        <w:t>Source: NDIC, 2011</w:t>
      </w:r>
    </w:p>
    <w:p w:rsidR="00711219" w:rsidRPr="0068172A" w:rsidRDefault="00711219" w:rsidP="00711219">
      <w:pPr>
        <w:autoSpaceDE w:val="0"/>
        <w:autoSpaceDN w:val="0"/>
        <w:adjustRightInd w:val="0"/>
        <w:spacing w:after="0" w:line="240" w:lineRule="auto"/>
        <w:jc w:val="both"/>
        <w:rPr>
          <w:rFonts w:ascii="Times New Roman" w:eastAsia="Times New Roman" w:hAnsi="Times New Roman"/>
          <w:i/>
          <w:iCs/>
          <w:sz w:val="24"/>
          <w:szCs w:val="24"/>
          <w:lang w:eastAsia="hr-HR"/>
        </w:rPr>
      </w:pPr>
    </w:p>
    <w:p w:rsidR="00711219" w:rsidRPr="00DB24D6" w:rsidRDefault="00711219" w:rsidP="00711219">
      <w:pPr>
        <w:autoSpaceDE w:val="0"/>
        <w:autoSpaceDN w:val="0"/>
        <w:adjustRightInd w:val="0"/>
        <w:spacing w:after="0" w:line="240" w:lineRule="auto"/>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The cost components allows drawing inferences for policy matters, namely that screening and brief intervention activities, the provision of effective and broadly available specialty treatment and the diversion of nonviolent drug users into alternative specialty treatment settings whenever possible is less costly than the cost of crime and lost productivity. </w:t>
      </w:r>
    </w:p>
    <w:p w:rsidR="00DB24D6" w:rsidRDefault="00DB24D6" w:rsidP="00EF1CEE">
      <w:pPr>
        <w:spacing w:after="0" w:line="240" w:lineRule="auto"/>
        <w:jc w:val="both"/>
        <w:rPr>
          <w:rFonts w:ascii="Times New Roman" w:eastAsia="Times New Roman" w:hAnsi="Times New Roman"/>
          <w:iCs/>
          <w:sz w:val="24"/>
          <w:szCs w:val="24"/>
          <w:lang w:eastAsia="hr-HR"/>
        </w:rPr>
      </w:pPr>
    </w:p>
    <w:p w:rsidR="00EF1CEE" w:rsidRPr="00DB24D6" w:rsidRDefault="00DB24D6" w:rsidP="00EF1CEE">
      <w:pPr>
        <w:spacing w:after="0" w:line="240" w:lineRule="auto"/>
        <w:jc w:val="both"/>
        <w:rPr>
          <w:rFonts w:ascii="Times New Roman" w:hAnsi="Times New Roman"/>
          <w:sz w:val="24"/>
          <w:szCs w:val="24"/>
          <w:u w:val="single"/>
        </w:rPr>
      </w:pPr>
      <w:r w:rsidRPr="00DB24D6">
        <w:rPr>
          <w:rFonts w:ascii="Times New Roman" w:hAnsi="Times New Roman"/>
          <w:sz w:val="24"/>
          <w:szCs w:val="24"/>
          <w:u w:val="single"/>
        </w:rPr>
        <w:t>S</w:t>
      </w:r>
      <w:r w:rsidR="00EF1CEE" w:rsidRPr="00DB24D6">
        <w:rPr>
          <w:rFonts w:ascii="Times New Roman" w:hAnsi="Times New Roman"/>
          <w:sz w:val="24"/>
          <w:szCs w:val="24"/>
          <w:u w:val="single"/>
        </w:rPr>
        <w:t>ocial cost</w:t>
      </w:r>
      <w:r>
        <w:rPr>
          <w:rFonts w:ascii="Times New Roman" w:hAnsi="Times New Roman"/>
          <w:sz w:val="24"/>
          <w:szCs w:val="24"/>
          <w:u w:val="single"/>
        </w:rPr>
        <w:t>s</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Public expenditure is one element of the social cost of the drug problem. Together with private and external expenditure, they constitute the total social cost of drugs in society. </w:t>
      </w:r>
      <w:r w:rsidRPr="00EF1CEE">
        <w:rPr>
          <w:rFonts w:ascii="Times New Roman" w:hAnsi="Times New Roman"/>
          <w:iCs/>
          <w:sz w:val="24"/>
          <w:szCs w:val="24"/>
        </w:rPr>
        <w:t xml:space="preserve">Estimated cost usually includes the size of the drug market, public expenditure and social costs (premature mortality and loss of productivity). This part of study will focus only on public expenditure for several reasons. </w:t>
      </w:r>
    </w:p>
    <w:p w:rsidR="00EF1CEE" w:rsidRPr="00EF1CEE" w:rsidRDefault="00EF1CEE" w:rsidP="00EF1CEE">
      <w:pPr>
        <w:spacing w:after="0" w:line="240" w:lineRule="auto"/>
        <w:jc w:val="both"/>
        <w:rPr>
          <w:rFonts w:ascii="Times New Roman" w:hAnsi="Times New Roman"/>
          <w:iCs/>
          <w:sz w:val="24"/>
          <w:szCs w:val="24"/>
        </w:rPr>
      </w:pPr>
    </w:p>
    <w:p w:rsidR="00EF1CEE" w:rsidRPr="00EF1CEE" w:rsidRDefault="00EF1CEE" w:rsidP="00EF1CEE">
      <w:pPr>
        <w:pStyle w:val="HTMLunaprijedoblikovano"/>
        <w:shd w:val="clear" w:color="auto" w:fill="FFFFFF"/>
        <w:jc w:val="both"/>
        <w:rPr>
          <w:rFonts w:ascii="Times New Roman" w:hAnsi="Times New Roman" w:cs="Times New Roman"/>
          <w:color w:val="212121"/>
          <w:sz w:val="24"/>
          <w:szCs w:val="24"/>
          <w:lang w:val="en-GB"/>
        </w:rPr>
      </w:pPr>
      <w:r w:rsidRPr="00EF1CEE">
        <w:rPr>
          <w:rFonts w:ascii="Times New Roman" w:hAnsi="Times New Roman" w:cs="Times New Roman"/>
          <w:iCs/>
          <w:sz w:val="24"/>
          <w:szCs w:val="24"/>
          <w:lang w:val="en-GB"/>
        </w:rPr>
        <w:t>Knowledge and data on social costs at European level is limited and the</w:t>
      </w:r>
      <w:r w:rsidRPr="00EF1CEE">
        <w:rPr>
          <w:rFonts w:ascii="Times New Roman" w:hAnsi="Times New Roman" w:cs="Times New Roman"/>
          <w:color w:val="212121"/>
          <w:sz w:val="24"/>
          <w:szCs w:val="24"/>
          <w:lang w:val="en-GB"/>
        </w:rPr>
        <w:t xml:space="preserve"> methodology </w:t>
      </w:r>
      <w:r w:rsidRPr="00EF1CEE">
        <w:rPr>
          <w:rFonts w:ascii="Times New Roman" w:hAnsi="Times New Roman" w:cs="Times New Roman"/>
          <w:iCs/>
          <w:sz w:val="24"/>
          <w:szCs w:val="24"/>
          <w:lang w:val="en-GB"/>
        </w:rPr>
        <w:t>is still under development. Therefore, there is no a complete picture of the situation in the assessment of social spending in Europe. That is why it is not possible to compare between different countries. Social costs are defined as the resources spent by various social entities due to consequences of drug use.</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eastAsiaTheme="minorHAnsi" w:hAnsi="Times New Roman"/>
          <w:i/>
          <w:sz w:val="24"/>
          <w:szCs w:val="24"/>
          <w:u w:val="single"/>
        </w:rPr>
      </w:pPr>
      <w:r w:rsidRPr="00EF1CEE">
        <w:rPr>
          <w:rFonts w:ascii="Times New Roman" w:hAnsi="Times New Roman"/>
          <w:sz w:val="24"/>
          <w:szCs w:val="24"/>
        </w:rPr>
        <w:t>References for social costs research are based on the publication by WHO from 2003</w:t>
      </w:r>
      <w:r w:rsidRPr="00EF1CEE">
        <w:rPr>
          <w:rFonts w:ascii="Times New Roman" w:hAnsi="Times New Roman"/>
          <w:color w:val="FF0000"/>
          <w:sz w:val="24"/>
          <w:szCs w:val="24"/>
        </w:rPr>
        <w:t xml:space="preserve"> </w:t>
      </w:r>
      <w:r w:rsidRPr="00EF1CEE">
        <w:rPr>
          <w:rFonts w:ascii="Times New Roman" w:hAnsi="Times New Roman"/>
          <w:sz w:val="24"/>
          <w:szCs w:val="24"/>
        </w:rPr>
        <w:t xml:space="preserve">(Single et al., 2003) on international guidelines for estimating the cost of substance abuse and a book of French authors Pierre Kopp and Philippe Fenoglio from 2002. For social cost studies, it is </w:t>
      </w:r>
      <w:r w:rsidRPr="00EF1CEE">
        <w:rPr>
          <w:rFonts w:ascii="Times New Roman" w:hAnsi="Times New Roman"/>
          <w:sz w:val="24"/>
          <w:szCs w:val="24"/>
        </w:rPr>
        <w:lastRenderedPageBreak/>
        <w:t xml:space="preserve">important to determine which categories will be taken into consideration and what sort of data we have in determining social costs because it can greatly affect the results of the study. </w:t>
      </w:r>
    </w:p>
    <w:p w:rsidR="00EF1CEE" w:rsidRPr="00EF1CEE" w:rsidRDefault="00EF1CEE" w:rsidP="00EF1CEE">
      <w:pPr>
        <w:spacing w:after="0" w:line="240" w:lineRule="auto"/>
        <w:jc w:val="both"/>
        <w:rPr>
          <w:rFonts w:ascii="Times New Roman" w:eastAsiaTheme="minorHAnsi" w:hAnsi="Times New Roman"/>
          <w:i/>
          <w:sz w:val="24"/>
          <w:szCs w:val="24"/>
          <w:u w:val="single"/>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Social cost of drug use is </w:t>
      </w:r>
      <w:r w:rsidRPr="00EF1CEE">
        <w:rPr>
          <w:rFonts w:ascii="Times New Roman" w:hAnsi="Times New Roman"/>
          <w:i/>
          <w:sz w:val="24"/>
          <w:szCs w:val="24"/>
        </w:rPr>
        <w:t>“an estimate indicating the resources which have become unavailable to the community because of drug use, and which could be used elsewhere if the drug problem was suppressed”</w:t>
      </w:r>
      <w:r w:rsidRPr="00EF1CEE">
        <w:rPr>
          <w:rFonts w:ascii="Times New Roman" w:hAnsi="Times New Roman"/>
          <w:sz w:val="24"/>
          <w:szCs w:val="24"/>
        </w:rPr>
        <w:t xml:space="preserve"> (Single et al., 2003, p.28-29). The concept of social costs refers to the overall costs borne by society due to the existence of the drug phenomenon. Social costs include costs caused by the demand as well as the supply side regardless of the source from which the cost stems (private and public)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2002). The perspective of society and not the perspective of the public authorities is the point of departure.</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Social cost is defined as the sum of public expenditure, private expenditure and external expenditure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2002;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2007). </w:t>
      </w:r>
    </w:p>
    <w:p w:rsidR="00DB24D6" w:rsidRDefault="00DB24D6" w:rsidP="00EF1CEE">
      <w:pPr>
        <w:spacing w:line="240" w:lineRule="auto"/>
        <w:jc w:val="both"/>
        <w:rPr>
          <w:rFonts w:ascii="Times New Roman" w:eastAsiaTheme="minorHAnsi" w:hAnsi="Times New Roman"/>
          <w:b/>
          <w:sz w:val="24"/>
          <w:szCs w:val="24"/>
          <w:u w:val="single"/>
        </w:rPr>
      </w:pPr>
    </w:p>
    <w:p w:rsidR="00DB24D6" w:rsidRPr="00DB24D6" w:rsidRDefault="0068172A" w:rsidP="00EF1CEE">
      <w:pPr>
        <w:spacing w:line="240" w:lineRule="auto"/>
        <w:jc w:val="both"/>
        <w:rPr>
          <w:rFonts w:ascii="Times New Roman" w:eastAsiaTheme="minorHAnsi" w:hAnsi="Times New Roman"/>
          <w:b/>
          <w:sz w:val="24"/>
          <w:szCs w:val="24"/>
          <w:u w:val="single"/>
        </w:rPr>
      </w:pPr>
      <w:r>
        <w:rPr>
          <w:rFonts w:ascii="Times New Roman" w:eastAsiaTheme="minorHAnsi" w:hAnsi="Times New Roman"/>
          <w:b/>
          <w:sz w:val="24"/>
          <w:szCs w:val="24"/>
          <w:u w:val="single"/>
        </w:rPr>
        <w:t xml:space="preserve">Chapter Public </w:t>
      </w:r>
      <w:r w:rsidR="00EF1CEE" w:rsidRPr="00DB24D6">
        <w:rPr>
          <w:rFonts w:ascii="Times New Roman" w:eastAsiaTheme="minorHAnsi" w:hAnsi="Times New Roman"/>
          <w:b/>
          <w:sz w:val="24"/>
          <w:szCs w:val="24"/>
          <w:u w:val="single"/>
        </w:rPr>
        <w:t>expenditure</w:t>
      </w: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The drug phenomenon is multidimensional, consisting of many aspects ranging from health (epidemiology, prevention, treatment) and legal problems, drug-related crime and security issues (use of drugs in traffic, drug-related public nuisance) to economic problems (loss of productivity, absenteeism on the work floor). All these different problems bring costs for the individual and the community (De Ruyver et al., 2004). A part of these costs is borne by the public authorities responsible for the different policy areas in the field of drugs. </w:t>
      </w:r>
    </w:p>
    <w:p w:rsidR="00EF1CEE" w:rsidRPr="00EF1CEE" w:rsidRDefault="00EF1CEE" w:rsidP="00EF1CEE">
      <w:pPr>
        <w:spacing w:after="0" w:line="240" w:lineRule="auto"/>
        <w:jc w:val="both"/>
        <w:rPr>
          <w:rFonts w:ascii="Times New Roman" w:hAnsi="Times New Roman"/>
          <w:color w:val="333333"/>
          <w:sz w:val="24"/>
          <w:szCs w:val="24"/>
          <w:shd w:val="clear" w:color="auto" w:fill="FFFFFF"/>
        </w:rPr>
      </w:pPr>
    </w:p>
    <w:p w:rsidR="00EF1CEE" w:rsidRPr="00EF1CEE" w:rsidRDefault="00EF1CEE" w:rsidP="00EF1CEE">
      <w:pPr>
        <w:pStyle w:val="Stil1"/>
        <w:spacing w:after="0" w:line="240" w:lineRule="auto"/>
        <w:jc w:val="both"/>
        <w:rPr>
          <w:rStyle w:val="apple-converted-space"/>
          <w:rFonts w:ascii="Times New Roman" w:hAnsi="Times New Roman"/>
          <w:sz w:val="24"/>
          <w:szCs w:val="24"/>
        </w:rPr>
      </w:pPr>
      <w:r w:rsidRPr="00EF1CEE">
        <w:rPr>
          <w:rStyle w:val="apple-converted-space"/>
          <w:rFonts w:ascii="Times New Roman" w:hAnsi="Times New Roman"/>
          <w:sz w:val="24"/>
          <w:szCs w:val="24"/>
        </w:rPr>
        <w:t>Predominant part of drug policy measures have to be undertaken by the government institutions, which implies that the measures should be financed by the government, but it is quite unknown how much the government is spending on dealing with drug problems.</w:t>
      </w:r>
    </w:p>
    <w:p w:rsidR="00EF1CEE" w:rsidRPr="00EF1CEE" w:rsidRDefault="00EF1CEE" w:rsidP="00EF1CEE">
      <w:pPr>
        <w:pStyle w:val="Stil1"/>
        <w:spacing w:after="0" w:line="240" w:lineRule="auto"/>
        <w:jc w:val="both"/>
        <w:rPr>
          <w:rStyle w:val="apple-converted-space"/>
          <w:rFonts w:ascii="Times New Roman" w:hAnsi="Times New Roman"/>
          <w:sz w:val="24"/>
          <w:szCs w:val="24"/>
        </w:rPr>
      </w:pPr>
    </w:p>
    <w:p w:rsidR="00EF1CEE" w:rsidRPr="00EF1CEE" w:rsidRDefault="00EF1CEE" w:rsidP="00EF1CEE">
      <w:pPr>
        <w:pStyle w:val="Stil1"/>
        <w:spacing w:after="0" w:line="240" w:lineRule="auto"/>
        <w:jc w:val="both"/>
        <w:rPr>
          <w:rStyle w:val="apple-converted-space"/>
          <w:rFonts w:ascii="Times New Roman" w:hAnsi="Times New Roman"/>
          <w:sz w:val="24"/>
          <w:szCs w:val="24"/>
        </w:rPr>
      </w:pPr>
      <w:r w:rsidRPr="00EF1CEE">
        <w:rPr>
          <w:rStyle w:val="apple-converted-space"/>
          <w:rFonts w:ascii="Times New Roman" w:hAnsi="Times New Roman"/>
          <w:sz w:val="24"/>
          <w:szCs w:val="24"/>
        </w:rPr>
        <w:t>Even though the main areas of activities aimed at meeting drug policy goals are defined in the strategic documents, it is not always clear what amount of money the government is spending on each of the areas. The data deficiency described in literature brings up quantification as one of the methodological problems in assessing efficiency of drug-control policies (Greenfield</w:t>
      </w:r>
      <w:r>
        <w:rPr>
          <w:rStyle w:val="apple-converted-space"/>
          <w:rFonts w:ascii="Times New Roman" w:hAnsi="Times New Roman"/>
          <w:sz w:val="24"/>
          <w:szCs w:val="24"/>
        </w:rPr>
        <w:t xml:space="preserve"> </w:t>
      </w:r>
      <w:r w:rsidRPr="00EF1CEE">
        <w:rPr>
          <w:rStyle w:val="apple-converted-space"/>
          <w:rFonts w:ascii="Times New Roman" w:hAnsi="Times New Roman"/>
          <w:sz w:val="24"/>
          <w:szCs w:val="24"/>
        </w:rPr>
        <w:t>&amp;</w:t>
      </w:r>
      <w:r>
        <w:rPr>
          <w:rStyle w:val="apple-converted-space"/>
          <w:rFonts w:ascii="Times New Roman" w:hAnsi="Times New Roman"/>
          <w:sz w:val="24"/>
          <w:szCs w:val="24"/>
        </w:rPr>
        <w:t xml:space="preserve"> </w:t>
      </w:r>
      <w:r w:rsidRPr="00EF1CEE">
        <w:rPr>
          <w:rStyle w:val="apple-converted-space"/>
          <w:rFonts w:ascii="Times New Roman" w:hAnsi="Times New Roman"/>
          <w:sz w:val="24"/>
          <w:szCs w:val="24"/>
        </w:rPr>
        <w:t>Paoli, 2012). In their attempt to examine the drug policy approaches, effects and consequences, (</w:t>
      </w:r>
      <w:proofErr w:type="spellStart"/>
      <w:r w:rsidRPr="00EF1CEE">
        <w:rPr>
          <w:rStyle w:val="apple-converted-space"/>
          <w:rFonts w:ascii="Times New Roman" w:hAnsi="Times New Roman"/>
          <w:sz w:val="24"/>
          <w:szCs w:val="24"/>
        </w:rPr>
        <w:t>Strang</w:t>
      </w:r>
      <w:proofErr w:type="spellEnd"/>
      <w:r w:rsidRPr="00EF1CEE">
        <w:rPr>
          <w:rStyle w:val="apple-converted-space"/>
          <w:rFonts w:ascii="Times New Roman" w:hAnsi="Times New Roman"/>
          <w:sz w:val="24"/>
          <w:szCs w:val="24"/>
        </w:rPr>
        <w:t xml:space="preserve"> et al, 2012) concluded there are few studies providing evidence for effective interventions.</w:t>
      </w:r>
    </w:p>
    <w:p w:rsidR="00EF1CEE" w:rsidRPr="00EF1CEE" w:rsidRDefault="00EF1CEE" w:rsidP="00EF1CEE">
      <w:pPr>
        <w:pStyle w:val="Stil1"/>
        <w:spacing w:after="0" w:line="240" w:lineRule="auto"/>
        <w:jc w:val="both"/>
        <w:rPr>
          <w:rStyle w:val="apple-converted-space"/>
          <w:rFonts w:ascii="Times New Roman" w:hAnsi="Times New Roman"/>
          <w:sz w:val="24"/>
          <w:szCs w:val="24"/>
        </w:rPr>
      </w:pPr>
    </w:p>
    <w:p w:rsidR="00EF1CEE" w:rsidRPr="00EF1CEE" w:rsidRDefault="00EF1CEE" w:rsidP="00EF1CEE">
      <w:pPr>
        <w:pStyle w:val="Stil1"/>
        <w:spacing w:after="0" w:line="240" w:lineRule="auto"/>
        <w:jc w:val="both"/>
        <w:rPr>
          <w:rStyle w:val="apple-converted-space"/>
          <w:rFonts w:ascii="Times New Roman" w:hAnsi="Times New Roman"/>
          <w:sz w:val="24"/>
          <w:szCs w:val="24"/>
        </w:rPr>
      </w:pPr>
      <w:r w:rsidRPr="00EF1CEE">
        <w:rPr>
          <w:rStyle w:val="apple-converted-space"/>
          <w:rFonts w:ascii="Times New Roman" w:hAnsi="Times New Roman"/>
          <w:sz w:val="24"/>
          <w:szCs w:val="24"/>
        </w:rPr>
        <w:t>It is less often estimated what amount of taxpayers' money is spent to reduce drug use and related problems, whether the distribution of that money according to the type of program reflects drug policy priorities, and whether the effects of those programs justify public spending. Drug policy could not be formulated and implemented without indicators of its effectiveness, and this paper represents an attempt to discuss possible tools for estimate of the composition of the government's drug policy spending on programs.</w:t>
      </w:r>
    </w:p>
    <w:p w:rsidR="00EF1CEE" w:rsidRPr="00EF1CEE" w:rsidRDefault="00EF1CEE" w:rsidP="00EF1CEE">
      <w:pPr>
        <w:spacing w:after="0" w:line="240" w:lineRule="auto"/>
        <w:jc w:val="both"/>
        <w:rPr>
          <w:rStyle w:val="apple-converted-space"/>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shd w:val="clear" w:color="auto" w:fill="FFFFFF"/>
        </w:rPr>
        <w:t>Studies on public costs have a potential to provide insight into how the drug budget is composed. Moreover, in view of the growing demands for accountability and evidence-based policy, these studies show whether the government’s stated priorities for drug policy are mirrored in their actual expenditures. Secondly, the potential role of public expenditures studies increases with a comparison over time, and thirdly with a cross-country comparison. These comparisons may provide important insight into the dynamics of drug policy.</w:t>
      </w:r>
      <w:r w:rsidRPr="00EF1CEE">
        <w:rPr>
          <w:rStyle w:val="apple-converted-space"/>
          <w:rFonts w:ascii="Times New Roman" w:hAnsi="Times New Roman"/>
          <w:sz w:val="24"/>
          <w:szCs w:val="24"/>
          <w:shd w:val="clear" w:color="auto" w:fill="FFFFFF"/>
        </w:rPr>
        <w:t>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lastRenderedPageBreak/>
        <w:t xml:space="preserve">Benefits of </w:t>
      </w:r>
      <w:r w:rsidRPr="00EF1CEE">
        <w:rPr>
          <w:rFonts w:ascii="Times New Roman" w:hAnsi="Times New Roman"/>
          <w:sz w:val="24"/>
          <w:szCs w:val="24"/>
          <w:shd w:val="clear" w:color="auto" w:fill="FFFFFF"/>
        </w:rPr>
        <w:t>public expenditures studies should also be recognize as the base for modelling cost</w:t>
      </w:r>
      <w:r w:rsidRPr="00EF1CEE">
        <w:rPr>
          <w:rFonts w:ascii="Times New Roman" w:hAnsi="Times New Roman"/>
          <w:b/>
          <w:bCs/>
          <w:sz w:val="24"/>
          <w:szCs w:val="24"/>
        </w:rPr>
        <w:t xml:space="preserve"> </w:t>
      </w:r>
      <w:r w:rsidRPr="00EF1CEE">
        <w:rPr>
          <w:rFonts w:ascii="Times New Roman" w:hAnsi="Times New Roman"/>
          <w:bCs/>
          <w:sz w:val="24"/>
          <w:szCs w:val="24"/>
        </w:rPr>
        <w:t xml:space="preserve">benefit analyses as the tool for comparison of </w:t>
      </w:r>
      <w:r w:rsidRPr="00EF1CEE">
        <w:rPr>
          <w:rFonts w:ascii="Times New Roman" w:hAnsi="Times New Roman"/>
          <w:sz w:val="24"/>
          <w:szCs w:val="24"/>
        </w:rPr>
        <w:t>achieved results and outcomes of drug policy whit spend funds and linking public expenditures to indicators and objectives established in the strategic documents, in order to assess the impact of the drug policy and justifiability in relation to results achieved. To see benefits, there is also a need to see what the social costs are for individuals and society, and what would be these costs/damages if there is no drug policy activates. Studies could develop a methodology for monitoring the efficiency of public expenditure for drug policy and introduce a system based on the achieved results and outcomes. This can also include the definition of a set of indicators and outcomes that determine whether they achieved the planned results and outcomes and justify whether the results achieved and outcomes spent public funds.</w:t>
      </w:r>
    </w:p>
    <w:p w:rsidR="00EF1CEE" w:rsidRPr="00EF1CEE" w:rsidRDefault="00EF1CEE" w:rsidP="00EF1CEE">
      <w:pPr>
        <w:spacing w:after="0" w:line="240" w:lineRule="auto"/>
        <w:jc w:val="both"/>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Definition of public expenditure, subject of analysis and methodology applied differ in existing studies. In addition, the study of public expenditure is complicated further because confusion exists between the public expenditure studies and studies on the social cost of the drug phenomenon. Different concepts and definitions are used in literature for term public expenditure</w:t>
      </w:r>
    </w:p>
    <w:p w:rsidR="00EF1CEE" w:rsidRPr="00EF1CEE" w:rsidRDefault="00EF1CEE" w:rsidP="00EF1CEE">
      <w:pPr>
        <w:spacing w:after="0" w:line="240" w:lineRule="auto"/>
        <w:jc w:val="both"/>
        <w:rPr>
          <w:rFonts w:ascii="Times New Roman" w:hAnsi="Times New Roman"/>
          <w:color w:val="000000"/>
          <w:sz w:val="24"/>
          <w:szCs w:val="24"/>
          <w:shd w:val="clear" w:color="auto" w:fill="FFFFFF"/>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Public expenditure is defined as investments or budget lines of public authorities on actions expressly and directly ‘labelled’ for drug policy actions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The term ‘public expenditure’ refers to the value of goods and services purchased/utilised by the general government of a state (at central, regional or local level) in order to perform each of its functions (i.e. healthcare, justice, public order, education, social services) (EMCDDA, 2008).</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To estimate public expenditure different methodological steps could be taken.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For each study, it is necessary to define the goals, scope, and what it is we actually want to measure. It is necessary to determine who are the subjects that consume resources (1) the private sector: drug users, patients who attend various counselling and treatment and/or consume drugs, private insurers; 2) the public sector: government, regional and county services that are included in implementation of the program, centres for social welfare, the police, the judiciary, the prison system; 3) society: cost due to loss of productivity and premature mortality.</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first step in the p</w:t>
      </w:r>
      <w:r>
        <w:rPr>
          <w:rFonts w:ascii="Times New Roman" w:hAnsi="Times New Roman"/>
          <w:sz w:val="24"/>
          <w:szCs w:val="24"/>
        </w:rPr>
        <w:t>reparation of cost estimates studies</w:t>
      </w:r>
      <w:r w:rsidRPr="00EF1CEE">
        <w:rPr>
          <w:rFonts w:ascii="Times New Roman" w:hAnsi="Times New Roman"/>
          <w:sz w:val="24"/>
          <w:szCs w:val="24"/>
        </w:rPr>
        <w:t xml:space="preserve"> is the definition of the geographical area, the types of drugs on which we discuss, the cost and definition of categories of claims (mortality, physical health, mental health, and environment). Research can be conducted by way of an analysis of documents and data, questionnaire and interview of major stakeholders in the area of combating drug abuse and drug addiction.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second step consists of identifying the major players responsible for drug policy and the classification of public expenditure. To classify public expenditure it is necessary to identify the competent authorities in order to establish where the expenditure is coming from. To know for which ends public expenditure is used, expenditure needs to be classified according to the different drug policy sectors.</w:t>
      </w:r>
    </w:p>
    <w:p w:rsidR="00EF1CEE" w:rsidRPr="00EF1CEE" w:rsidRDefault="00EF1CEE" w:rsidP="00EF1CEE">
      <w:pPr>
        <w:spacing w:after="0" w:line="240" w:lineRule="auto"/>
        <w:jc w:val="both"/>
        <w:rPr>
          <w:rFonts w:ascii="Times New Roman" w:hAnsi="Times New Roman"/>
          <w:color w:val="000000"/>
          <w:sz w:val="24"/>
          <w:szCs w:val="24"/>
          <w:shd w:val="clear" w:color="auto" w:fill="FFFFFF"/>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color w:val="000000"/>
          <w:sz w:val="24"/>
          <w:szCs w:val="24"/>
          <w:shd w:val="clear" w:color="auto" w:fill="FFFFFF"/>
        </w:rPr>
        <w:t xml:space="preserve">Studies on public expenditure require a significant amount of analytical work and certain degree of creativity. Altogether, this meant that comprehensive approaches to precisely </w:t>
      </w:r>
      <w:r w:rsidRPr="00EF1CEE">
        <w:rPr>
          <w:rFonts w:ascii="Times New Roman" w:hAnsi="Times New Roman"/>
          <w:color w:val="000000"/>
          <w:sz w:val="24"/>
          <w:szCs w:val="24"/>
          <w:shd w:val="clear" w:color="auto" w:fill="FFFFFF"/>
        </w:rPr>
        <w:lastRenderedPageBreak/>
        <w:t xml:space="preserve">estimate public expenditure are sometimes beyond the technical resource or human capabilities.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When estimating public expenditure on</w:t>
      </w:r>
      <w:r>
        <w:rPr>
          <w:rFonts w:ascii="Times New Roman" w:hAnsi="Times New Roman"/>
          <w:sz w:val="24"/>
          <w:szCs w:val="24"/>
        </w:rPr>
        <w:t xml:space="preserve"> drug policy, need to be note</w:t>
      </w:r>
      <w:r w:rsidRPr="00EF1CEE">
        <w:rPr>
          <w:rFonts w:ascii="Times New Roman" w:hAnsi="Times New Roman"/>
          <w:sz w:val="24"/>
          <w:szCs w:val="24"/>
        </w:rPr>
        <w:t xml:space="preserve"> that such expenditure is often embedded in policy projects with broader objectives. Therefore, it is important to look beyond the expenditure exclusively used for drug policy and also include spending intended for broader policy domains.</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Kopp and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(2003, p. 23) and the EMCDDA (2007) use other terms to refer to expenditure exclusively used for drug policy and the expenditure intended for broader policy domains but the terms used are analogous. Kopp and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(2003) use the term ‘direct’ and ‘indirect expenditure’, while the EMCDDA (2007) refers to ‘labelled drug-related expenditure’ and ‘non-labelled drug-related expenditure’. Labelled drug-related expenditure is the ex-ante planned expenditure that reflects the voluntary commitment of the state in the field of drugs. Labelled expenditure can be traced back by a detailed review of budget and/or fiscal year-end accountancy reports for an implemented/executed budget.</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line="240" w:lineRule="auto"/>
        <w:jc w:val="both"/>
        <w:rPr>
          <w:rFonts w:ascii="Times New Roman" w:hAnsi="Times New Roman"/>
          <w:sz w:val="24"/>
          <w:szCs w:val="24"/>
        </w:rPr>
      </w:pPr>
      <w:r w:rsidRPr="00EF1CEE">
        <w:rPr>
          <w:rFonts w:ascii="Times New Roman" w:hAnsi="Times New Roman"/>
          <w:sz w:val="24"/>
          <w:szCs w:val="24"/>
        </w:rPr>
        <w:t>Labelled expenditures are those which are identified as such in the budget. Calculation methods are not required for labelled drug-related budgets. Time series data for this category of expenditure are provided on a regular basis. There also exists a large amount of non-labelled expenditure which clearly belongs in the category of drug-related policy. Usually the most important part of drug-related public expenditure is embedded in broader expenditure categories (e.g. police services or hospitals) and needs to be estimated with the help of models and secondary data sets. This type of expenditure is commonly referred to as ‘unlabeled expenditure’</w:t>
      </w:r>
      <w:r>
        <w:rPr>
          <w:rFonts w:ascii="Times New Roman" w:hAnsi="Times New Roman"/>
          <w:sz w:val="24"/>
          <w:szCs w:val="24"/>
        </w:rPr>
        <w:t>.</w:t>
      </w:r>
      <w:r w:rsidRPr="00EF1CEE">
        <w:rPr>
          <w:rFonts w:ascii="Times New Roman" w:hAnsi="Times New Roman"/>
          <w:sz w:val="24"/>
          <w:szCs w:val="24"/>
        </w:rPr>
        <w:t xml:space="preserve"> </w:t>
      </w: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Labelled expenditures on drug policy are budget items, which the individual budgetary organisations of state administration keep in their budget. Non-labelled are the expenditures, which are not directly intended for the addressing of drug-related issues, but they are still involved in addressing drug-related issues.</w:t>
      </w:r>
    </w:p>
    <w:p w:rsidR="00EF1CEE" w:rsidRPr="00EF1CEE" w:rsidRDefault="00EF1CEE" w:rsidP="00EF1CEE">
      <w:pPr>
        <w:spacing w:after="0" w:line="240" w:lineRule="auto"/>
        <w:jc w:val="both"/>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All the reviewed studies attempt to estimate these two types of public expenditure. Nevertheless, all studies emphasise the difficulty in calculating expenditure that is embedded into a broader budgetary structure (Reuter et al., 2004). Furthermore, data on such expenditure requires a detailed study.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The following step in the public expenditure estimation process is the identification of the public authorities competent for aspects of the drug policy. The public authorities, public services and subsidised private actors (NGO’s) responsible for the policy areas on the different competency levels have to be inventoried. </w:t>
      </w:r>
    </w:p>
    <w:p w:rsid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In general, studies take into account their own specific state and governmental structure and analyse the expenditure on drug policy of the different public authorities responsible for the policy areas. In sum, only those competency levels involved in drug policy and investing in drug policy are included.</w:t>
      </w:r>
    </w:p>
    <w:p w:rsid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Authors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2003;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stress the importance of taking into account the different levels of competence (federal, regional, local) when estimating public expenditure as in every country the division of competences in the field of drug issues differs and is spread over different policy domains (epidemiology, prevention, treatment, law enforcement and others).</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key element in public expenditure is the public authorities’ financial contribution</w:t>
      </w:r>
      <w:r w:rsidRPr="00EF1CEE">
        <w:rPr>
          <w:rFonts w:ascii="Times New Roman" w:hAnsi="Times New Roman"/>
          <w:b/>
          <w:sz w:val="24"/>
          <w:szCs w:val="24"/>
        </w:rPr>
        <w:t xml:space="preserve"> </w:t>
      </w:r>
      <w:r w:rsidRPr="00EF1CEE">
        <w:rPr>
          <w:rFonts w:ascii="Times New Roman" w:hAnsi="Times New Roman"/>
          <w:sz w:val="24"/>
          <w:szCs w:val="24"/>
        </w:rPr>
        <w:t>to the drug policy. This implies that a public expenditure analysis proceeds from the perspective of the different public authorities who are competent for the respective aspects of the drug policy.</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Depending on the state structure, expenditure from the federal government as well as the expenditure of regional, provincial, municipal authorities and associated public services has to be included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2003;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2007).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structure of general government consists of a central government and sub-national governments (i.e. regional and local, according to country) that usually manage independent budgets whose size and nature vary, according to the political configuration of the country concerned.</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According to the EMCDDA reports, most of the countries reported labelled expenditure at central government level. </w:t>
      </w:r>
      <w:proofErr w:type="gramStart"/>
      <w:r w:rsidRPr="00EF1CEE">
        <w:rPr>
          <w:rFonts w:ascii="Times New Roman" w:hAnsi="Times New Roman"/>
          <w:sz w:val="24"/>
          <w:szCs w:val="24"/>
        </w:rPr>
        <w:t>Only six (Czech Republic, Denmark, Germany, Estonia, France, Poland) accounted expenses at regional and/or local government level (EMCDDA, 2008.)</w:t>
      </w:r>
      <w:proofErr w:type="gramEnd"/>
    </w:p>
    <w:p w:rsidR="00EF1CEE" w:rsidRPr="00EF1CEE" w:rsidRDefault="00EF1CEE" w:rsidP="00EF1CEE">
      <w:pPr>
        <w:spacing w:after="0" w:line="240" w:lineRule="auto"/>
        <w:jc w:val="both"/>
        <w:rPr>
          <w:rFonts w:ascii="Times New Roman" w:hAnsi="Times New Roman"/>
          <w:color w:val="FF0000"/>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When insight is gained into the sources of the expenditure, one can start collecting data on budgets. The identification of public authorities involved in drug policy has to enable the classification of public expenditure based upon the source where the expenditure is coming from. After this exercise, public expenditure has to be classified according to the different sectors in drug policy. Methods of calculation are not homogenous across programmes. Estimates are calculated by the authority responsible for carrying out the programme. For some programmes, estimates on drug-related direct costs are based on a bottom-up approach, and for others, the method of calculation is based on a top-down approach.</w:t>
      </w:r>
    </w:p>
    <w:p w:rsidR="00EF1CEE" w:rsidRPr="00EF1CEE" w:rsidRDefault="00EF1CEE" w:rsidP="00EF1CEE">
      <w:pPr>
        <w:spacing w:after="0" w:line="240" w:lineRule="auto"/>
        <w:jc w:val="both"/>
        <w:rPr>
          <w:rFonts w:ascii="Times New Roman" w:hAnsi="Times New Roman"/>
          <w:color w:val="FF0000"/>
          <w:sz w:val="24"/>
          <w:szCs w:val="24"/>
        </w:rPr>
      </w:pPr>
    </w:p>
    <w:p w:rsidR="00EF1CEE" w:rsidRPr="00EF1CEE" w:rsidRDefault="00EF1CEE" w:rsidP="00EF1CEE">
      <w:pPr>
        <w:spacing w:after="0" w:line="240" w:lineRule="auto"/>
        <w:jc w:val="both"/>
        <w:rPr>
          <w:rFonts w:ascii="Times New Roman" w:hAnsi="Times New Roman"/>
          <w:sz w:val="24"/>
          <w:szCs w:val="24"/>
          <w:shd w:val="clear" w:color="auto" w:fill="FFFFFF"/>
        </w:rPr>
      </w:pPr>
      <w:r w:rsidRPr="00EF1CEE">
        <w:rPr>
          <w:rFonts w:ascii="Times New Roman" w:hAnsi="Times New Roman"/>
          <w:sz w:val="24"/>
          <w:szCs w:val="24"/>
          <w:shd w:val="clear" w:color="auto" w:fill="FFFFFF"/>
        </w:rPr>
        <w:t>Generally, a bottom-up approach is used to estimate the costs of service usage whereas top-down costing is more amenable to estimating the society level costs which are often intangible and where data is scarce.</w:t>
      </w:r>
    </w:p>
    <w:p w:rsidR="00EF1CEE" w:rsidRPr="00EF1CEE" w:rsidRDefault="00EF1CEE" w:rsidP="00EF1CEE">
      <w:pPr>
        <w:shd w:val="clear" w:color="auto" w:fill="FFFFFF"/>
        <w:spacing w:after="0" w:line="240" w:lineRule="auto"/>
        <w:jc w:val="both"/>
        <w:textAlignment w:val="baseline"/>
        <w:rPr>
          <w:rFonts w:ascii="Times New Roman" w:eastAsia="Times New Roman" w:hAnsi="Times New Roman"/>
          <w:sz w:val="24"/>
          <w:szCs w:val="24"/>
          <w:lang w:eastAsia="hr-HR"/>
        </w:rPr>
      </w:pPr>
    </w:p>
    <w:p w:rsidR="00EF1CEE" w:rsidRPr="00EF1CEE" w:rsidRDefault="00EF1CEE" w:rsidP="00EF1CEE">
      <w:pPr>
        <w:shd w:val="clear" w:color="auto" w:fill="FFFFFF"/>
        <w:spacing w:after="0" w:line="240" w:lineRule="auto"/>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sz w:val="24"/>
          <w:szCs w:val="24"/>
          <w:lang w:eastAsia="hr-HR"/>
        </w:rPr>
        <w:t xml:space="preserve">The top-down approach is based on a simple calculation: divide total expenditure (quantum of funding available) for a given area or policy by total units of activity (e.g. patients served) to derive a unit cost. The units of activity are specific to the services that are being </w:t>
      </w:r>
      <w:proofErr w:type="spellStart"/>
      <w:r w:rsidRPr="00EF1CEE">
        <w:rPr>
          <w:rFonts w:ascii="Times New Roman" w:eastAsia="Times New Roman" w:hAnsi="Times New Roman"/>
          <w:sz w:val="24"/>
          <w:szCs w:val="24"/>
          <w:lang w:eastAsia="hr-HR"/>
        </w:rPr>
        <w:t>costed</w:t>
      </w:r>
      <w:proofErr w:type="spellEnd"/>
      <w:r w:rsidRPr="00EF1CEE">
        <w:rPr>
          <w:rFonts w:ascii="Times New Roman" w:eastAsia="Times New Roman" w:hAnsi="Times New Roman"/>
          <w:sz w:val="24"/>
          <w:szCs w:val="24"/>
          <w:lang w:eastAsia="hr-HR"/>
        </w:rPr>
        <w:t>, for example the cost of a prison place, GP consultation, or social work assessment. Typically this approach uses aggregate, budgetary data to estimate a unit cost. The advantages of the top-down approach are:</w:t>
      </w:r>
    </w:p>
    <w:p w:rsidR="00EF1CEE" w:rsidRPr="00EF1CEE" w:rsidRDefault="00EF1CEE" w:rsidP="00EF1CEE">
      <w:pPr>
        <w:numPr>
          <w:ilvl w:val="0"/>
          <w:numId w:val="1"/>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Availability of data</w:t>
      </w:r>
      <w:r w:rsidRPr="00EF1CEE">
        <w:rPr>
          <w:rFonts w:ascii="Times New Roman" w:eastAsia="Times New Roman" w:hAnsi="Times New Roman"/>
          <w:sz w:val="24"/>
          <w:szCs w:val="24"/>
          <w:lang w:eastAsia="hr-HR"/>
        </w:rPr>
        <w:t>: the availability of budgetary data means that top-down approaches can be applied easily;</w:t>
      </w:r>
    </w:p>
    <w:p w:rsidR="00EF1CEE" w:rsidRPr="00EF1CEE" w:rsidRDefault="00EF1CEE" w:rsidP="00EF1CEE">
      <w:pPr>
        <w:numPr>
          <w:ilvl w:val="0"/>
          <w:numId w:val="1"/>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Simplicity</w:t>
      </w:r>
      <w:r w:rsidRPr="00EF1CEE">
        <w:rPr>
          <w:rFonts w:ascii="Times New Roman" w:eastAsia="Times New Roman" w:hAnsi="Times New Roman"/>
          <w:sz w:val="24"/>
          <w:szCs w:val="24"/>
          <w:lang w:eastAsia="hr-HR"/>
        </w:rPr>
        <w:t>: the calculation required to estimate unit costs is easy to understand and direct, providing a simple way to quantify the administrative and overhead costs associated with a range of public services and</w:t>
      </w:r>
    </w:p>
    <w:p w:rsidR="00EF1CEE" w:rsidRPr="00EF1CEE" w:rsidRDefault="00EF1CEE" w:rsidP="00EF1CEE">
      <w:pPr>
        <w:numPr>
          <w:ilvl w:val="0"/>
          <w:numId w:val="1"/>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Low cost</w:t>
      </w:r>
      <w:r w:rsidRPr="00EF1CEE">
        <w:rPr>
          <w:rFonts w:ascii="Times New Roman" w:eastAsia="Times New Roman" w:hAnsi="Times New Roman"/>
          <w:sz w:val="24"/>
          <w:szCs w:val="24"/>
          <w:lang w:eastAsia="hr-HR"/>
        </w:rPr>
        <w:t>: the availability of aggregate cost data means that the time and costs required to estimate a top-down unit cost are minimal.</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shd w:val="clear" w:color="auto" w:fill="FFFFFF"/>
        </w:rPr>
        <w:t xml:space="preserve">There are, however, two main limitations associated with a top-down approach. First, it does not identify what drives costs and therefore often masks the underlying factors that determine why unit costs vary within a single yet heterogeneous group of service users - for example, children in care. Second, top-down costing cannot be used to reliably forecast how </w:t>
      </w:r>
      <w:r w:rsidRPr="00EF1CEE">
        <w:rPr>
          <w:rFonts w:ascii="Times New Roman" w:hAnsi="Times New Roman"/>
          <w:sz w:val="24"/>
          <w:szCs w:val="24"/>
          <w:shd w:val="clear" w:color="auto" w:fill="FFFFFF"/>
        </w:rPr>
        <w:lastRenderedPageBreak/>
        <w:t>costs might rise or fall as a result of changes in that way that people use services (e.g. the intensity, duration of service usage) or how costs might change due to improvements in outcomes.  </w:t>
      </w:r>
    </w:p>
    <w:p w:rsidR="00EF1CEE" w:rsidRPr="00EF1CEE" w:rsidRDefault="00EF1CEE" w:rsidP="00EF1CEE">
      <w:pPr>
        <w:shd w:val="clear" w:color="auto" w:fill="FFFFFF"/>
        <w:spacing w:after="0" w:line="240" w:lineRule="auto"/>
        <w:jc w:val="both"/>
        <w:textAlignment w:val="baseline"/>
        <w:rPr>
          <w:rFonts w:ascii="Times New Roman" w:eastAsia="Times New Roman" w:hAnsi="Times New Roman"/>
          <w:sz w:val="24"/>
          <w:szCs w:val="24"/>
          <w:lang w:eastAsia="hr-HR"/>
        </w:rPr>
      </w:pPr>
    </w:p>
    <w:p w:rsidR="00EF1CEE" w:rsidRPr="00EF1CEE" w:rsidRDefault="00EF1CEE" w:rsidP="00EF1CEE">
      <w:pPr>
        <w:shd w:val="clear" w:color="auto" w:fill="FFFFFF"/>
        <w:spacing w:after="0" w:line="240" w:lineRule="auto"/>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sz w:val="24"/>
          <w:szCs w:val="24"/>
          <w:lang w:eastAsia="hr-HR"/>
        </w:rPr>
        <w:t>The bottom-up approach provides a greater level of granularity than the top-down method. It involves identifying all of the resources that are used to provide a service and assigning a value to each of those resources. These values are summed and linked to a unit of activity to derive a total unit cost – this provides a basis for assessment of which costs can be avoided as a result of reduced demand.</w:t>
      </w:r>
    </w:p>
    <w:p w:rsidR="00EF1CEE" w:rsidRPr="00EF1CEE" w:rsidRDefault="00EF1CEE" w:rsidP="00EF1CEE">
      <w:pPr>
        <w:shd w:val="clear" w:color="auto" w:fill="FFFFFF"/>
        <w:spacing w:after="0" w:line="240" w:lineRule="auto"/>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sz w:val="24"/>
          <w:szCs w:val="24"/>
          <w:lang w:eastAsia="hr-HR"/>
        </w:rPr>
        <w:t>The advantages of using a bottom-up approach are:</w:t>
      </w:r>
    </w:p>
    <w:p w:rsidR="00EF1CEE" w:rsidRPr="00EF1CEE" w:rsidRDefault="00EF1CEE" w:rsidP="00EF1CEE">
      <w:pPr>
        <w:numPr>
          <w:ilvl w:val="0"/>
          <w:numId w:val="2"/>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Transparency</w:t>
      </w:r>
      <w:r w:rsidRPr="00EF1CEE">
        <w:rPr>
          <w:rFonts w:ascii="Times New Roman" w:eastAsia="Times New Roman" w:hAnsi="Times New Roman"/>
          <w:sz w:val="24"/>
          <w:szCs w:val="24"/>
          <w:lang w:eastAsia="hr-HR"/>
        </w:rPr>
        <w:t>: detailed cost data allows potential errors to be investigated and their impact tested – this facilitates the quality assurance process;</w:t>
      </w:r>
    </w:p>
    <w:p w:rsidR="00EF1CEE" w:rsidRPr="00EF1CEE" w:rsidRDefault="00EF1CEE" w:rsidP="00EF1CEE">
      <w:pPr>
        <w:numPr>
          <w:ilvl w:val="0"/>
          <w:numId w:val="2"/>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Granularity</w:t>
      </w:r>
      <w:r w:rsidRPr="00EF1CEE">
        <w:rPr>
          <w:rFonts w:ascii="Times New Roman" w:eastAsia="Times New Roman" w:hAnsi="Times New Roman"/>
          <w:sz w:val="24"/>
          <w:szCs w:val="24"/>
          <w:lang w:eastAsia="hr-HR"/>
        </w:rPr>
        <w:t>: detailed cost data can highlight variations in cost data, and enable practitioners to explore the drivers of variation and determine whether, for example, some service users account for a disp</w:t>
      </w:r>
      <w:r>
        <w:rPr>
          <w:rFonts w:ascii="Times New Roman" w:eastAsia="Times New Roman" w:hAnsi="Times New Roman"/>
          <w:sz w:val="24"/>
          <w:szCs w:val="24"/>
          <w:lang w:eastAsia="hr-HR"/>
        </w:rPr>
        <w:t xml:space="preserve">roportionate share of costs; </w:t>
      </w:r>
    </w:p>
    <w:p w:rsidR="00EF1CEE" w:rsidRPr="00EF1CEE" w:rsidRDefault="00EF1CEE" w:rsidP="00EF1CEE">
      <w:pPr>
        <w:numPr>
          <w:ilvl w:val="0"/>
          <w:numId w:val="2"/>
        </w:numPr>
        <w:shd w:val="clear" w:color="auto" w:fill="FFFFFF"/>
        <w:spacing w:after="0" w:line="240" w:lineRule="auto"/>
        <w:ind w:left="360"/>
        <w:jc w:val="both"/>
        <w:textAlignment w:val="baseline"/>
        <w:rPr>
          <w:rFonts w:ascii="Times New Roman" w:eastAsia="Times New Roman" w:hAnsi="Times New Roman"/>
          <w:sz w:val="24"/>
          <w:szCs w:val="24"/>
          <w:lang w:eastAsia="hr-HR"/>
        </w:rPr>
      </w:pPr>
      <w:r w:rsidRPr="00EF1CEE">
        <w:rPr>
          <w:rFonts w:ascii="Times New Roman" w:eastAsia="Times New Roman" w:hAnsi="Times New Roman"/>
          <w:bCs/>
          <w:sz w:val="24"/>
          <w:szCs w:val="24"/>
          <w:bdr w:val="none" w:sz="0" w:space="0" w:color="auto" w:frame="1"/>
          <w:lang w:eastAsia="hr-HR"/>
        </w:rPr>
        <w:t>Versatility</w:t>
      </w:r>
      <w:r w:rsidRPr="00EF1CEE">
        <w:rPr>
          <w:rFonts w:ascii="Times New Roman" w:eastAsia="Times New Roman" w:hAnsi="Times New Roman"/>
          <w:sz w:val="24"/>
          <w:szCs w:val="24"/>
          <w:lang w:eastAsia="hr-HR"/>
        </w:rPr>
        <w:t>: the methodology enables a practitioner to forecast how costs may change as a result of a reduction in service usage or demand.</w:t>
      </w:r>
    </w:p>
    <w:p w:rsidR="00EF1CEE" w:rsidRPr="00EF1CEE" w:rsidRDefault="00EF1CEE" w:rsidP="00EF1CEE">
      <w:pPr>
        <w:spacing w:after="0" w:line="240" w:lineRule="auto"/>
        <w:jc w:val="both"/>
        <w:rPr>
          <w:rFonts w:ascii="Times New Roman" w:hAnsi="Times New Roman"/>
          <w:sz w:val="24"/>
          <w:szCs w:val="24"/>
          <w:shd w:val="clear" w:color="auto" w:fill="FFFFFF"/>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shd w:val="clear" w:color="auto" w:fill="FFFFFF"/>
        </w:rPr>
        <w:t>However, the main disadvantage associated with the bottom-up approach is that it is labour intensive; the cost, time and expertise require to apply it may be prohibitive for providers.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and </w:t>
      </w:r>
      <w:proofErr w:type="spellStart"/>
      <w:r w:rsidRPr="00EF1CEE">
        <w:rPr>
          <w:rFonts w:ascii="Times New Roman" w:hAnsi="Times New Roman"/>
          <w:sz w:val="24"/>
          <w:szCs w:val="24"/>
        </w:rPr>
        <w:t>Postma</w:t>
      </w:r>
      <w:proofErr w:type="spellEnd"/>
      <w:r w:rsidRPr="00EF1CEE">
        <w:rPr>
          <w:rFonts w:ascii="Times New Roman" w:hAnsi="Times New Roman"/>
          <w:sz w:val="24"/>
          <w:szCs w:val="24"/>
        </w:rPr>
        <w:t xml:space="preserve"> (2004) explain the top-down approach as a method that starts from the resources or overall budgets made available by the different public authorities involved in the drug policy. First, the public authorities have to be identified. Then, the data on the public authorities’ drug budgets are collected and analysed. This top-down approach</w:t>
      </w:r>
      <w:r w:rsidRPr="00EF1CEE">
        <w:rPr>
          <w:rFonts w:ascii="Times New Roman" w:hAnsi="Times New Roman"/>
          <w:b/>
          <w:sz w:val="24"/>
          <w:szCs w:val="24"/>
        </w:rPr>
        <w:t xml:space="preserve"> </w:t>
      </w:r>
      <w:r w:rsidRPr="00EF1CEE">
        <w:rPr>
          <w:rFonts w:ascii="Times New Roman" w:hAnsi="Times New Roman"/>
          <w:sz w:val="24"/>
          <w:szCs w:val="24"/>
        </w:rPr>
        <w:t xml:space="preserve">starts with an analysis of the budget lines of the public administrations.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second method of analysis is the bottom-up approac</w:t>
      </w:r>
      <w:r>
        <w:rPr>
          <w:rFonts w:ascii="Times New Roman" w:hAnsi="Times New Roman"/>
          <w:sz w:val="24"/>
          <w:szCs w:val="24"/>
        </w:rPr>
        <w:t xml:space="preserve">h. De </w:t>
      </w:r>
      <w:proofErr w:type="spellStart"/>
      <w:r>
        <w:rPr>
          <w:rFonts w:ascii="Times New Roman" w:hAnsi="Times New Roman"/>
          <w:sz w:val="24"/>
          <w:szCs w:val="24"/>
        </w:rPr>
        <w:t>Ruyver</w:t>
      </w:r>
      <w:proofErr w:type="spellEnd"/>
      <w:r>
        <w:rPr>
          <w:rFonts w:ascii="Times New Roman" w:hAnsi="Times New Roman"/>
          <w:sz w:val="24"/>
          <w:szCs w:val="24"/>
        </w:rPr>
        <w:t xml:space="preserve"> et al. (2007</w:t>
      </w:r>
      <w:r w:rsidRPr="00EF1CEE">
        <w:rPr>
          <w:rFonts w:ascii="Times New Roman" w:hAnsi="Times New Roman"/>
          <w:sz w:val="24"/>
          <w:szCs w:val="24"/>
        </w:rPr>
        <w:t>) refer to the bottom-up approach as an approach that</w:t>
      </w:r>
      <w:r w:rsidRPr="00EF1CEE">
        <w:rPr>
          <w:rFonts w:ascii="Times New Roman" w:hAnsi="Times New Roman"/>
          <w:i/>
          <w:sz w:val="24"/>
          <w:szCs w:val="24"/>
        </w:rPr>
        <w:t xml:space="preserve"> </w:t>
      </w:r>
      <w:r w:rsidRPr="00EF1CEE">
        <w:rPr>
          <w:rFonts w:ascii="Times New Roman" w:hAnsi="Times New Roman"/>
          <w:sz w:val="24"/>
          <w:szCs w:val="24"/>
        </w:rPr>
        <w:t xml:space="preserve">starts from the activities in the work field and traces the money flow back to the public authorities funding. The organisations working in the drug field have to be identified first after which, rather than analysing documents relating to the drug budget, data are examined on the basis of the means of the private (NGO’s) and public organisations and other yearly reports, complemented by questionnaires and interviews with these organisations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Most of the public expenditure studies apply a top-down approach and thus only identify the public authorities and not the organisations working in the field. The only study that is exclusively bottom-up is the study of Kopp (2003). The Belgian studies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are the only studies which combine both approaches. The advantage of this double method is that it makes verification possible; the data gathered on the basis of the top-down approach can be double-checked and completed with the data retrieved from the project actors in the field.</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The question in public expenditure studies is how much the public authorities are spending on the drug policy and for which ends such expenditure is used. Public expenditure studies reveal the existing activities and policy approaches and can evaluate whether the policy intentions are actually reflected in the drug budget. Therefore, it is essential to classify public expenditure based upon the purpose which the expenditure is intended for (Reuter et al., 2004).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lastRenderedPageBreak/>
        <w:t>Therefore, it is proposed to use a consistent categorisation system based on the international Classification of the Functions of Government (COFOG). COFOG is a detailed classification of the functions, or socioeconomic objectives, that general government units aim to achieve through a range of outlays. Experience has shown this system to be relevant and amenable to a wide variety of analytic applications. The COFOG classification has three structure levels at the first level; government expenditure is broken down into 10 functions. These are each divided into 69 groups (second level of COFOG), which are themselves divided into classes, the most detailed classification level. COFOG permits an examination over time of trends in government outlays on particular functions. (EMCDDA, 2008)</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rsidR="00EF1CEE" w:rsidRPr="00EF1CEE" w:rsidRDefault="00EF1CEE" w:rsidP="00EF1CEE">
      <w:pPr>
        <w:spacing w:after="0" w:line="240" w:lineRule="auto"/>
        <w:jc w:val="both"/>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Example of an overview of public expenditure groups broken down according to the main public functions pursuant to the international classification of the functions of the government at the third level</w:t>
      </w:r>
      <w:r w:rsidRPr="00EF1CEE">
        <w:rPr>
          <w:rFonts w:ascii="Times New Roman" w:hAnsi="Times New Roman"/>
          <w:bCs/>
          <w:sz w:val="24"/>
          <w:szCs w:val="24"/>
        </w:rPr>
        <w:t xml:space="preserve"> is shown in Table 1. (</w:t>
      </w:r>
      <w:r w:rsidRPr="00EF1CEE">
        <w:rPr>
          <w:rFonts w:ascii="Times New Roman" w:hAnsi="Times New Roman"/>
          <w:sz w:val="24"/>
          <w:szCs w:val="24"/>
        </w:rPr>
        <w:t>Budak et al., 2013</w:t>
      </w:r>
      <w:r w:rsidRPr="00EF1CEE">
        <w:rPr>
          <w:rFonts w:ascii="Times New Roman" w:hAnsi="Times New Roman"/>
          <w:bCs/>
          <w:sz w:val="24"/>
          <w:szCs w:val="24"/>
        </w:rPr>
        <w:t>).</w:t>
      </w:r>
    </w:p>
    <w:p w:rsidR="00EF1CEE" w:rsidRDefault="00EF1CEE" w:rsidP="00EF1CEE">
      <w:pPr>
        <w:spacing w:after="120"/>
        <w:jc w:val="both"/>
        <w:rPr>
          <w:rFonts w:ascii="Times New Roman" w:hAnsi="Times New Roman"/>
          <w:i/>
        </w:rPr>
      </w:pPr>
    </w:p>
    <w:p w:rsidR="00EF1CEE" w:rsidRPr="00EF1CEE" w:rsidRDefault="00EF1CEE" w:rsidP="00EF1CEE">
      <w:pPr>
        <w:spacing w:after="120"/>
        <w:jc w:val="both"/>
        <w:rPr>
          <w:rFonts w:ascii="Times New Roman" w:hAnsi="Times New Roman"/>
          <w:bCs/>
          <w:i/>
        </w:rPr>
      </w:pPr>
      <w:r w:rsidRPr="00EF1CEE">
        <w:rPr>
          <w:rFonts w:ascii="Times New Roman" w:hAnsi="Times New Roman"/>
          <w:i/>
        </w:rPr>
        <w:t>Table 1. – Public expenditures according to the classification of public functions</w:t>
      </w:r>
      <w:r w:rsidRPr="00EF1CEE">
        <w:rPr>
          <w:rFonts w:ascii="Times New Roman" w:hAnsi="Times New Roman"/>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6158"/>
      </w:tblGrid>
      <w:tr w:rsidR="00EF1CEE" w:rsidRPr="00EF1CEE" w:rsidTr="007B12C9">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rsidR="00EF1CEE" w:rsidRPr="00EF1CEE" w:rsidRDefault="00EF1CEE" w:rsidP="007B12C9">
            <w:pPr>
              <w:rPr>
                <w:rFonts w:ascii="Times New Roman" w:hAnsi="Times New Roman"/>
                <w:b/>
                <w:bCs/>
                <w:color w:val="FFFFFF"/>
              </w:rPr>
            </w:pPr>
            <w:r w:rsidRPr="00EF1CEE">
              <w:rPr>
                <w:rFonts w:ascii="Times New Roman" w:hAnsi="Times New Roman"/>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rsidR="00EF1CEE" w:rsidRPr="00EF1CEE" w:rsidRDefault="00EF1CEE" w:rsidP="007B12C9">
            <w:pPr>
              <w:jc w:val="center"/>
              <w:rPr>
                <w:rFonts w:ascii="Times New Roman" w:hAnsi="Times New Roman"/>
                <w:b/>
                <w:bCs/>
                <w:color w:val="FFFFFF"/>
              </w:rPr>
            </w:pPr>
            <w:r w:rsidRPr="00EF1CEE">
              <w:rPr>
                <w:rFonts w:ascii="Times New Roman" w:hAnsi="Times New Roman"/>
                <w:b/>
                <w:color w:val="FFFFFF"/>
              </w:rPr>
              <w:t>Public functions at the third level of classification</w:t>
            </w:r>
          </w:p>
        </w:tc>
      </w:tr>
      <w:tr w:rsidR="00EF1CEE" w:rsidRPr="00EF1CEE" w:rsidTr="007B12C9">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rPr>
            </w:pPr>
            <w:r w:rsidRPr="00EF1CEE">
              <w:rPr>
                <w:rFonts w:ascii="Times New Roman" w:hAnsi="Times New Roman"/>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014 Basic research</w:t>
            </w:r>
          </w:p>
        </w:tc>
      </w:tr>
      <w:tr w:rsidR="00EF1CEE" w:rsidRPr="00EF1CEE" w:rsidTr="007B12C9">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r w:rsidRPr="00EF1CEE">
              <w:rPr>
                <w:rFonts w:ascii="Times New Roman" w:hAnsi="Times New Roman"/>
              </w:rPr>
              <w:t xml:space="preserve">03 Public order and safety </w:t>
            </w:r>
          </w:p>
          <w:p w:rsidR="00EF1CEE" w:rsidRPr="00EF1CEE" w:rsidRDefault="00EF1CEE" w:rsidP="007B12C9">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rPr>
                <w:rFonts w:ascii="Times New Roman" w:hAnsi="Times New Roman"/>
              </w:rPr>
            </w:pPr>
            <w:r w:rsidRPr="00EF1CEE">
              <w:rPr>
                <w:rFonts w:ascii="Times New Roman" w:hAnsi="Times New Roman"/>
              </w:rPr>
              <w:t xml:space="preserve">031 Police services    </w:t>
            </w:r>
          </w:p>
        </w:tc>
      </w:tr>
      <w:tr w:rsidR="00EF1CEE" w:rsidRPr="00EF1CEE" w:rsidTr="007B12C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bCs/>
              </w:rPr>
            </w:pPr>
            <w:r w:rsidRPr="00EF1CEE">
              <w:rPr>
                <w:rFonts w:ascii="Times New Roman" w:hAnsi="Times New Roman"/>
              </w:rPr>
              <w:t xml:space="preserve">033 Law courts   </w:t>
            </w:r>
          </w:p>
        </w:tc>
      </w:tr>
      <w:tr w:rsidR="00EF1CEE" w:rsidRPr="00EF1CEE" w:rsidTr="007B12C9">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bCs/>
              </w:rPr>
            </w:pPr>
            <w:r w:rsidRPr="00EF1CEE">
              <w:rPr>
                <w:rFonts w:ascii="Times New Roman" w:hAnsi="Times New Roman"/>
              </w:rPr>
              <w:t xml:space="preserve">034 Prisons  </w:t>
            </w:r>
          </w:p>
        </w:tc>
      </w:tr>
      <w:tr w:rsidR="00EF1CEE" w:rsidRPr="00EF1CEE" w:rsidTr="007B12C9">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r w:rsidRPr="00EF1CEE">
              <w:rPr>
                <w:rFonts w:ascii="Times New Roman" w:hAnsi="Times New Roman"/>
              </w:rPr>
              <w:t>07 Health</w:t>
            </w:r>
          </w:p>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bCs/>
              </w:rPr>
            </w:pPr>
            <w:r w:rsidRPr="00EF1CEE">
              <w:rPr>
                <w:rFonts w:ascii="Times New Roman" w:hAnsi="Times New Roman"/>
              </w:rPr>
              <w:t>071 Medical products, appliances and equipment</w:t>
            </w:r>
          </w:p>
        </w:tc>
      </w:tr>
      <w:tr w:rsidR="00EF1CEE" w:rsidRPr="00EF1CEE" w:rsidTr="007B12C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072 Outpatient services</w:t>
            </w:r>
          </w:p>
        </w:tc>
      </w:tr>
      <w:tr w:rsidR="00EF1CEE" w:rsidRPr="00EF1CEE" w:rsidTr="007B12C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073 Hospital services</w:t>
            </w:r>
          </w:p>
        </w:tc>
      </w:tr>
      <w:tr w:rsidR="00EF1CEE" w:rsidRPr="00EF1CEE" w:rsidTr="007B12C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074 Public health services</w:t>
            </w:r>
          </w:p>
        </w:tc>
      </w:tr>
      <w:tr w:rsidR="00EF1CEE" w:rsidRPr="00EF1CEE" w:rsidTr="007B12C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075 R&amp;D</w:t>
            </w:r>
          </w:p>
        </w:tc>
      </w:tr>
      <w:tr w:rsidR="00EF1CEE" w:rsidRPr="00EF1CEE" w:rsidTr="007B12C9">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r w:rsidRPr="00EF1CEE">
              <w:rPr>
                <w:rFonts w:ascii="Times New Roman" w:hAnsi="Times New Roman"/>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rPr>
                <w:rFonts w:ascii="Times New Roman" w:hAnsi="Times New Roman"/>
              </w:rPr>
            </w:pPr>
            <w:r w:rsidRPr="00EF1CEE">
              <w:rPr>
                <w:rFonts w:ascii="Times New Roman" w:hAnsi="Times New Roman"/>
              </w:rPr>
              <w:t>091 Pre-primary and primary education</w:t>
            </w:r>
          </w:p>
        </w:tc>
      </w:tr>
      <w:tr w:rsidR="00EF1CEE" w:rsidRPr="00EF1CEE" w:rsidTr="007B12C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092 Secondary education</w:t>
            </w:r>
          </w:p>
        </w:tc>
      </w:tr>
      <w:tr w:rsidR="00EF1CEE" w:rsidRPr="00EF1CEE" w:rsidTr="007B12C9">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bCs/>
              </w:rPr>
            </w:pPr>
            <w:r w:rsidRPr="00EF1CEE">
              <w:rPr>
                <w:rFonts w:ascii="Times New Roman" w:hAnsi="Times New Roman"/>
              </w:rPr>
              <w:t>094 Tertiary education</w:t>
            </w:r>
          </w:p>
        </w:tc>
      </w:tr>
      <w:tr w:rsidR="00EF1CEE" w:rsidRPr="00EF1CEE" w:rsidTr="007B12C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095 Education non-definable by level</w:t>
            </w:r>
          </w:p>
        </w:tc>
      </w:tr>
      <w:tr w:rsidR="00EF1CEE" w:rsidRPr="00EF1CEE" w:rsidTr="007B12C9">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096 Subsidiary services to education</w:t>
            </w:r>
          </w:p>
        </w:tc>
      </w:tr>
      <w:tr w:rsidR="00EF1CEE" w:rsidRPr="00EF1CEE" w:rsidTr="007B12C9">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r w:rsidRPr="00EF1CEE">
              <w:rPr>
                <w:rFonts w:ascii="Times New Roman" w:hAnsi="Times New Roman"/>
              </w:rPr>
              <w:t>10 Social protection</w:t>
            </w:r>
          </w:p>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rPr>
            </w:pPr>
            <w:r w:rsidRPr="00EF1CEE">
              <w:rPr>
                <w:rFonts w:ascii="Times New Roman" w:hAnsi="Times New Roman"/>
              </w:rPr>
              <w:t xml:space="preserve">105 Unemployment   </w:t>
            </w:r>
          </w:p>
        </w:tc>
      </w:tr>
      <w:tr w:rsidR="00EF1CEE" w:rsidRPr="00EF1CEE" w:rsidTr="007B12C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jc w:val="both"/>
              <w:rPr>
                <w:rFonts w:ascii="Times New Roman" w:hAnsi="Times New Roman"/>
                <w:bCs/>
              </w:rPr>
            </w:pPr>
            <w:r w:rsidRPr="00EF1CEE">
              <w:rPr>
                <w:rFonts w:ascii="Times New Roman" w:hAnsi="Times New Roman"/>
              </w:rPr>
              <w:t xml:space="preserve">106 Housing </w:t>
            </w:r>
          </w:p>
        </w:tc>
      </w:tr>
      <w:tr w:rsidR="00EF1CEE" w:rsidRPr="00EF1CEE" w:rsidTr="007B12C9">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1CEE" w:rsidRPr="00EF1CEE" w:rsidRDefault="00EF1CEE" w:rsidP="007B12C9">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rsidR="00EF1CEE" w:rsidRPr="00EF1CEE" w:rsidRDefault="00EF1CEE" w:rsidP="007B12C9">
            <w:pPr>
              <w:rPr>
                <w:rFonts w:ascii="Times New Roman" w:hAnsi="Times New Roman"/>
              </w:rPr>
            </w:pPr>
            <w:r w:rsidRPr="00EF1CEE">
              <w:rPr>
                <w:rFonts w:ascii="Times New Roman" w:hAnsi="Times New Roman"/>
              </w:rPr>
              <w:t xml:space="preserve">107 Social exclusion </w:t>
            </w:r>
          </w:p>
        </w:tc>
      </w:tr>
    </w:tbl>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Labelled public expenditures </w:t>
      </w:r>
      <w:proofErr w:type="spellStart"/>
      <w:r w:rsidRPr="00EF1CEE">
        <w:rPr>
          <w:rFonts w:ascii="Times New Roman" w:hAnsi="Times New Roman"/>
          <w:sz w:val="24"/>
          <w:szCs w:val="24"/>
        </w:rPr>
        <w:t>sholud</w:t>
      </w:r>
      <w:proofErr w:type="spellEnd"/>
      <w:r w:rsidRPr="00EF1CEE">
        <w:rPr>
          <w:rFonts w:ascii="Times New Roman" w:hAnsi="Times New Roman"/>
          <w:sz w:val="24"/>
          <w:szCs w:val="24"/>
        </w:rPr>
        <w:t xml:space="preserve"> usually include all public expenditures containing in their name the key words “combating drug abuse and drug addiction”, “social reintegration”, “addiction treatment” and similar activities listed as special programmes, activities or project in the state budget, budgets of local and regional self government units, financial plans of public bodies and budgets of other institutions with activities aimed at different aspects of combating drug abuse. Activities conducted by public bodies in the area of drug policy and financed from state or county budgets, could be grouped according the division provided by Reuter (2006).</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Reuter et al. (2004, p. 35) suggested that it could be useful to split up the conventional sectors into finer categories and pointed to expenditure on enforcement where distinctions can be made between the different levels of the criminal justice system.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Labelled public expenditures can be split into five groups of activities: addiction prevention, treatment, social reintegration, harm reduction programmes and penal system, and as total public expenditures in the area of combating drug abuse into five main public functions in line with international classification of the functions of the government (COFOG) of the United Nations, namely general public services, public order and safety, health, education and social protection. </w:t>
      </w:r>
      <w:proofErr w:type="gramStart"/>
      <w:r w:rsidRPr="00EF1CEE">
        <w:rPr>
          <w:rFonts w:ascii="Times New Roman" w:hAnsi="Times New Roman"/>
          <w:sz w:val="24"/>
          <w:szCs w:val="24"/>
        </w:rPr>
        <w:t>Presented as spending on the supply side (repression), expenditure for demand reduction and drug-related harms, expenditure on research and expenditure for international organisations.</w:t>
      </w:r>
      <w:proofErr w:type="gramEnd"/>
      <w:r w:rsidRPr="00EF1CEE">
        <w:rPr>
          <w:rFonts w:ascii="Times New Roman" w:hAnsi="Times New Roman"/>
          <w:sz w:val="24"/>
          <w:szCs w:val="24"/>
        </w:rPr>
        <w:t xml:space="preserve">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According to the different needs for policy formulation, reporting and budget management, public expenditure can be classified according to multiple classes other than function (e.g. organisation, fund type, economic category, line-item, </w:t>
      </w:r>
      <w:proofErr w:type="gramStart"/>
      <w:r w:rsidRPr="00EF1CEE">
        <w:rPr>
          <w:rFonts w:ascii="Times New Roman" w:hAnsi="Times New Roman"/>
          <w:sz w:val="24"/>
          <w:szCs w:val="24"/>
        </w:rPr>
        <w:t>programme</w:t>
      </w:r>
      <w:proofErr w:type="gramEnd"/>
      <w:r w:rsidRPr="00EF1CEE">
        <w:rPr>
          <w:rFonts w:ascii="Times New Roman" w:hAnsi="Times New Roman"/>
          <w:sz w:val="24"/>
          <w:szCs w:val="24"/>
        </w:rPr>
        <w:t>). A programme is a set of activities that meet the same specific objectives. In contrast to COFOG, a classification by programme takes into account the government’s policy objectives and how these policies will be implemented. (EMCDDA, 2008)</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Not all drug-related expenditure is identified as such in national budgets or yearend reports. Non-labelled drug-related expenditure can be estimated following a different modelling approach.</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pPr>
      <w:r w:rsidRPr="00EF1CEE">
        <w:rPr>
          <w:rFonts w:ascii="Times New Roman" w:hAnsi="Times New Roman"/>
          <w:color w:val="000000"/>
          <w:sz w:val="24"/>
          <w:szCs w:val="24"/>
          <w:shd w:val="clear" w:color="auto" w:fill="FFFFFF"/>
        </w:rPr>
        <w:t>Unlabelled expenditure refers to unplanned spending and usually was estimated through modelling techniques, based on a top-down budgetary procedure. Starting from overall aggregated expenditures, this procedure estimates the proportion causally attributable to drug use (Unlabelled Drug-related Expenditure = Overall Expenditure × Attributable Proportion).</w:t>
      </w:r>
      <w:r w:rsidRPr="00EF1CEE">
        <w:t xml:space="preserve">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For the estimation of expenditure intended for broader policy domains and included in a broader budget an additional calculation is required since this expenditure cann</w:t>
      </w:r>
      <w:bookmarkStart w:id="0" w:name="_GoBack"/>
      <w:bookmarkEnd w:id="0"/>
      <w:r w:rsidRPr="00EF1CEE">
        <w:rPr>
          <w:rFonts w:ascii="Times New Roman" w:hAnsi="Times New Roman"/>
          <w:sz w:val="24"/>
          <w:szCs w:val="24"/>
        </w:rPr>
        <w:t xml:space="preserve">ot simply be extracted from the budget. The application of repartition keys is needed to isolate these areas of spending. Kopp and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(2002) point out that there is no general methodology to determine repartitions keys. The determination of a repartition key depends on the case.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line="240" w:lineRule="auto"/>
        <w:jc w:val="both"/>
        <w:rPr>
          <w:rFonts w:ascii="Times New Roman" w:hAnsi="Times New Roman"/>
          <w:sz w:val="24"/>
          <w:szCs w:val="24"/>
        </w:rPr>
      </w:pPr>
      <w:r w:rsidRPr="00EF1CEE">
        <w:rPr>
          <w:rFonts w:ascii="Times New Roman" w:hAnsi="Times New Roman"/>
          <w:sz w:val="24"/>
          <w:szCs w:val="24"/>
        </w:rPr>
        <w:t>In practice, the appropriate</w:t>
      </w:r>
      <w:r w:rsidRPr="00EF1CEE">
        <w:rPr>
          <w:rFonts w:ascii="Times New Roman" w:hAnsi="Times New Roman"/>
          <w:i/>
          <w:sz w:val="24"/>
          <w:szCs w:val="24"/>
        </w:rPr>
        <w:t xml:space="preserve"> </w:t>
      </w:r>
      <w:r w:rsidRPr="00EF1CEE">
        <w:rPr>
          <w:rFonts w:ascii="Times New Roman" w:hAnsi="Times New Roman"/>
          <w:sz w:val="24"/>
          <w:szCs w:val="24"/>
        </w:rPr>
        <w:t xml:space="preserve">repartition key for illicit drugs can be determined in different ways: on the basis of information from registration systems, annual reports, contacts with the work field. In some cases no detailed data on budgets is available. In this case it is impossible to apply a repartition key. A calculation on the basis of ‘unit expenditure’ is needed here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2007). </w:t>
      </w: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eastAsiaTheme="majorEastAsia" w:hAnsi="Times New Roman"/>
          <w:sz w:val="24"/>
          <w:szCs w:val="24"/>
        </w:rPr>
        <w:t xml:space="preserve">Type of intervention that are </w:t>
      </w:r>
      <w:r w:rsidRPr="00EF1CEE">
        <w:rPr>
          <w:rFonts w:ascii="Times New Roman" w:hAnsi="Times New Roman"/>
          <w:sz w:val="24"/>
          <w:szCs w:val="24"/>
        </w:rPr>
        <w:t>discussed for the purpose of this paper are</w:t>
      </w:r>
      <w:r w:rsidRPr="00EF1CEE">
        <w:rPr>
          <w:rFonts w:ascii="Times New Roman" w:eastAsiaTheme="majorEastAsia" w:hAnsi="Times New Roman"/>
          <w:sz w:val="24"/>
          <w:szCs w:val="24"/>
        </w:rPr>
        <w:t xml:space="preserve"> connected to the public expenditure on the supply reduction side (Law enforcement, Public order, Security, Police, Prosecution, Conviction, Prison, Courts, Legal system, Customs, Judicial system).</w:t>
      </w:r>
    </w:p>
    <w:p w:rsidR="00EF1CEE" w:rsidRPr="00EF1CEE" w:rsidRDefault="00EF1CEE" w:rsidP="00EF1CEE">
      <w:pPr>
        <w:spacing w:after="0" w:line="240" w:lineRule="auto"/>
        <w:jc w:val="both"/>
        <w:rPr>
          <w:rFonts w:ascii="Times New Roman" w:eastAsiaTheme="majorEastAsia" w:hAnsi="Times New Roman"/>
          <w:i/>
          <w:iCs/>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Supply reduction public expenditures according to the classification of public functions are under public order and safety. According to Reuter (2006), enforcement programs either reduce the demand for drugs by raising the transaction costs of buying drugs or lower the supply of drugs by making trafficking and production more difficult and risky. Main goal is to identify the total drug law enforcement related public expenditures including the unlabelled ones.</w:t>
      </w:r>
    </w:p>
    <w:p w:rsidR="00EF1CEE" w:rsidRPr="00EF1CEE" w:rsidRDefault="00EF1CEE" w:rsidP="00EF1CEE">
      <w:pPr>
        <w:shd w:val="clear" w:color="auto" w:fill="FFFFFF"/>
        <w:spacing w:after="0" w:line="240" w:lineRule="auto"/>
        <w:jc w:val="both"/>
        <w:rPr>
          <w:rFonts w:ascii="Times New Roman" w:eastAsia="Times New Roman" w:hAnsi="Times New Roman"/>
          <w:sz w:val="24"/>
          <w:szCs w:val="24"/>
          <w:lang w:eastAsia="hr-HR"/>
        </w:rPr>
      </w:pPr>
    </w:p>
    <w:p w:rsidR="00EF1CEE" w:rsidRPr="00EF1CEE" w:rsidRDefault="00EF1CEE" w:rsidP="00EF1CEE">
      <w:pPr>
        <w:shd w:val="clear" w:color="auto" w:fill="FFFFFF"/>
        <w:spacing w:after="0" w:line="240" w:lineRule="auto"/>
        <w:jc w:val="both"/>
        <w:rPr>
          <w:rFonts w:ascii="Times New Roman" w:eastAsia="Times New Roman" w:hAnsi="Times New Roman"/>
          <w:sz w:val="24"/>
          <w:szCs w:val="24"/>
          <w:lang w:eastAsia="hr-HR"/>
        </w:rPr>
      </w:pPr>
      <w:r w:rsidRPr="00EF1CEE">
        <w:rPr>
          <w:rFonts w:ascii="Times New Roman" w:eastAsia="Times New Roman" w:hAnsi="Times New Roman"/>
          <w:sz w:val="24"/>
          <w:szCs w:val="24"/>
          <w:lang w:eastAsia="hr-HR"/>
        </w:rPr>
        <w:t xml:space="preserve">This model could serve to compare the drug </w:t>
      </w:r>
      <w:r w:rsidRPr="00EF1CEE">
        <w:rPr>
          <w:rFonts w:ascii="Times New Roman" w:hAnsi="Times New Roman"/>
          <w:sz w:val="24"/>
          <w:szCs w:val="24"/>
        </w:rPr>
        <w:t>supply reduction</w:t>
      </w:r>
      <w:r w:rsidRPr="00EF1CEE">
        <w:rPr>
          <w:rFonts w:ascii="Times New Roman" w:eastAsia="Times New Roman" w:hAnsi="Times New Roman"/>
          <w:sz w:val="24"/>
          <w:szCs w:val="24"/>
          <w:lang w:eastAsia="hr-HR"/>
        </w:rPr>
        <w:t xml:space="preserve"> spending composition with the ones in the countries for which similar exercises have already been carried out. The results can show whether the programs that are proclaimed the highest priority get the most financing. Also if this estimation is going to be done in a systematic manner this could serve as </w:t>
      </w:r>
      <w:r w:rsidRPr="00EF1CEE">
        <w:rPr>
          <w:rFonts w:ascii="Times New Roman" w:eastAsia="Times New Roman" w:hAnsi="Times New Roman"/>
          <w:color w:val="000000"/>
          <w:sz w:val="24"/>
          <w:szCs w:val="24"/>
          <w:lang w:eastAsia="hr-HR"/>
        </w:rPr>
        <w:t xml:space="preserve">useful tool for the assessment of efficiency of the current model of </w:t>
      </w:r>
      <w:r w:rsidRPr="00EF1CEE">
        <w:rPr>
          <w:rFonts w:ascii="Times New Roman" w:eastAsia="Times New Roman" w:hAnsi="Times New Roman"/>
          <w:sz w:val="24"/>
          <w:szCs w:val="24"/>
          <w:lang w:eastAsia="hr-HR"/>
        </w:rPr>
        <w:t xml:space="preserve">drug </w:t>
      </w:r>
      <w:r w:rsidRPr="00EF1CEE">
        <w:rPr>
          <w:rFonts w:ascii="Times New Roman" w:hAnsi="Times New Roman"/>
          <w:sz w:val="24"/>
          <w:szCs w:val="24"/>
        </w:rPr>
        <w:t>supply reduction</w:t>
      </w:r>
      <w:r w:rsidRPr="00EF1CEE">
        <w:rPr>
          <w:rFonts w:ascii="Times New Roman" w:eastAsia="Times New Roman" w:hAnsi="Times New Roman"/>
          <w:color w:val="000000"/>
          <w:sz w:val="24"/>
          <w:szCs w:val="24"/>
          <w:lang w:eastAsia="hr-HR"/>
        </w:rPr>
        <w:t xml:space="preserve"> and national drug policy. The benefit can be seen in filing the gap between the lack of quantitative measures of drug policy effectiveness and government priorities.</w:t>
      </w:r>
    </w:p>
    <w:p w:rsidR="00287451" w:rsidRDefault="00287451" w:rsidP="00EF1CEE">
      <w:pPr>
        <w:spacing w:after="0" w:line="240" w:lineRule="auto"/>
        <w:jc w:val="both"/>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This work can fills the gap between the lack of quantitative measures of drug-control policy effectiveness and blank policy recommendations and helps in setting government priorities</w:t>
      </w:r>
      <w:r w:rsidRPr="00EF1CEE">
        <w:t xml:space="preserve"> </w:t>
      </w:r>
      <w:r w:rsidRPr="00EF1CEE">
        <w:rPr>
          <w:rFonts w:ascii="Times New Roman" w:hAnsi="Times New Roman"/>
          <w:sz w:val="24"/>
          <w:szCs w:val="24"/>
        </w:rPr>
        <w:t>(</w:t>
      </w:r>
      <w:proofErr w:type="spellStart"/>
      <w:r w:rsidRPr="00EF1CEE">
        <w:rPr>
          <w:rFonts w:ascii="Times New Roman" w:hAnsi="Times New Roman"/>
          <w:sz w:val="24"/>
          <w:szCs w:val="24"/>
        </w:rPr>
        <w:t>Strang</w:t>
      </w:r>
      <w:proofErr w:type="spellEnd"/>
      <w:r w:rsidRPr="00EF1CEE">
        <w:rPr>
          <w:rFonts w:ascii="Times New Roman" w:hAnsi="Times New Roman"/>
          <w:sz w:val="24"/>
          <w:szCs w:val="24"/>
        </w:rPr>
        <w:t xml:space="preserve"> et al., 2012).</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However, since it is of our primary interest in this part of paper to get an insight into the structure of supply reduction public expenditures we can try to draw some conclusions on the structure of other </w:t>
      </w:r>
      <w:r w:rsidR="00287451" w:rsidRPr="00EF1CEE">
        <w:rPr>
          <w:rFonts w:ascii="Times New Roman" w:hAnsi="Times New Roman"/>
          <w:sz w:val="24"/>
          <w:szCs w:val="24"/>
        </w:rPr>
        <w:t>governments ‘spending</w:t>
      </w:r>
      <w:r w:rsidRPr="00EF1CEE">
        <w:rPr>
          <w:rFonts w:ascii="Times New Roman" w:hAnsi="Times New Roman"/>
          <w:sz w:val="24"/>
          <w:szCs w:val="24"/>
        </w:rPr>
        <w:t xml:space="preserve"> on drug policy, based on those studies that use the Reuter categorization of drug expenditures and assess total (labelled and unlabelled) drug expenditures. </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Findings of those studies show that law enforcement gets (</w:t>
      </w:r>
      <w:proofErr w:type="spellStart"/>
      <w:r w:rsidRPr="00EF1CEE">
        <w:rPr>
          <w:rFonts w:ascii="Times New Roman" w:hAnsi="Times New Roman"/>
          <w:sz w:val="24"/>
          <w:szCs w:val="24"/>
        </w:rPr>
        <w:t>Švaljek</w:t>
      </w:r>
      <w:proofErr w:type="spellEnd"/>
      <w:r w:rsidRPr="00EF1CEE">
        <w:rPr>
          <w:rFonts w:ascii="Times New Roman" w:hAnsi="Times New Roman"/>
          <w:sz w:val="24"/>
          <w:szCs w:val="24"/>
        </w:rPr>
        <w:t xml:space="preserve"> &amp; </w:t>
      </w:r>
      <w:proofErr w:type="spellStart"/>
      <w:r w:rsidRPr="00EF1CEE">
        <w:rPr>
          <w:rFonts w:ascii="Times New Roman" w:hAnsi="Times New Roman"/>
          <w:sz w:val="24"/>
          <w:szCs w:val="24"/>
        </w:rPr>
        <w:t>Budak</w:t>
      </w:r>
      <w:proofErr w:type="spellEnd"/>
      <w:r w:rsidRPr="00EF1CEE">
        <w:rPr>
          <w:rFonts w:ascii="Times New Roman" w:hAnsi="Times New Roman"/>
          <w:sz w:val="24"/>
          <w:szCs w:val="24"/>
        </w:rPr>
        <w:t xml:space="preserve">, 2014) the highest proportion of public funds in most of the countries for which the assessment has been carried out. The share of spending on law enforcement programs has gone down from 56 to 45 percent; </w:t>
      </w:r>
      <w:r w:rsidR="00287451" w:rsidRPr="00EF1CEE">
        <w:rPr>
          <w:rFonts w:ascii="Times New Roman" w:hAnsi="Times New Roman"/>
          <w:sz w:val="24"/>
          <w:szCs w:val="24"/>
        </w:rPr>
        <w:t>whereas</w:t>
      </w:r>
      <w:r w:rsidRPr="00EF1CEE">
        <w:rPr>
          <w:rFonts w:ascii="Times New Roman" w:hAnsi="Times New Roman"/>
          <w:sz w:val="24"/>
          <w:szCs w:val="24"/>
        </w:rPr>
        <w:t xml:space="preserve"> the share of treatment went up by ten percentage points. By country, drug-related expenditure on police, law courts and prisons represented between 2 % and 11 % of total general government expenditure on public order and safety (EMCDDA, 2008).</w:t>
      </w:r>
    </w:p>
    <w:p w:rsidR="00EF1CEE" w:rsidRPr="00EF1CEE" w:rsidRDefault="00EF1CEE" w:rsidP="00EF1CEE">
      <w:pPr>
        <w:spacing w:after="0" w:line="240" w:lineRule="auto"/>
        <w:jc w:val="both"/>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The budget records </w:t>
      </w:r>
      <w:r w:rsidR="00287451" w:rsidRPr="00EF1CEE">
        <w:rPr>
          <w:rFonts w:ascii="Times New Roman" w:hAnsi="Times New Roman"/>
          <w:sz w:val="24"/>
          <w:szCs w:val="24"/>
        </w:rPr>
        <w:t>usually</w:t>
      </w:r>
      <w:r w:rsidRPr="00EF1CEE">
        <w:rPr>
          <w:rFonts w:ascii="Times New Roman" w:hAnsi="Times New Roman"/>
          <w:sz w:val="24"/>
          <w:szCs w:val="24"/>
        </w:rPr>
        <w:t xml:space="preserve"> do not allow for direct capturing of all supply reduction public expenditures. Thus funding of particular programs can be found in the budget, yet some </w:t>
      </w:r>
      <w:r w:rsidRPr="00EF1CEE">
        <w:rPr>
          <w:rFonts w:ascii="Times New Roman" w:hAnsi="Times New Roman"/>
          <w:sz w:val="24"/>
          <w:szCs w:val="24"/>
        </w:rPr>
        <w:lastRenderedPageBreak/>
        <w:t xml:space="preserve">activities are "hidden" in other budgetary items. To assess the total supply reduction public expenditures, one has to identify both the specified (labelled) expenditures and non-specified (unlabelled) expenditures in this area. </w:t>
      </w: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r w:rsidRPr="00EF1CEE">
        <w:rPr>
          <w:rFonts w:eastAsiaTheme="minorEastAsia"/>
          <w:color w:val="000000" w:themeColor="text1"/>
          <w:kern w:val="24"/>
          <w:lang w:val="en-GB"/>
        </w:rPr>
        <w:t xml:space="preserve">Most public bodies do not have in their budgets public expenditures intended for </w:t>
      </w:r>
      <w:r w:rsidRPr="00EF1CEE">
        <w:rPr>
          <w:lang w:val="en-GB"/>
        </w:rPr>
        <w:t xml:space="preserve">supply reduction </w:t>
      </w:r>
      <w:r w:rsidR="00287451" w:rsidRPr="00EF1CEE">
        <w:rPr>
          <w:lang w:val="en-GB"/>
        </w:rPr>
        <w:t>activates</w:t>
      </w:r>
      <w:r w:rsidRPr="00EF1CEE">
        <w:rPr>
          <w:lang w:val="en-GB"/>
        </w:rPr>
        <w:t xml:space="preserve"> that are all</w:t>
      </w:r>
      <w:r w:rsidRPr="00EF1CEE">
        <w:rPr>
          <w:rFonts w:eastAsiaTheme="minorEastAsia"/>
          <w:color w:val="000000" w:themeColor="text1"/>
          <w:kern w:val="24"/>
          <w:lang w:val="en-GB"/>
        </w:rPr>
        <w:t xml:space="preserve"> labelled, i.e. there are no special-purpose programmes, activities and/or projects and a plan for allocation of appropriate resources to activities but they are still financed within regular activities. </w:t>
      </w: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 xml:space="preserve">So if the estimation is going to be done, </w:t>
      </w:r>
      <w:r w:rsidRPr="00EF1CEE">
        <w:rPr>
          <w:lang w:val="en-GB"/>
        </w:rPr>
        <w:t xml:space="preserve">each ministry and other central and local government units and institution supposed to be involved in supply reduction </w:t>
      </w:r>
      <w:r w:rsidR="00287451" w:rsidRPr="00EF1CEE">
        <w:rPr>
          <w:lang w:val="en-GB"/>
        </w:rPr>
        <w:t>activates</w:t>
      </w:r>
      <w:r w:rsidRPr="00EF1CEE">
        <w:rPr>
          <w:lang w:val="en-GB"/>
        </w:rPr>
        <w:t xml:space="preserve"> need to detect labelled expenditures as specified in their annual budgets. The institutions had to classify budget expenditures by public functions and by the type of program as well. </w:t>
      </w:r>
    </w:p>
    <w:p w:rsidR="00EF1CEE" w:rsidRPr="00EF1CEE" w:rsidRDefault="00EF1CEE" w:rsidP="00EF1CEE">
      <w:pPr>
        <w:pStyle w:val="StandardWeb"/>
        <w:kinsoku w:val="0"/>
        <w:overflowPunct w:val="0"/>
        <w:spacing w:before="0" w:beforeAutospacing="0" w:after="0" w:afterAutospacing="0"/>
        <w:jc w:val="both"/>
        <w:textAlignment w:val="baseline"/>
        <w:rPr>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proofErr w:type="gramStart"/>
      <w:r w:rsidRPr="00EF1CEE">
        <w:rPr>
          <w:lang w:val="en-GB"/>
        </w:rPr>
        <w:t xml:space="preserve">Public function Public Order and </w:t>
      </w:r>
      <w:r w:rsidR="00287451" w:rsidRPr="00EF1CEE">
        <w:rPr>
          <w:lang w:val="en-GB"/>
        </w:rPr>
        <w:t>Safety</w:t>
      </w:r>
      <w:r w:rsidRPr="00EF1CEE">
        <w:rPr>
          <w:lang w:val="en-GB"/>
        </w:rPr>
        <w:t xml:space="preserve"> at the third level COFOG classification containing following functions; 031 police service, 033 Law courts, 034 Prisons.</w:t>
      </w:r>
      <w:proofErr w:type="gramEnd"/>
      <w:r w:rsidRPr="00EF1CEE">
        <w:rPr>
          <w:lang w:val="en-GB"/>
        </w:rPr>
        <w:t xml:space="preserve"> Labelled public expenditures for supply reduction need to be estimated from the state and county budgets and financial plans. </w:t>
      </w:r>
    </w:p>
    <w:p w:rsidR="00EF1CEE" w:rsidRPr="00EF1CEE" w:rsidRDefault="00EF1CEE" w:rsidP="00EF1CEE">
      <w:pPr>
        <w:pStyle w:val="StandardWeb"/>
        <w:kinsoku w:val="0"/>
        <w:overflowPunct w:val="0"/>
        <w:spacing w:before="0" w:beforeAutospacing="0" w:after="0" w:afterAutospacing="0"/>
        <w:jc w:val="both"/>
        <w:textAlignment w:val="baseline"/>
        <w:rPr>
          <w:rFonts w:ascii="Arial" w:eastAsiaTheme="minorEastAsia" w:hAnsi="Arial" w:cstheme="minorBidi"/>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Despite the fact that budgets of these public bodies to not allow for a conclusion on the amounts spent on</w:t>
      </w:r>
      <w:r w:rsidRPr="00EF1CEE">
        <w:rPr>
          <w:lang w:val="en-GB"/>
        </w:rPr>
        <w:t xml:space="preserve"> supply reduction </w:t>
      </w:r>
      <w:r w:rsidR="00287451" w:rsidRPr="00EF1CEE">
        <w:rPr>
          <w:lang w:val="en-GB"/>
        </w:rPr>
        <w:t>activates</w:t>
      </w:r>
      <w:r w:rsidRPr="00EF1CEE">
        <w:rPr>
          <w:rFonts w:eastAsiaTheme="minorEastAsia"/>
          <w:color w:val="000000" w:themeColor="text1"/>
          <w:kern w:val="24"/>
          <w:lang w:val="en-GB"/>
        </w:rPr>
        <w:t>, for many public bodies (</w:t>
      </w:r>
      <w:r w:rsidRPr="00EF1CEE">
        <w:rPr>
          <w:rFonts w:eastAsiaTheme="majorEastAsia"/>
          <w:lang w:val="en-GB"/>
        </w:rPr>
        <w:t>Law enforcement, Public order, Security, Police, Prosecution, Conviction, Prison, Courts, Legal system, Customs, Judicial system)</w:t>
      </w:r>
      <w:r w:rsidRPr="00EF1CEE">
        <w:rPr>
          <w:rFonts w:eastAsiaTheme="minorEastAsia"/>
          <w:color w:val="000000" w:themeColor="text1"/>
          <w:kern w:val="24"/>
          <w:lang w:val="en-GB"/>
        </w:rPr>
        <w:t xml:space="preserve"> it can be well said that a part of their total resources was intended for this </w:t>
      </w:r>
      <w:r w:rsidR="00287451" w:rsidRPr="00EF1CEE">
        <w:rPr>
          <w:rFonts w:eastAsiaTheme="minorEastAsia"/>
          <w:color w:val="000000" w:themeColor="text1"/>
          <w:kern w:val="24"/>
          <w:lang w:val="en-GB"/>
        </w:rPr>
        <w:t>activates</w:t>
      </w:r>
      <w:r w:rsidRPr="00EF1CEE">
        <w:rPr>
          <w:rFonts w:eastAsiaTheme="minorEastAsia"/>
          <w:color w:val="000000" w:themeColor="text1"/>
          <w:kern w:val="24"/>
          <w:lang w:val="en-GB"/>
        </w:rPr>
        <w:t xml:space="preserve">. Such expenditures, called unlabelled public expenditures hereunder, are therefore to be estimated because they cannot be identified and extracted from the data on the public body budgets. </w:t>
      </w: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The methodology for estimating unlabelled public expenditures used in Croatian study on public cost (</w:t>
      </w:r>
      <w:proofErr w:type="spellStart"/>
      <w:r w:rsidRPr="00EF1CEE">
        <w:rPr>
          <w:lang w:val="en-GB"/>
        </w:rPr>
        <w:t>Budak</w:t>
      </w:r>
      <w:proofErr w:type="spellEnd"/>
      <w:r w:rsidRPr="00EF1CEE">
        <w:rPr>
          <w:lang w:val="en-GB"/>
        </w:rPr>
        <w:t xml:space="preserve"> et al., 2013</w:t>
      </w:r>
      <w:r w:rsidRPr="00EF1CEE">
        <w:rPr>
          <w:bCs/>
          <w:lang w:val="en-GB"/>
        </w:rPr>
        <w:t>)</w:t>
      </w:r>
      <w:r w:rsidRPr="00EF1CEE">
        <w:rPr>
          <w:rFonts w:eastAsiaTheme="minorEastAsia"/>
          <w:color w:val="000000" w:themeColor="text1"/>
          <w:kern w:val="24"/>
          <w:lang w:val="en-GB"/>
        </w:rPr>
        <w:t xml:space="preserve"> is based on the assumption that unlabelled public expenditures make a part of public expenditures which remain after labelled public expenditures for combating drug abuse are deducted from total public expenditures of a public body. The part of public expenditures relating to unlabelled expenditures can be established approximately by using certain indicators of the expenditures allocated to combating drug abuse. The calculation of unlabelled expenditures of a public body is conducted using the following formula (</w:t>
      </w:r>
      <w:proofErr w:type="spellStart"/>
      <w:r w:rsidRPr="00EF1CEE">
        <w:rPr>
          <w:lang w:val="en-GB"/>
        </w:rPr>
        <w:t>Budak</w:t>
      </w:r>
      <w:proofErr w:type="spellEnd"/>
      <w:r w:rsidRPr="00EF1CEE">
        <w:rPr>
          <w:lang w:val="en-GB"/>
        </w:rPr>
        <w:t xml:space="preserve"> et al., 2013</w:t>
      </w:r>
      <w:r w:rsidRPr="00EF1CEE">
        <w:rPr>
          <w:bCs/>
          <w:lang w:val="en-GB"/>
        </w:rPr>
        <w:t>)</w:t>
      </w:r>
      <w:r w:rsidRPr="00EF1CEE">
        <w:rPr>
          <w:rFonts w:eastAsiaTheme="minorEastAsia"/>
          <w:kern w:val="24"/>
          <w:lang w:val="en-GB"/>
        </w:rPr>
        <w:t>:</w:t>
      </w: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ab/>
      </w:r>
    </w:p>
    <w:p w:rsidR="00EF1CEE" w:rsidRPr="00EF1CEE" w:rsidRDefault="00EF1CEE" w:rsidP="00EF1CEE">
      <w:pPr>
        <w:pStyle w:val="StandardWeb"/>
        <w:kinsoku w:val="0"/>
        <w:overflowPunct w:val="0"/>
        <w:spacing w:before="0" w:beforeAutospacing="0" w:after="0" w:afterAutospacing="0"/>
        <w:jc w:val="center"/>
        <w:textAlignment w:val="baseline"/>
        <w:rPr>
          <w:lang w:val="en-GB"/>
        </w:rPr>
      </w:pPr>
      <w:r w:rsidRPr="00EF1CEE">
        <w:rPr>
          <w:rFonts w:eastAsiaTheme="minorEastAsia"/>
          <w:i/>
          <w:iCs/>
          <w:color w:val="000000" w:themeColor="text1"/>
          <w:kern w:val="24"/>
          <w:lang w:val="en-GB"/>
        </w:rPr>
        <w:t>Unlabelled expenditures = indicator* (total expenditures – labelled expenditures)</w:t>
      </w:r>
    </w:p>
    <w:p w:rsidR="00EF1CEE" w:rsidRPr="00EF1CEE" w:rsidRDefault="00EF1CEE" w:rsidP="00EF1CEE">
      <w:pPr>
        <w:pStyle w:val="StandardWeb"/>
        <w:kinsoku w:val="0"/>
        <w:overflowPunct w:val="0"/>
        <w:spacing w:before="86" w:beforeAutospacing="0" w:after="0" w:afterAutospacing="0"/>
        <w:textAlignment w:val="baseline"/>
        <w:rPr>
          <w:lang w:val="en-GB"/>
        </w:rPr>
      </w:pPr>
      <w:r w:rsidRPr="00EF1CEE">
        <w:rPr>
          <w:rFonts w:ascii="Arial" w:eastAsiaTheme="minorEastAsia" w:hAnsi="Arial" w:cstheme="minorBidi"/>
          <w:i/>
          <w:iCs/>
          <w:color w:val="000000" w:themeColor="text1"/>
          <w:kern w:val="24"/>
          <w:lang w:val="en-GB"/>
        </w:rPr>
        <w:t> </w:t>
      </w: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The indicators applied herein are based on adequate data assessed to refer to the total amount of resources of a particular public body intended for combating drug abuse. These indicators are relative figures establishing relationship between an amount strictly connected with drugs and the respective area.</w:t>
      </w:r>
    </w:p>
    <w:p w:rsidR="00287451" w:rsidRDefault="00287451"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287451" w:rsidRDefault="00EF1CEE" w:rsidP="00287451">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 xml:space="preserve">When selecting the indicators, data contained in publicly available international databases should be used in order to enable the application of the methodology of similar indicators in other countries and in the following years. When international sources are not available, publicly available national statistics and data from competent public bodies can be used. In this way respective indicators used for estimating total unlabelled expenditures and expenditures by public functions (COFOG) have been applied. </w:t>
      </w:r>
    </w:p>
    <w:p w:rsidR="002B3D4B" w:rsidRDefault="002B3D4B" w:rsidP="002B3D4B">
      <w:pPr>
        <w:spacing w:after="0" w:line="240" w:lineRule="auto"/>
        <w:jc w:val="both"/>
        <w:rPr>
          <w:rFonts w:ascii="Times New Roman" w:hAnsi="Times New Roman"/>
          <w:sz w:val="24"/>
          <w:szCs w:val="24"/>
        </w:rPr>
      </w:pPr>
    </w:p>
    <w:p w:rsidR="002B3D4B" w:rsidRPr="002B3D4B" w:rsidRDefault="002B3D4B" w:rsidP="002B3D4B">
      <w:pPr>
        <w:spacing w:after="0" w:line="240" w:lineRule="auto"/>
        <w:jc w:val="both"/>
        <w:rPr>
          <w:rFonts w:ascii="Times New Roman" w:hAnsi="Times New Roman"/>
          <w:i/>
          <w:iCs/>
          <w:sz w:val="24"/>
          <w:szCs w:val="24"/>
        </w:rPr>
      </w:pPr>
      <w:r w:rsidRPr="002B3D4B">
        <w:rPr>
          <w:rFonts w:ascii="Times New Roman" w:hAnsi="Times New Roman"/>
          <w:sz w:val="24"/>
          <w:szCs w:val="24"/>
        </w:rPr>
        <w:lastRenderedPageBreak/>
        <w:t xml:space="preserve">The indicators are based on adequate data assessed to refer to the total amount of resources of a particular public body intended for combating drug abuse. These indicators are relative figures establishing relationship between an amount strictly connected with drugs and the respective area. </w:t>
      </w:r>
    </w:p>
    <w:p w:rsidR="0089211D" w:rsidRDefault="0089211D" w:rsidP="002B3D4B">
      <w:pPr>
        <w:spacing w:after="0" w:line="240" w:lineRule="auto"/>
        <w:jc w:val="both"/>
        <w:rPr>
          <w:rFonts w:ascii="Times New Roman" w:hAnsi="Times New Roman"/>
          <w:sz w:val="24"/>
          <w:szCs w:val="24"/>
        </w:rPr>
      </w:pPr>
    </w:p>
    <w:p w:rsidR="002B3D4B" w:rsidRPr="002B3D4B" w:rsidRDefault="002B3D4B" w:rsidP="002B3D4B">
      <w:pPr>
        <w:spacing w:after="0" w:line="240" w:lineRule="auto"/>
        <w:jc w:val="both"/>
        <w:rPr>
          <w:rFonts w:ascii="Times New Roman" w:hAnsi="Times New Roman"/>
          <w:sz w:val="24"/>
          <w:szCs w:val="24"/>
        </w:rPr>
      </w:pPr>
      <w:r w:rsidRPr="002B3D4B">
        <w:rPr>
          <w:rFonts w:ascii="Times New Roman" w:hAnsi="Times New Roman"/>
          <w:sz w:val="24"/>
          <w:szCs w:val="24"/>
        </w:rPr>
        <w:t>Available database and potential ind</w:t>
      </w:r>
      <w:r w:rsidR="0089211D">
        <w:rPr>
          <w:rFonts w:ascii="Times New Roman" w:hAnsi="Times New Roman"/>
          <w:sz w:val="24"/>
          <w:szCs w:val="24"/>
        </w:rPr>
        <w:t xml:space="preserve">icators for Drug Related Public </w:t>
      </w:r>
      <w:r w:rsidRPr="002B3D4B">
        <w:rPr>
          <w:rFonts w:ascii="Times New Roman" w:hAnsi="Times New Roman"/>
          <w:sz w:val="24"/>
          <w:szCs w:val="24"/>
        </w:rPr>
        <w:t xml:space="preserve">expenditures related to expenses from police, law courts, convictions etc. can be found </w:t>
      </w:r>
      <w:r>
        <w:rPr>
          <w:rFonts w:ascii="Times New Roman" w:hAnsi="Times New Roman"/>
          <w:sz w:val="24"/>
          <w:szCs w:val="24"/>
        </w:rPr>
        <w:t xml:space="preserve">below </w:t>
      </w:r>
      <w:r w:rsidRPr="002B3D4B">
        <w:rPr>
          <w:rFonts w:ascii="Times New Roman" w:hAnsi="Times New Roman"/>
          <w:sz w:val="24"/>
          <w:szCs w:val="24"/>
        </w:rPr>
        <w:t>in Table 2.</w:t>
      </w:r>
    </w:p>
    <w:p w:rsidR="0089211D" w:rsidRDefault="0089211D" w:rsidP="0089211D">
      <w:pPr>
        <w:spacing w:after="120"/>
        <w:jc w:val="both"/>
        <w:rPr>
          <w:rFonts w:ascii="Times New Roman" w:hAnsi="Times New Roman"/>
          <w:i/>
        </w:rPr>
      </w:pPr>
    </w:p>
    <w:p w:rsidR="0089211D" w:rsidRPr="0089211D" w:rsidRDefault="0089211D" w:rsidP="0089211D">
      <w:pPr>
        <w:rPr>
          <w:i/>
          <w:lang w:val="en-US"/>
        </w:rPr>
      </w:pPr>
      <w:r w:rsidRPr="0089211D">
        <w:rPr>
          <w:rFonts w:ascii="Times New Roman" w:hAnsi="Times New Roman"/>
          <w:i/>
        </w:rPr>
        <w:t xml:space="preserve">Table 2. – </w:t>
      </w:r>
      <w:r w:rsidRPr="0089211D">
        <w:rPr>
          <w:rFonts w:ascii="Times New Roman" w:hAnsi="Times New Roman"/>
          <w:bCs/>
          <w:i/>
        </w:rPr>
        <w:t>Examples</w:t>
      </w:r>
      <w:r w:rsidRPr="0089211D">
        <w:rPr>
          <w:rFonts w:ascii="Times New Roman" w:eastAsiaTheme="minorEastAsia" w:hAnsi="Times New Roman"/>
          <w:i/>
          <w:color w:val="000000"/>
          <w:lang w:val="en-US" w:eastAsia="hr-HR"/>
        </w:rPr>
        <w:t xml:space="preserve"> of international and other types of databases, which can be used for</w:t>
      </w:r>
      <w:r w:rsidRPr="0089211D">
        <w:rPr>
          <w:rFonts w:ascii="Times New Roman" w:hAnsi="Times New Roman"/>
          <w:i/>
          <w:lang w:val="en-US"/>
        </w:rPr>
        <w:t xml:space="preserve"> estimation of the Public expenditures</w:t>
      </w:r>
    </w:p>
    <w:tbl>
      <w:tblPr>
        <w:tblStyle w:val="Reetkatablice"/>
        <w:tblW w:w="0" w:type="auto"/>
        <w:tblLook w:val="04A0"/>
      </w:tblPr>
      <w:tblGrid>
        <w:gridCol w:w="1635"/>
        <w:gridCol w:w="2584"/>
        <w:gridCol w:w="5069"/>
      </w:tblGrid>
      <w:tr w:rsidR="0089211D" w:rsidRPr="0089211D" w:rsidTr="0089211D">
        <w:tc>
          <w:tcPr>
            <w:tcW w:w="1951" w:type="dxa"/>
            <w:tcBorders>
              <w:bottom w:val="single" w:sz="4" w:space="0" w:color="000000" w:themeColor="text1"/>
            </w:tcBorders>
            <w:shd w:val="clear" w:color="auto" w:fill="C00000"/>
          </w:tcPr>
          <w:p w:rsidR="0089211D" w:rsidRPr="0089211D" w:rsidRDefault="0089211D" w:rsidP="0089211D">
            <w:pPr>
              <w:jc w:val="center"/>
              <w:rPr>
                <w:rFonts w:ascii="Times New Roman" w:hAnsi="Times New Roman"/>
                <w:b/>
                <w:lang w:val="en-US"/>
              </w:rPr>
            </w:pPr>
            <w:r w:rsidRPr="0089211D">
              <w:rPr>
                <w:rFonts w:ascii="Times New Roman" w:hAnsi="Times New Roman"/>
                <w:b/>
                <w:lang w:val="en-US"/>
              </w:rPr>
              <w:t>Level of estimation</w:t>
            </w:r>
          </w:p>
        </w:tc>
        <w:tc>
          <w:tcPr>
            <w:tcW w:w="3827" w:type="dxa"/>
            <w:tcBorders>
              <w:bottom w:val="single" w:sz="4" w:space="0" w:color="000000" w:themeColor="text1"/>
            </w:tcBorders>
            <w:shd w:val="clear" w:color="auto" w:fill="C00000"/>
          </w:tcPr>
          <w:p w:rsidR="0089211D" w:rsidRPr="0089211D" w:rsidRDefault="0089211D" w:rsidP="0089211D">
            <w:pPr>
              <w:jc w:val="center"/>
              <w:rPr>
                <w:rFonts w:ascii="Times New Roman" w:hAnsi="Times New Roman"/>
                <w:b/>
                <w:lang w:val="en-US"/>
              </w:rPr>
            </w:pPr>
            <w:r w:rsidRPr="0089211D">
              <w:rPr>
                <w:rFonts w:ascii="Times New Roman" w:hAnsi="Times New Roman"/>
                <w:b/>
                <w:lang w:val="en-US"/>
              </w:rPr>
              <w:t>Examples of databases</w:t>
            </w:r>
          </w:p>
        </w:tc>
        <w:tc>
          <w:tcPr>
            <w:tcW w:w="8789" w:type="dxa"/>
            <w:shd w:val="clear" w:color="auto" w:fill="C00000"/>
          </w:tcPr>
          <w:p w:rsidR="0089211D" w:rsidRPr="0089211D" w:rsidRDefault="0089211D" w:rsidP="0089211D">
            <w:pPr>
              <w:jc w:val="center"/>
              <w:rPr>
                <w:rFonts w:ascii="Times New Roman" w:hAnsi="Times New Roman"/>
                <w:b/>
                <w:lang w:val="en-US"/>
              </w:rPr>
            </w:pPr>
            <w:r w:rsidRPr="0089211D">
              <w:rPr>
                <w:rFonts w:ascii="Times New Roman" w:hAnsi="Times New Roman"/>
                <w:b/>
                <w:lang w:val="en-US"/>
              </w:rPr>
              <w:t>Data’s of estimation</w:t>
            </w:r>
          </w:p>
        </w:tc>
      </w:tr>
      <w:tr w:rsidR="0089211D" w:rsidRPr="0089211D" w:rsidTr="0089211D">
        <w:tc>
          <w:tcPr>
            <w:tcW w:w="1951" w:type="dxa"/>
            <w:vMerge w:val="restart"/>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lang w:val="en-US"/>
              </w:rPr>
              <w:t>International</w:t>
            </w: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WHO Database</w:t>
            </w:r>
          </w:p>
        </w:tc>
        <w:tc>
          <w:tcPr>
            <w:tcW w:w="8789" w:type="dxa"/>
          </w:tcPr>
          <w:p w:rsidR="0089211D" w:rsidRPr="0089211D" w:rsidRDefault="0089211D" w:rsidP="0089211D">
            <w:pPr>
              <w:numPr>
                <w:ilvl w:val="0"/>
                <w:numId w:val="3"/>
              </w:numPr>
              <w:shd w:val="clear" w:color="auto" w:fill="FFFFFF"/>
              <w:spacing w:line="225" w:lineRule="atLeast"/>
              <w:ind w:left="0"/>
              <w:jc w:val="both"/>
              <w:textAlignment w:val="baseline"/>
              <w:rPr>
                <w:rFonts w:ascii="Times New Roman" w:eastAsia="Times New Roman" w:hAnsi="Times New Roman"/>
                <w:lang w:val="en-US" w:eastAsia="ru-RU"/>
              </w:rPr>
            </w:pPr>
            <w:r w:rsidRPr="0089211D">
              <w:rPr>
                <w:rFonts w:ascii="Times New Roman" w:eastAsia="Times New Roman" w:hAnsi="Times New Roman"/>
                <w:b/>
                <w:bCs/>
                <w:lang w:val="en-US" w:eastAsia="ru-RU"/>
              </w:rPr>
              <w:t>Global Information System on Resources for the Prevention and Treatment of Substance Use Disorders</w:t>
            </w:r>
            <w:r w:rsidRPr="0089211D">
              <w:rPr>
                <w:rFonts w:ascii="Times New Roman" w:eastAsia="Times New Roman" w:hAnsi="Times New Roman"/>
                <w:lang w:val="en-US" w:eastAsia="ru-RU"/>
              </w:rPr>
              <w:t xml:space="preserve"> (include information about: </w:t>
            </w:r>
            <w:hyperlink r:id="rId7" w:history="1">
              <w:r w:rsidRPr="0089211D">
                <w:rPr>
                  <w:rFonts w:ascii="Times New Roman" w:eastAsia="Times New Roman" w:hAnsi="Times New Roman"/>
                  <w:lang w:val="en-US" w:eastAsia="ru-RU"/>
                </w:rPr>
                <w:t>Prevalence and Burden of Disease</w:t>
              </w:r>
            </w:hyperlink>
            <w:r w:rsidRPr="0089211D">
              <w:rPr>
                <w:rFonts w:ascii="Times New Roman" w:eastAsia="Times New Roman" w:hAnsi="Times New Roman"/>
                <w:lang w:val="en-US" w:eastAsia="ru-RU"/>
              </w:rPr>
              <w:t xml:space="preserve">, </w:t>
            </w:r>
            <w:hyperlink r:id="rId8" w:history="1">
              <w:r w:rsidRPr="0089211D">
                <w:rPr>
                  <w:rFonts w:ascii="Times New Roman" w:eastAsia="Times New Roman" w:hAnsi="Times New Roman"/>
                  <w:lang w:val="en-US" w:eastAsia="ru-RU"/>
                </w:rPr>
                <w:t>Monitoring and Surveillance</w:t>
              </w:r>
            </w:hyperlink>
            <w:r w:rsidRPr="0089211D">
              <w:rPr>
                <w:rFonts w:ascii="Times New Roman" w:eastAsia="Times New Roman" w:hAnsi="Times New Roman"/>
                <w:lang w:val="en-US" w:eastAsia="ru-RU"/>
              </w:rPr>
              <w:t xml:space="preserve">; </w:t>
            </w:r>
            <w:hyperlink r:id="rId9" w:history="1">
              <w:r w:rsidRPr="0089211D">
                <w:rPr>
                  <w:rFonts w:ascii="Times New Roman" w:eastAsia="Times New Roman" w:hAnsi="Times New Roman"/>
                  <w:lang w:val="en-US" w:eastAsia="ru-RU"/>
                </w:rPr>
                <w:t>Policy</w:t>
              </w:r>
            </w:hyperlink>
            <w:r w:rsidRPr="0089211D">
              <w:rPr>
                <w:rFonts w:ascii="Times New Roman" w:eastAsia="Times New Roman" w:hAnsi="Times New Roman"/>
                <w:lang w:val="en-US" w:eastAsia="ru-RU"/>
              </w:rPr>
              <w:t xml:space="preserve">; </w:t>
            </w:r>
            <w:hyperlink r:id="rId10" w:history="1">
              <w:r w:rsidRPr="0089211D">
                <w:rPr>
                  <w:rFonts w:ascii="Times New Roman" w:eastAsia="Times New Roman" w:hAnsi="Times New Roman"/>
                  <w:lang w:val="en-US" w:eastAsia="ru-RU"/>
                </w:rPr>
                <w:t>Treatment System And Services</w:t>
              </w:r>
            </w:hyperlink>
            <w:r w:rsidRPr="0089211D">
              <w:rPr>
                <w:rFonts w:ascii="Times New Roman" w:eastAsia="Times New Roman" w:hAnsi="Times New Roman"/>
                <w:lang w:val="en-US" w:eastAsia="ru-RU"/>
              </w:rPr>
              <w:t xml:space="preserve">; </w:t>
            </w:r>
            <w:hyperlink r:id="rId11" w:history="1">
              <w:r w:rsidRPr="0089211D">
                <w:rPr>
                  <w:rFonts w:ascii="Times New Roman" w:eastAsia="Times New Roman" w:hAnsi="Times New Roman"/>
                  <w:lang w:val="en-US" w:eastAsia="ru-RU"/>
                </w:rPr>
                <w:t>Pharmacological Treatment</w:t>
              </w:r>
            </w:hyperlink>
            <w:r w:rsidRPr="0089211D">
              <w:rPr>
                <w:rFonts w:ascii="Times New Roman" w:eastAsia="Times New Roman" w:hAnsi="Times New Roman"/>
                <w:lang w:val="en-US" w:eastAsia="ru-RU"/>
              </w:rPr>
              <w:t xml:space="preserve">; </w:t>
            </w:r>
          </w:p>
          <w:p w:rsidR="0089211D" w:rsidRPr="0089211D" w:rsidRDefault="006B7D16" w:rsidP="0089211D">
            <w:pPr>
              <w:numPr>
                <w:ilvl w:val="0"/>
                <w:numId w:val="3"/>
              </w:numPr>
              <w:shd w:val="clear" w:color="auto" w:fill="FFFFFF"/>
              <w:spacing w:line="225" w:lineRule="atLeast"/>
              <w:ind w:left="0"/>
              <w:jc w:val="both"/>
              <w:textAlignment w:val="baseline"/>
              <w:rPr>
                <w:rFonts w:ascii="Times New Roman" w:hAnsi="Times New Roman"/>
                <w:lang w:val="en-US"/>
              </w:rPr>
            </w:pPr>
            <w:hyperlink r:id="rId12" w:history="1">
              <w:r w:rsidR="0089211D" w:rsidRPr="0089211D">
                <w:rPr>
                  <w:rFonts w:ascii="Times New Roman" w:eastAsia="Times New Roman" w:hAnsi="Times New Roman"/>
                  <w:lang w:val="en-US" w:eastAsia="ru-RU"/>
                </w:rPr>
                <w:t xml:space="preserve">Prevention </w:t>
              </w:r>
              <w:proofErr w:type="spellStart"/>
              <w:r w:rsidR="0089211D" w:rsidRPr="0089211D">
                <w:rPr>
                  <w:rFonts w:ascii="Times New Roman" w:eastAsia="Times New Roman" w:hAnsi="Times New Roman"/>
                  <w:lang w:val="en-US" w:eastAsia="ru-RU"/>
                </w:rPr>
                <w:t>Programmes</w:t>
              </w:r>
              <w:proofErr w:type="spellEnd"/>
              <w:r w:rsidR="0089211D" w:rsidRPr="0089211D">
                <w:rPr>
                  <w:rFonts w:ascii="Times New Roman" w:eastAsia="Times New Roman" w:hAnsi="Times New Roman"/>
                  <w:lang w:val="en-US" w:eastAsia="ru-RU"/>
                </w:rPr>
                <w:t xml:space="preserve"> For Substance Use And Related Harm</w:t>
              </w:r>
            </w:hyperlink>
            <w:r w:rsidR="0089211D" w:rsidRPr="0089211D">
              <w:rPr>
                <w:rFonts w:ascii="Times New Roman" w:eastAsia="Times New Roman" w:hAnsi="Times New Roman"/>
                <w:lang w:val="en-US" w:eastAsia="ru-RU"/>
              </w:rPr>
              <w:t xml:space="preserve">; </w:t>
            </w:r>
            <w:hyperlink r:id="rId13" w:history="1">
              <w:r w:rsidR="0089211D" w:rsidRPr="0089211D">
                <w:rPr>
                  <w:rFonts w:ascii="Times New Roman" w:eastAsia="Times New Roman" w:hAnsi="Times New Roman"/>
                  <w:lang w:val="en-US" w:eastAsia="ru-RU"/>
                </w:rPr>
                <w:t>Human Resources And Civil Society Involvement</w:t>
              </w:r>
            </w:hyperlink>
            <w:r w:rsidR="0089211D" w:rsidRPr="0089211D">
              <w:rPr>
                <w:rFonts w:ascii="Times New Roman" w:eastAsia="Times New Roman" w:hAnsi="Times New Roman"/>
                <w:lang w:val="en-US" w:eastAsia="ru-RU"/>
              </w:rPr>
              <w:t>)</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jc w:val="both"/>
              <w:rPr>
                <w:rFonts w:ascii="Times New Roman" w:hAnsi="Times New Roman"/>
                <w:lang w:val="en-US"/>
              </w:rPr>
            </w:pPr>
            <w:r w:rsidRPr="0089211D">
              <w:rPr>
                <w:rFonts w:ascii="Times New Roman" w:hAnsi="Times New Roman"/>
                <w:b/>
                <w:lang w:val="en-US"/>
              </w:rPr>
              <w:t xml:space="preserve">EUROSTAT </w:t>
            </w:r>
          </w:p>
        </w:tc>
        <w:tc>
          <w:tcPr>
            <w:tcW w:w="8789" w:type="dxa"/>
          </w:tcPr>
          <w:p w:rsidR="0089211D" w:rsidRPr="0089211D" w:rsidRDefault="0089211D" w:rsidP="007B12C9">
            <w:pPr>
              <w:jc w:val="both"/>
              <w:rPr>
                <w:rFonts w:ascii="Times New Roman" w:hAnsi="Times New Roman"/>
                <w:b/>
                <w:lang w:val="en-US"/>
              </w:rPr>
            </w:pPr>
            <w:r w:rsidRPr="0089211D">
              <w:rPr>
                <w:rFonts w:ascii="Times New Roman" w:hAnsi="Times New Roman"/>
                <w:b/>
                <w:lang w:val="en-US"/>
              </w:rPr>
              <w:t>General government expenditure by function (COFOG)</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COFOG has two levels of classification (United Nations, 2008). The first one classifies expenditure in 10 general functions, one of which is ‘Public order and safety’. The second level classifies expenditure in 69 groups, in which can be found three indicators of interest: Police service, Law Courts and Prisons. The definitions below are provided by the UNODC.</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From the general function ‘Public order and safety’:</w:t>
            </w:r>
          </w:p>
          <w:p w:rsidR="0089211D" w:rsidRPr="0089211D" w:rsidRDefault="0089211D" w:rsidP="007B12C9">
            <w:pPr>
              <w:jc w:val="both"/>
              <w:rPr>
                <w:rFonts w:ascii="Times New Roman" w:hAnsi="Times New Roman"/>
                <w:lang w:val="en-US"/>
              </w:rPr>
            </w:pPr>
            <w:r w:rsidRPr="0089211D">
              <w:rPr>
                <w:rFonts w:ascii="Times New Roman" w:hAnsi="Times New Roman"/>
                <w:b/>
                <w:lang w:val="en-US"/>
              </w:rPr>
              <w:t>Police services</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 operation of regular and auxiliary police forces, of port, border and coast guards, and of other special police forces maintained by public authorities; operation of police laboratories; operation or support of police training programs.</w:t>
            </w:r>
          </w:p>
          <w:p w:rsidR="0089211D" w:rsidRPr="0089211D" w:rsidRDefault="0089211D" w:rsidP="007B12C9">
            <w:pPr>
              <w:jc w:val="both"/>
              <w:rPr>
                <w:rFonts w:ascii="Times New Roman" w:hAnsi="Times New Roman"/>
                <w:b/>
                <w:lang w:val="en-US"/>
              </w:rPr>
            </w:pPr>
            <w:r w:rsidRPr="0089211D">
              <w:rPr>
                <w:rFonts w:ascii="Times New Roman" w:hAnsi="Times New Roman"/>
                <w:b/>
                <w:lang w:val="en-US"/>
              </w:rPr>
              <w:t>Law Courts</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 Administration, operation or support of civil and criminal law courts and the judicial system, including enforcement of fines and legal settlements imposed by the courts and operation of parole and probation systems;</w:t>
            </w:r>
          </w:p>
          <w:p w:rsidR="0089211D" w:rsidRPr="0089211D" w:rsidRDefault="0089211D" w:rsidP="007B12C9">
            <w:pPr>
              <w:jc w:val="both"/>
              <w:rPr>
                <w:rFonts w:ascii="Times New Roman" w:hAnsi="Times New Roman"/>
                <w:lang w:val="en-US"/>
              </w:rPr>
            </w:pPr>
            <w:r w:rsidRPr="0089211D">
              <w:rPr>
                <w:rFonts w:ascii="Times New Roman" w:hAnsi="Times New Roman"/>
                <w:lang w:val="en-US"/>
              </w:rPr>
              <w:t xml:space="preserve">- </w:t>
            </w:r>
            <w:proofErr w:type="gramStart"/>
            <w:r w:rsidRPr="0089211D">
              <w:rPr>
                <w:rFonts w:ascii="Times New Roman" w:hAnsi="Times New Roman"/>
                <w:lang w:val="en-US"/>
              </w:rPr>
              <w:t>legal</w:t>
            </w:r>
            <w:proofErr w:type="gramEnd"/>
            <w:r w:rsidRPr="0089211D">
              <w:rPr>
                <w:rFonts w:ascii="Times New Roman" w:hAnsi="Times New Roman"/>
                <w:lang w:val="en-US"/>
              </w:rPr>
              <w:t xml:space="preserve"> representation and advice on behalf of government or on behalf of others provided by government in cash or in services.</w:t>
            </w:r>
          </w:p>
          <w:p w:rsidR="0089211D" w:rsidRPr="0089211D" w:rsidRDefault="0089211D" w:rsidP="007B12C9">
            <w:pPr>
              <w:jc w:val="both"/>
              <w:rPr>
                <w:rFonts w:ascii="Times New Roman" w:hAnsi="Times New Roman"/>
                <w:b/>
                <w:lang w:val="en-US"/>
              </w:rPr>
            </w:pPr>
            <w:r w:rsidRPr="0089211D">
              <w:rPr>
                <w:rFonts w:ascii="Times New Roman" w:hAnsi="Times New Roman"/>
                <w:b/>
                <w:lang w:val="en-US"/>
              </w:rPr>
              <w:lastRenderedPageBreak/>
              <w:t>Prisons</w:t>
            </w:r>
          </w:p>
          <w:p w:rsidR="0089211D" w:rsidRPr="0089211D" w:rsidRDefault="0089211D" w:rsidP="007B12C9">
            <w:pPr>
              <w:rPr>
                <w:rFonts w:ascii="Times New Roman" w:hAnsi="Times New Roman"/>
                <w:lang w:val="en-US"/>
              </w:rPr>
            </w:pPr>
            <w:r w:rsidRPr="0089211D">
              <w:rPr>
                <w:rFonts w:ascii="Times New Roman" w:hAnsi="Times New Roman"/>
                <w:lang w:val="en-US"/>
              </w:rPr>
              <w:t xml:space="preserve">- Administration, operation or support of prisons and other places for the detention or rehabilitation of criminals such as prison farms, workhouses, reformatories, </w:t>
            </w:r>
            <w:proofErr w:type="spellStart"/>
            <w:r w:rsidRPr="0089211D">
              <w:rPr>
                <w:rFonts w:ascii="Times New Roman" w:hAnsi="Times New Roman"/>
                <w:lang w:val="en-US"/>
              </w:rPr>
              <w:t>borstals</w:t>
            </w:r>
            <w:proofErr w:type="spellEnd"/>
            <w:r w:rsidRPr="0089211D">
              <w:rPr>
                <w:rFonts w:ascii="Times New Roman" w:hAnsi="Times New Roman"/>
                <w:lang w:val="en-US"/>
              </w:rPr>
              <w:t>, asylums for the criminally insane, etc.</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b/>
                <w:lang w:val="en-US"/>
              </w:rPr>
              <w:t>UN-CTS (Crime and Criminal Justice Statistics)</w:t>
            </w:r>
          </w:p>
        </w:tc>
        <w:tc>
          <w:tcPr>
            <w:tcW w:w="8789" w:type="dxa"/>
          </w:tcPr>
          <w:p w:rsidR="0089211D" w:rsidRPr="0089211D" w:rsidRDefault="0089211D" w:rsidP="007B12C9">
            <w:pPr>
              <w:contextualSpacing/>
              <w:jc w:val="both"/>
              <w:rPr>
                <w:rFonts w:ascii="Times New Roman" w:hAnsi="Times New Roman"/>
                <w:lang w:val="en-US"/>
              </w:rPr>
            </w:pPr>
            <w:r w:rsidRPr="0089211D">
              <w:rPr>
                <w:rFonts w:ascii="Times New Roman" w:hAnsi="Times New Roman"/>
                <w:lang w:val="en-US"/>
              </w:rPr>
              <w:t>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also applies scientific methods to maximize the comparability of the data and estimate regional and global statistics.</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b/>
                <w:lang w:val="en-US"/>
              </w:rPr>
              <w:t xml:space="preserve">SPACE  </w:t>
            </w:r>
          </w:p>
        </w:tc>
        <w:tc>
          <w:tcPr>
            <w:tcW w:w="8789" w:type="dxa"/>
          </w:tcPr>
          <w:p w:rsidR="0089211D" w:rsidRPr="0089211D" w:rsidRDefault="0089211D" w:rsidP="007B12C9">
            <w:pPr>
              <w:contextualSpacing/>
              <w:jc w:val="both"/>
              <w:rPr>
                <w:rFonts w:ascii="Times New Roman" w:hAnsi="Times New Roman"/>
                <w:lang w:val="en-US"/>
              </w:rPr>
            </w:pPr>
            <w:r w:rsidRPr="0089211D">
              <w:rPr>
                <w:rFonts w:ascii="Times New Roman" w:hAnsi="Times New Roman"/>
                <w:lang w:val="en-US"/>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rsidR="0089211D" w:rsidRPr="0089211D" w:rsidRDefault="0089211D" w:rsidP="007B12C9">
            <w:pPr>
              <w:contextualSpacing/>
              <w:jc w:val="both"/>
              <w:rPr>
                <w:rFonts w:ascii="Times New Roman" w:hAnsi="Times New Roman"/>
                <w:lang w:val="en-US"/>
              </w:rPr>
            </w:pPr>
            <w:r w:rsidRPr="0089211D">
              <w:rPr>
                <w:rFonts w:ascii="Times New Roman" w:hAnsi="Times New Roman"/>
                <w:lang w:val="en-US"/>
              </w:rPr>
              <w:t>Data are collected every year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b/>
                <w:lang w:val="en-US"/>
              </w:rPr>
              <w:t>European Sourcebook on Crime and Criminal Justice Statistics</w:t>
            </w:r>
          </w:p>
        </w:tc>
        <w:tc>
          <w:tcPr>
            <w:tcW w:w="8789" w:type="dxa"/>
          </w:tcPr>
          <w:p w:rsidR="0089211D" w:rsidRPr="0089211D" w:rsidRDefault="0089211D" w:rsidP="007B12C9">
            <w:pPr>
              <w:contextualSpacing/>
              <w:jc w:val="both"/>
              <w:rPr>
                <w:rFonts w:ascii="Times New Roman" w:hAnsi="Times New Roman"/>
                <w:lang w:val="en-US"/>
              </w:rPr>
            </w:pPr>
            <w:r w:rsidRPr="0089211D">
              <w:rPr>
                <w:rFonts w:ascii="Times New Roman" w:hAnsi="Times New Roman"/>
                <w:lang w:val="en-US"/>
              </w:rPr>
              <w:t xml:space="preserve">The Sourcebook contains data from 41 European countries regarding the criminal justice systems. The book is structured by six main chapters covering different stages of the judicial system: Police statistics, Prosecution statistics, Conviction statistics, Prison statistics, </w:t>
            </w:r>
            <w:proofErr w:type="gramStart"/>
            <w:r w:rsidRPr="0089211D">
              <w:rPr>
                <w:rFonts w:ascii="Times New Roman" w:hAnsi="Times New Roman"/>
                <w:lang w:val="en-US"/>
              </w:rPr>
              <w:t>Probation</w:t>
            </w:r>
            <w:proofErr w:type="gramEnd"/>
            <w:r w:rsidRPr="0089211D">
              <w:rPr>
                <w:rFonts w:ascii="Times New Roman" w:hAnsi="Times New Roman"/>
                <w:lang w:val="en-US"/>
              </w:rPr>
              <w:t xml:space="preserve">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rPr>
              <w:t>OECD</w:t>
            </w:r>
          </w:p>
        </w:tc>
        <w:tc>
          <w:tcPr>
            <w:tcW w:w="8789" w:type="dxa"/>
          </w:tcPr>
          <w:p w:rsidR="0089211D" w:rsidRPr="0089211D" w:rsidRDefault="0089211D" w:rsidP="007B12C9">
            <w:pPr>
              <w:contextualSpacing/>
              <w:jc w:val="both"/>
              <w:rPr>
                <w:rFonts w:ascii="Times New Roman" w:hAnsi="Times New Roman"/>
                <w:lang w:val="en-US"/>
              </w:rPr>
            </w:pPr>
            <w:r w:rsidRPr="0089211D">
              <w:rPr>
                <w:rFonts w:ascii="Times New Roman" w:hAnsi="Times New Roman"/>
                <w:lang w:val="en-US"/>
              </w:rPr>
              <w:t>The National Accounts of OECD Countries, Main Aggregates covers expenditure-based GDP, output-</w:t>
            </w:r>
            <w:r w:rsidRPr="0089211D">
              <w:rPr>
                <w:rFonts w:ascii="Times New Roman" w:hAnsi="Times New Roman"/>
                <w:lang w:val="en-US"/>
              </w:rPr>
              <w:lastRenderedPageBreak/>
              <w:t>based GDP, income-based GDP, disposable income, saving and net lending, population and employment. It includes also comparative tables based on purchasing power parities and exchange rates. Data are shown for 34 OECD countries and the Euro area. Country tables are expressed in national currency.</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Social Expenditure Database</w:t>
            </w:r>
          </w:p>
        </w:tc>
        <w:tc>
          <w:tcPr>
            <w:tcW w:w="8789" w:type="dxa"/>
          </w:tcPr>
          <w:p w:rsidR="0089211D" w:rsidRPr="0089211D" w:rsidRDefault="0089211D" w:rsidP="005E0564">
            <w:pPr>
              <w:jc w:val="both"/>
              <w:rPr>
                <w:rFonts w:ascii="Times New Roman" w:hAnsi="Times New Roman"/>
                <w:lang w:val="en-US"/>
              </w:rPr>
            </w:pPr>
            <w:r w:rsidRPr="0089211D">
              <w:rPr>
                <w:rFonts w:ascii="Times New Roman" w:hAnsi="Times New Roman"/>
                <w:lang w:val="en-US"/>
              </w:rPr>
              <w:t xml:space="preserve">The Aggregated dataset is a subset of the OECD Social Expenditure Database (SOCX) database, has been developed in order to serve a growing need for indicators of social protection and social policy. It includes reliable and internationally comparable aggregate statistics on public and mandatory and voluntary private social expenditure. It provides a unique tool for monitoring trends in aggregate social expenditure and analyzing changes in its composition. The main social policy areas are as follows: old age, survivors, incapacity-related benefits, health, family, active </w:t>
            </w:r>
            <w:proofErr w:type="spellStart"/>
            <w:r w:rsidRPr="0089211D">
              <w:rPr>
                <w:rFonts w:ascii="Times New Roman" w:hAnsi="Times New Roman"/>
                <w:lang w:val="en-US"/>
              </w:rPr>
              <w:t>labour</w:t>
            </w:r>
            <w:proofErr w:type="spellEnd"/>
            <w:r w:rsidRPr="0089211D">
              <w:rPr>
                <w:rFonts w:ascii="Times New Roman" w:hAnsi="Times New Roman"/>
                <w:lang w:val="en-US"/>
              </w:rPr>
              <w:t xml:space="preserve"> market programs, unemployment, housing, and other social policy areas.</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ESPAD</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Drug abuse prevalence among teenagers in European countries</w:t>
            </w:r>
          </w:p>
        </w:tc>
      </w:tr>
      <w:tr w:rsidR="0089211D" w:rsidRPr="0089211D" w:rsidTr="0089211D">
        <w:tc>
          <w:tcPr>
            <w:tcW w:w="1951" w:type="dxa"/>
            <w:vMerge w:val="restart"/>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lang w:val="en-US"/>
              </w:rPr>
              <w:t>National</w:t>
            </w: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 xml:space="preserve">Database of national statistic comity  </w:t>
            </w:r>
          </w:p>
        </w:tc>
        <w:tc>
          <w:tcPr>
            <w:tcW w:w="8789" w:type="dxa"/>
            <w:vMerge w:val="restart"/>
          </w:tcPr>
          <w:p w:rsidR="0089211D" w:rsidRDefault="0089211D" w:rsidP="007B12C9">
            <w:pPr>
              <w:jc w:val="both"/>
              <w:rPr>
                <w:rFonts w:ascii="Times New Roman" w:hAnsi="Times New Roman"/>
                <w:lang w:val="en-US"/>
              </w:rPr>
            </w:pPr>
            <w:r w:rsidRPr="0089211D">
              <w:rPr>
                <w:rFonts w:ascii="Times New Roman" w:hAnsi="Times New Roman"/>
                <w:lang w:val="en-US"/>
              </w:rPr>
              <w:t xml:space="preserve">Expenditures in different groups, in which can be found some indicators of interest: Police service, Law Courts, Prisons, Medical and social services </w:t>
            </w:r>
            <w:r w:rsidRPr="0089211D">
              <w:rPr>
                <w:rFonts w:ascii="Times New Roman" w:hAnsi="Times New Roman"/>
                <w:b/>
                <w:lang w:val="en-US"/>
              </w:rPr>
              <w:t>in countries, don’t give databases</w:t>
            </w:r>
            <w:r w:rsidRPr="0089211D">
              <w:rPr>
                <w:rFonts w:ascii="Times New Roman" w:hAnsi="Times New Roman"/>
                <w:lang w:val="en-US"/>
              </w:rPr>
              <w:t xml:space="preserve"> in international databases: EUROSTAT, UN-CTS, SPACE, European Sourcebook on Crime and Criminal Justice Statistics, OESD</w:t>
            </w:r>
          </w:p>
          <w:p w:rsidR="0089211D" w:rsidRDefault="0089211D" w:rsidP="007B12C9">
            <w:pPr>
              <w:jc w:val="both"/>
              <w:rPr>
                <w:rFonts w:ascii="Times New Roman" w:hAnsi="Times New Roman"/>
                <w:lang w:val="en-US"/>
              </w:rPr>
            </w:pPr>
          </w:p>
          <w:p w:rsidR="0089211D" w:rsidRPr="0089211D" w:rsidRDefault="0089211D" w:rsidP="007B12C9">
            <w:pPr>
              <w:jc w:val="both"/>
              <w:rPr>
                <w:rFonts w:ascii="Times New Roman" w:hAnsi="Times New Roman"/>
                <w:lang w:val="en-US"/>
              </w:rPr>
            </w:pPr>
          </w:p>
        </w:tc>
      </w:tr>
      <w:tr w:rsidR="0089211D" w:rsidRPr="0089211D" w:rsidTr="0089211D">
        <w:trPr>
          <w:trHeight w:val="1353"/>
        </w:trPr>
        <w:tc>
          <w:tcPr>
            <w:tcW w:w="1951" w:type="dxa"/>
            <w:vMerge/>
            <w:tcBorders>
              <w:bottom w:val="single" w:sz="4" w:space="0" w:color="000000" w:themeColor="text1"/>
            </w:tcBorders>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tcBorders>
              <w:bottom w:val="single" w:sz="4" w:space="0" w:color="000000" w:themeColor="text1"/>
            </w:tcBorders>
            <w:shd w:val="clear" w:color="auto" w:fill="BFBFBF" w:themeFill="background1" w:themeFillShade="BF"/>
          </w:tcPr>
          <w:p w:rsidR="0089211D" w:rsidRPr="0089211D" w:rsidRDefault="0089211D" w:rsidP="007B12C9">
            <w:pPr>
              <w:jc w:val="both"/>
              <w:rPr>
                <w:rFonts w:ascii="Times New Roman" w:hAnsi="Times New Roman"/>
                <w:b/>
                <w:lang w:val="en-US"/>
              </w:rPr>
            </w:pPr>
            <w:r w:rsidRPr="0089211D">
              <w:rPr>
                <w:rFonts w:ascii="Times New Roman" w:hAnsi="Times New Roman"/>
                <w:b/>
                <w:lang w:val="en-US"/>
              </w:rPr>
              <w:t>Database of national Police services, Law Courts, Prisons, Medical and social services</w:t>
            </w:r>
          </w:p>
        </w:tc>
        <w:tc>
          <w:tcPr>
            <w:tcW w:w="8789" w:type="dxa"/>
            <w:vMerge/>
            <w:tcBorders>
              <w:bottom w:val="single" w:sz="4" w:space="0" w:color="000000" w:themeColor="text1"/>
            </w:tcBorders>
          </w:tcPr>
          <w:p w:rsidR="0089211D" w:rsidRPr="0089211D" w:rsidRDefault="0089211D" w:rsidP="007B12C9">
            <w:pPr>
              <w:rPr>
                <w:rFonts w:ascii="Times New Roman" w:hAnsi="Times New Roman"/>
                <w:lang w:val="en-US"/>
              </w:rPr>
            </w:pPr>
          </w:p>
        </w:tc>
      </w:tr>
      <w:tr w:rsidR="0089211D" w:rsidRPr="0089211D" w:rsidTr="0089211D">
        <w:tc>
          <w:tcPr>
            <w:tcW w:w="1951" w:type="dxa"/>
            <w:vMerge w:val="restart"/>
            <w:shd w:val="clear" w:color="auto" w:fill="BFBFBF" w:themeFill="background1" w:themeFillShade="BF"/>
          </w:tcPr>
          <w:p w:rsidR="0089211D" w:rsidRPr="0089211D" w:rsidRDefault="0089211D" w:rsidP="007B12C9">
            <w:pPr>
              <w:rPr>
                <w:rFonts w:ascii="Times New Roman" w:hAnsi="Times New Roman"/>
                <w:lang w:val="en-US"/>
              </w:rPr>
            </w:pPr>
            <w:r w:rsidRPr="0089211D">
              <w:rPr>
                <w:rFonts w:ascii="Times New Roman" w:hAnsi="Times New Roman"/>
                <w:lang w:val="en-US"/>
              </w:rPr>
              <w:t>Regional</w:t>
            </w: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Annual report Health Department</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Data on Health department expenditures at the regional level , Number of Drug users, who was treated in medical service in region level</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Annual report Police Department</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Data on Police department expenditures at the regional level, Number of Drug users, who was arrested for  drug crime activity</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Annual report Law Department</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Data on Law Department expenditures at the regional level, Number of drug users, convicted of drug-crime activity</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Annual report Prison Department</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Data on Prison Department expenditures at the regional level, Number of drug users, who are serving time in prison for drug-crime activity</w:t>
            </w:r>
          </w:p>
        </w:tc>
      </w:tr>
      <w:tr w:rsidR="0089211D" w:rsidRPr="0089211D" w:rsidTr="0089211D">
        <w:tc>
          <w:tcPr>
            <w:tcW w:w="1951" w:type="dxa"/>
            <w:vMerge/>
            <w:shd w:val="clear" w:color="auto" w:fill="BFBFBF" w:themeFill="background1" w:themeFillShade="BF"/>
          </w:tcPr>
          <w:p w:rsidR="0089211D" w:rsidRPr="0089211D" w:rsidRDefault="0089211D" w:rsidP="007B12C9">
            <w:pPr>
              <w:rPr>
                <w:rFonts w:ascii="Times New Roman" w:hAnsi="Times New Roman"/>
                <w:lang w:val="en-US"/>
              </w:rPr>
            </w:pPr>
          </w:p>
        </w:tc>
        <w:tc>
          <w:tcPr>
            <w:tcW w:w="3827" w:type="dxa"/>
            <w:shd w:val="clear" w:color="auto" w:fill="BFBFBF" w:themeFill="background1" w:themeFillShade="BF"/>
          </w:tcPr>
          <w:p w:rsidR="0089211D" w:rsidRPr="0089211D" w:rsidRDefault="0089211D" w:rsidP="007B12C9">
            <w:pPr>
              <w:rPr>
                <w:rFonts w:ascii="Times New Roman" w:hAnsi="Times New Roman"/>
                <w:b/>
                <w:lang w:val="en-US"/>
              </w:rPr>
            </w:pPr>
            <w:r w:rsidRPr="0089211D">
              <w:rPr>
                <w:rFonts w:ascii="Times New Roman" w:hAnsi="Times New Roman"/>
                <w:b/>
                <w:lang w:val="en-US"/>
              </w:rPr>
              <w:t>Annual report Social service Department</w:t>
            </w:r>
          </w:p>
        </w:tc>
        <w:tc>
          <w:tcPr>
            <w:tcW w:w="8789" w:type="dxa"/>
          </w:tcPr>
          <w:p w:rsidR="0089211D" w:rsidRPr="0089211D" w:rsidRDefault="0089211D" w:rsidP="007B12C9">
            <w:pPr>
              <w:rPr>
                <w:rFonts w:ascii="Times New Roman" w:hAnsi="Times New Roman"/>
                <w:lang w:val="en-US"/>
              </w:rPr>
            </w:pPr>
            <w:r w:rsidRPr="0089211D">
              <w:rPr>
                <w:rFonts w:ascii="Times New Roman" w:hAnsi="Times New Roman"/>
                <w:lang w:val="en-US"/>
              </w:rPr>
              <w:t>Data on Social service Department expenditures at the regional level, Number of drug users receiving social benefits in connection with drug use</w:t>
            </w:r>
          </w:p>
        </w:tc>
      </w:tr>
    </w:tbl>
    <w:p w:rsidR="0089211D" w:rsidRPr="0089211D" w:rsidRDefault="0089211D" w:rsidP="00287451">
      <w:pPr>
        <w:pStyle w:val="StandardWeb"/>
        <w:kinsoku w:val="0"/>
        <w:overflowPunct w:val="0"/>
        <w:spacing w:before="0" w:beforeAutospacing="0" w:after="0" w:afterAutospacing="0"/>
        <w:jc w:val="both"/>
        <w:textAlignment w:val="baseline"/>
        <w:rPr>
          <w:rFonts w:eastAsiaTheme="minorEastAsia"/>
          <w:color w:val="000000"/>
          <w:kern w:val="24"/>
          <w:sz w:val="22"/>
          <w:szCs w:val="22"/>
          <w:lang w:val="en-GB"/>
        </w:rPr>
      </w:pPr>
    </w:p>
    <w:p w:rsidR="0089211D" w:rsidRDefault="0089211D" w:rsidP="00287451">
      <w:pPr>
        <w:pStyle w:val="StandardWeb"/>
        <w:kinsoku w:val="0"/>
        <w:overflowPunct w:val="0"/>
        <w:spacing w:before="0" w:beforeAutospacing="0" w:after="0" w:afterAutospacing="0"/>
        <w:jc w:val="both"/>
        <w:textAlignment w:val="baseline"/>
        <w:rPr>
          <w:rFonts w:eastAsiaTheme="minorEastAsia"/>
          <w:color w:val="000000"/>
          <w:kern w:val="24"/>
          <w:lang w:val="en-GB"/>
        </w:rPr>
      </w:pPr>
    </w:p>
    <w:p w:rsidR="00287451" w:rsidRDefault="00287451" w:rsidP="00287451">
      <w:pPr>
        <w:pStyle w:val="StandardWeb"/>
        <w:kinsoku w:val="0"/>
        <w:overflowPunct w:val="0"/>
        <w:spacing w:before="0" w:beforeAutospacing="0" w:after="0" w:afterAutospacing="0"/>
        <w:jc w:val="both"/>
        <w:textAlignment w:val="baseline"/>
        <w:rPr>
          <w:lang w:val="en-GB"/>
        </w:rPr>
      </w:pPr>
      <w:r>
        <w:rPr>
          <w:rFonts w:eastAsiaTheme="minorEastAsia"/>
          <w:color w:val="000000"/>
          <w:kern w:val="24"/>
          <w:lang w:val="en-GB"/>
        </w:rPr>
        <w:t>U</w:t>
      </w:r>
      <w:r w:rsidR="00EF1CEE" w:rsidRPr="00EF1CEE">
        <w:rPr>
          <w:rFonts w:eastAsiaTheme="minorEastAsia"/>
          <w:color w:val="000000"/>
          <w:kern w:val="24"/>
          <w:lang w:val="en-GB"/>
        </w:rPr>
        <w:t xml:space="preserve">nlabelled costs of </w:t>
      </w:r>
      <w:r w:rsidR="00EF1CEE" w:rsidRPr="00EF1CEE">
        <w:rPr>
          <w:rFonts w:eastAsiaTheme="minorEastAsia"/>
          <w:color w:val="000000" w:themeColor="text1"/>
          <w:kern w:val="24"/>
          <w:lang w:val="en-GB"/>
        </w:rPr>
        <w:t>on</w:t>
      </w:r>
      <w:r w:rsidR="00EF1CEE" w:rsidRPr="00EF1CEE">
        <w:rPr>
          <w:lang w:val="en-GB"/>
        </w:rPr>
        <w:t xml:space="preserve"> supply reduction </w:t>
      </w:r>
      <w:r w:rsidRPr="00EF1CEE">
        <w:rPr>
          <w:lang w:val="en-GB"/>
        </w:rPr>
        <w:t>activates</w:t>
      </w:r>
      <w:r w:rsidR="00EF1CEE" w:rsidRPr="00EF1CEE">
        <w:rPr>
          <w:rFonts w:eastAsiaTheme="minorEastAsia"/>
          <w:color w:val="000000"/>
          <w:kern w:val="24"/>
          <w:lang w:val="en-GB"/>
        </w:rPr>
        <w:t xml:space="preserve"> are divided into the activities; criminal justice system and classified on the third level of COFOG classification covering functions public order and safety.</w:t>
      </w:r>
      <w:r>
        <w:rPr>
          <w:rFonts w:eastAsiaTheme="minorEastAsia"/>
          <w:color w:val="000000"/>
          <w:kern w:val="24"/>
          <w:lang w:val="en-GB"/>
        </w:rPr>
        <w:t xml:space="preserve"> </w:t>
      </w:r>
      <w:r w:rsidR="00EF1CEE" w:rsidRPr="00EF1CEE">
        <w:rPr>
          <w:rFonts w:eastAsiaTheme="minorEastAsia"/>
          <w:color w:val="000000"/>
          <w:kern w:val="24"/>
          <w:lang w:val="en-GB"/>
        </w:rPr>
        <w:t xml:space="preserve"> Results for label costs one can obtained by using questionnaire, while the estimations of unlabelled expenses can be made by ​​using indicators that are based on available public data from international statistics and indicators that are based on information supplied by the public institutions. </w:t>
      </w:r>
    </w:p>
    <w:p w:rsidR="00287451" w:rsidRDefault="00287451" w:rsidP="00287451">
      <w:pPr>
        <w:pStyle w:val="StandardWeb"/>
        <w:kinsoku w:val="0"/>
        <w:overflowPunct w:val="0"/>
        <w:spacing w:before="0" w:beforeAutospacing="0" w:after="0" w:afterAutospacing="0"/>
        <w:jc w:val="both"/>
        <w:textAlignment w:val="baseline"/>
        <w:rPr>
          <w:lang w:val="en-GB"/>
        </w:rPr>
      </w:pPr>
    </w:p>
    <w:p w:rsidR="00EF1CEE" w:rsidRPr="00EF1CEE" w:rsidRDefault="00EF1CEE" w:rsidP="00287451">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lastRenderedPageBreak/>
        <w:t xml:space="preserve">Within public functions public order and safety were assessed unspecified public expenditure spent in combating drug abuse services for police, customs, courts and prisons can be estimate by </w:t>
      </w:r>
      <w:r w:rsidRPr="00EF1CEE">
        <w:rPr>
          <w:rFonts w:eastAsiaTheme="minorEastAsia"/>
          <w:bCs/>
          <w:color w:val="000000"/>
          <w:lang w:val="en-GB"/>
        </w:rPr>
        <w:t>formula</w:t>
      </w:r>
      <w:r w:rsidRPr="00EF1CEE">
        <w:rPr>
          <w:rFonts w:eastAsiaTheme="minorEastAsia"/>
          <w:bCs/>
          <w:color w:val="C00000"/>
          <w:lang w:val="en-GB"/>
        </w:rPr>
        <w:t xml:space="preserve"> </w:t>
      </w:r>
      <w:r w:rsidRPr="00EF1CEE">
        <w:rPr>
          <w:lang w:val="en-GB"/>
        </w:rPr>
        <w:t>(</w:t>
      </w:r>
      <w:r w:rsidRPr="00EF1CEE">
        <w:rPr>
          <w:rFonts w:eastAsiaTheme="minorEastAsia"/>
          <w:lang w:val="en-GB"/>
        </w:rPr>
        <w:t xml:space="preserve">Unlabelled expenditure = </w:t>
      </w:r>
      <w:r w:rsidRPr="00EF1CEE">
        <w:rPr>
          <w:rFonts w:eastAsiaTheme="minorEastAsia"/>
          <w:i/>
          <w:iCs/>
          <w:lang w:val="en-GB"/>
        </w:rPr>
        <w:t>indicator</w:t>
      </w:r>
      <w:r w:rsidRPr="00EF1CEE">
        <w:rPr>
          <w:rFonts w:eastAsiaTheme="minorEastAsia"/>
          <w:lang w:val="en-GB"/>
        </w:rPr>
        <w:t xml:space="preserve"> * (total expenditure – labelled expenditure)).</w:t>
      </w:r>
    </w:p>
    <w:p w:rsidR="00287451" w:rsidRDefault="00287451" w:rsidP="00EF1CEE">
      <w:pPr>
        <w:pStyle w:val="StandardWeb"/>
        <w:kinsoku w:val="0"/>
        <w:overflowPunct w:val="0"/>
        <w:spacing w:before="0" w:beforeAutospacing="0" w:after="0" w:afterAutospacing="0"/>
        <w:jc w:val="both"/>
        <w:textAlignment w:val="baseline"/>
        <w:rPr>
          <w:lang w:val="en-GB"/>
        </w:rPr>
      </w:pPr>
    </w:p>
    <w:p w:rsidR="0089211D" w:rsidRDefault="00EF1CEE" w:rsidP="00EF1CEE">
      <w:pPr>
        <w:pStyle w:val="StandardWeb"/>
        <w:kinsoku w:val="0"/>
        <w:overflowPunct w:val="0"/>
        <w:spacing w:before="0" w:beforeAutospacing="0" w:after="0" w:afterAutospacing="0"/>
        <w:jc w:val="both"/>
        <w:textAlignment w:val="baseline"/>
        <w:rPr>
          <w:rFonts w:eastAsiaTheme="minorEastAsia" w:cstheme="minorBidi"/>
          <w:color w:val="000000" w:themeColor="text1"/>
          <w:kern w:val="24"/>
          <w:lang w:val="en-GB"/>
        </w:rPr>
      </w:pPr>
      <w:r w:rsidRPr="00EF1CEE">
        <w:rPr>
          <w:rFonts w:eastAsiaTheme="minorEastAsia" w:cstheme="minorBidi"/>
          <w:color w:val="000000" w:themeColor="text1"/>
          <w:kern w:val="24"/>
          <w:lang w:val="en-GB"/>
        </w:rPr>
        <w:t>For police services can be assumed that public expenditure can be allocated to drug policy in accordance with the proportion of offenses relating to drugs in the total number of offenses. This is the portion obtained as a ratio of the two available indicators - number of crimes per 100,000 populations and the number of crimes related to drugs per 100,000 populations, and accounted for national percent</w:t>
      </w:r>
      <w:r w:rsidRPr="00EF1CEE">
        <w:rPr>
          <w:rFonts w:eastAsiaTheme="minorEastAsia"/>
          <w:color w:val="000000"/>
          <w:kern w:val="24"/>
          <w:lang w:val="en-GB"/>
        </w:rPr>
        <w:t xml:space="preserve"> based on available public data from international statistics</w:t>
      </w:r>
      <w:r w:rsidRPr="00EF1CEE">
        <w:rPr>
          <w:rFonts w:eastAsiaTheme="minorEastAsia" w:cstheme="minorBidi"/>
          <w:color w:val="000000" w:themeColor="text1"/>
          <w:kern w:val="24"/>
          <w:lang w:val="en-GB"/>
        </w:rPr>
        <w:t xml:space="preserve"> for </w:t>
      </w:r>
      <w:r w:rsidR="00287451" w:rsidRPr="00EF1CEE">
        <w:rPr>
          <w:rFonts w:eastAsiaTheme="minorEastAsia" w:cstheme="minorBidi"/>
          <w:color w:val="000000" w:themeColor="text1"/>
          <w:kern w:val="24"/>
          <w:lang w:val="en-GB"/>
        </w:rPr>
        <w:t>certain</w:t>
      </w:r>
      <w:r w:rsidRPr="00EF1CEE">
        <w:rPr>
          <w:rFonts w:eastAsiaTheme="minorEastAsia" w:cstheme="minorBidi"/>
          <w:color w:val="000000" w:themeColor="text1"/>
          <w:kern w:val="24"/>
          <w:lang w:val="en-GB"/>
        </w:rPr>
        <w:t xml:space="preserve"> year. In order to obtain an estimate of the share of costs aimed at combating drug abuse, these indicators are multiplied by th</w:t>
      </w:r>
      <w:r w:rsidR="00287451">
        <w:rPr>
          <w:rFonts w:eastAsiaTheme="minorEastAsia" w:cstheme="minorBidi"/>
          <w:color w:val="000000" w:themeColor="text1"/>
          <w:kern w:val="24"/>
          <w:lang w:val="en-GB"/>
        </w:rPr>
        <w:t>e total expenditures of law enforcement agencies</w:t>
      </w:r>
      <w:r w:rsidRPr="00EF1CEE">
        <w:rPr>
          <w:rFonts w:eastAsiaTheme="minorEastAsia" w:cstheme="minorBidi"/>
          <w:color w:val="000000" w:themeColor="text1"/>
          <w:kern w:val="24"/>
          <w:lang w:val="en-GB"/>
        </w:rPr>
        <w:t xml:space="preserve">, net of specified expenses for combating drug abuse. In other words, it is assumed that the total </w:t>
      </w:r>
    </w:p>
    <w:p w:rsidR="00EF1CEE" w:rsidRPr="00EF1CEE" w:rsidRDefault="00EF1CEE" w:rsidP="00EF1CEE">
      <w:pPr>
        <w:pStyle w:val="StandardWeb"/>
        <w:kinsoku w:val="0"/>
        <w:overflowPunct w:val="0"/>
        <w:spacing w:before="0" w:beforeAutospacing="0" w:after="0" w:afterAutospacing="0"/>
        <w:jc w:val="both"/>
        <w:textAlignment w:val="baseline"/>
        <w:rPr>
          <w:lang w:val="en-GB"/>
        </w:rPr>
      </w:pPr>
      <w:proofErr w:type="gramStart"/>
      <w:r w:rsidRPr="00EF1CEE">
        <w:rPr>
          <w:rFonts w:eastAsiaTheme="minorEastAsia" w:cstheme="minorBidi"/>
          <w:color w:val="000000" w:themeColor="text1"/>
          <w:kern w:val="24"/>
          <w:lang w:val="en-GB"/>
        </w:rPr>
        <w:t>expenses</w:t>
      </w:r>
      <w:proofErr w:type="gramEnd"/>
      <w:r w:rsidRPr="00EF1CEE">
        <w:rPr>
          <w:rFonts w:eastAsiaTheme="minorEastAsia" w:cstheme="minorBidi"/>
          <w:color w:val="000000" w:themeColor="text1"/>
          <w:kern w:val="24"/>
          <w:lang w:val="en-GB"/>
        </w:rPr>
        <w:t xml:space="preserve"> of the</w:t>
      </w:r>
      <w:r w:rsidR="00287451" w:rsidRPr="00287451">
        <w:rPr>
          <w:rFonts w:eastAsiaTheme="minorEastAsia" w:cstheme="minorBidi"/>
          <w:color w:val="000000" w:themeColor="text1"/>
          <w:kern w:val="24"/>
          <w:lang w:val="en-GB"/>
        </w:rPr>
        <w:t xml:space="preserve"> </w:t>
      </w:r>
      <w:r w:rsidR="00287451">
        <w:rPr>
          <w:rFonts w:eastAsiaTheme="minorEastAsia" w:cstheme="minorBidi"/>
          <w:color w:val="000000" w:themeColor="text1"/>
          <w:kern w:val="24"/>
          <w:lang w:val="en-GB"/>
        </w:rPr>
        <w:t>law enforcement agencies</w:t>
      </w:r>
      <w:r w:rsidRPr="00EF1CEE">
        <w:rPr>
          <w:rFonts w:eastAsiaTheme="minorEastAsia" w:cstheme="minorBidi"/>
          <w:color w:val="000000" w:themeColor="text1"/>
          <w:kern w:val="24"/>
          <w:lang w:val="en-GB"/>
        </w:rPr>
        <w:t xml:space="preserve"> (not specified expenditures for pro</w:t>
      </w:r>
      <w:r w:rsidR="00287451">
        <w:rPr>
          <w:rFonts w:eastAsiaTheme="minorEastAsia" w:cstheme="minorBidi"/>
          <w:color w:val="000000" w:themeColor="text1"/>
          <w:kern w:val="24"/>
          <w:lang w:val="en-GB"/>
        </w:rPr>
        <w:t xml:space="preserve">grams to combat drug abuse) </w:t>
      </w:r>
      <w:r w:rsidR="00287451" w:rsidRPr="00EF1CEE">
        <w:rPr>
          <w:rFonts w:eastAsiaTheme="minorEastAsia" w:cstheme="minorBidi"/>
          <w:color w:val="000000" w:themeColor="text1"/>
          <w:kern w:val="24"/>
          <w:lang w:val="en-GB"/>
        </w:rPr>
        <w:t>certain</w:t>
      </w:r>
      <w:r w:rsidRPr="00EF1CEE">
        <w:rPr>
          <w:rFonts w:eastAsiaTheme="minorEastAsia" w:cstheme="minorBidi"/>
          <w:color w:val="000000" w:themeColor="text1"/>
          <w:kern w:val="24"/>
          <w:lang w:val="en-GB"/>
        </w:rPr>
        <w:t xml:space="preserve"> percent of expenditures associated with police activities aimed at combating drug abuse. </w:t>
      </w:r>
    </w:p>
    <w:p w:rsidR="00EF1CEE" w:rsidRPr="00EF1CEE" w:rsidRDefault="00EF1CEE" w:rsidP="00EF1CEE">
      <w:pPr>
        <w:pStyle w:val="StandardWeb"/>
        <w:kinsoku w:val="0"/>
        <w:overflowPunct w:val="0"/>
        <w:spacing w:before="0" w:beforeAutospacing="0" w:after="0" w:afterAutospacing="0"/>
        <w:jc w:val="both"/>
        <w:textAlignment w:val="baseline"/>
        <w:rPr>
          <w:rFonts w:ascii="Arial" w:eastAsiaTheme="minorEastAsia" w:hAnsi="Arial" w:cstheme="minorBidi"/>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roofErr w:type="gramStart"/>
      <w:r w:rsidRPr="00EF1CEE">
        <w:rPr>
          <w:rFonts w:eastAsiaTheme="minorEastAsia"/>
          <w:color w:val="000000" w:themeColor="text1"/>
          <w:kern w:val="24"/>
          <w:lang w:val="en-GB"/>
        </w:rPr>
        <w:t>For customs as an indicator for the allocation of costs as one indicator can be t</w:t>
      </w:r>
      <w:r w:rsidR="00FC4219">
        <w:rPr>
          <w:rFonts w:eastAsiaTheme="minorEastAsia"/>
          <w:color w:val="000000" w:themeColor="text1"/>
          <w:kern w:val="24"/>
          <w:lang w:val="en-GB"/>
        </w:rPr>
        <w:t>aken the share of custom officers</w:t>
      </w:r>
      <w:r w:rsidRPr="00EF1CEE">
        <w:rPr>
          <w:rFonts w:eastAsiaTheme="minorEastAsia"/>
          <w:color w:val="000000" w:themeColor="text1"/>
          <w:kern w:val="24"/>
          <w:lang w:val="en-GB"/>
        </w:rPr>
        <w:t xml:space="preserve"> who deal with the problem of drugs in th</w:t>
      </w:r>
      <w:r w:rsidR="00FC4219">
        <w:rPr>
          <w:rFonts w:eastAsiaTheme="minorEastAsia"/>
          <w:color w:val="000000" w:themeColor="text1"/>
          <w:kern w:val="24"/>
          <w:lang w:val="en-GB"/>
        </w:rPr>
        <w:t>e total number of custom officers</w:t>
      </w:r>
      <w:r w:rsidRPr="00EF1CEE">
        <w:rPr>
          <w:rFonts w:eastAsiaTheme="minorEastAsia"/>
          <w:color w:val="000000" w:themeColor="text1"/>
          <w:kern w:val="24"/>
          <w:lang w:val="en-GB"/>
        </w:rPr>
        <w:t>, and as a second</w:t>
      </w:r>
      <w:r w:rsidR="00FC4219">
        <w:rPr>
          <w:rFonts w:eastAsiaTheme="minorEastAsia"/>
          <w:color w:val="000000" w:themeColor="text1"/>
          <w:kern w:val="24"/>
          <w:lang w:val="en-GB"/>
        </w:rPr>
        <w:t>,</w:t>
      </w:r>
      <w:r w:rsidRPr="00EF1CEE">
        <w:rPr>
          <w:rFonts w:eastAsiaTheme="minorEastAsia"/>
          <w:color w:val="000000" w:themeColor="text1"/>
          <w:kern w:val="24"/>
          <w:lang w:val="en-GB"/>
        </w:rPr>
        <w:t xml:space="preserve"> proportion of civil servants in the customs dealing with the problem of drugs in the total number of civil servants.</w:t>
      </w:r>
      <w:proofErr w:type="gramEnd"/>
      <w:r w:rsidRPr="00EF1CEE">
        <w:rPr>
          <w:rFonts w:eastAsiaTheme="minorEastAsia"/>
          <w:color w:val="000000" w:themeColor="text1"/>
          <w:kern w:val="24"/>
          <w:lang w:val="en-GB"/>
        </w:rPr>
        <w:t xml:space="preserve"> As input data for the calculation of the first indicators used data </w:t>
      </w:r>
      <w:r w:rsidR="00FC4219">
        <w:rPr>
          <w:rFonts w:eastAsiaTheme="minorEastAsia"/>
          <w:color w:val="000000" w:themeColor="text1"/>
          <w:kern w:val="24"/>
          <w:lang w:val="en-GB"/>
        </w:rPr>
        <w:t>is</w:t>
      </w:r>
      <w:r w:rsidRPr="00EF1CEE">
        <w:rPr>
          <w:rFonts w:eastAsiaTheme="minorEastAsia"/>
          <w:color w:val="000000" w:themeColor="text1"/>
          <w:kern w:val="24"/>
          <w:lang w:val="en-GB"/>
        </w:rPr>
        <w:t xml:space="preserve"> the number of customs officers who deal with the problem of drugs. But </w:t>
      </w:r>
      <w:r w:rsidR="00FC4219">
        <w:rPr>
          <w:rFonts w:eastAsiaTheme="minorEastAsia"/>
          <w:color w:val="000000" w:themeColor="text1"/>
          <w:kern w:val="24"/>
          <w:lang w:val="en-GB"/>
        </w:rPr>
        <w:t>as noted that the custom officers</w:t>
      </w:r>
      <w:r w:rsidRPr="00EF1CEE">
        <w:rPr>
          <w:rFonts w:eastAsiaTheme="minorEastAsia"/>
          <w:color w:val="000000" w:themeColor="text1"/>
          <w:kern w:val="24"/>
          <w:lang w:val="en-GB"/>
        </w:rPr>
        <w:t xml:space="preserve"> do not invest all their time in the detection and prevention of irregularities, and </w:t>
      </w:r>
      <w:r w:rsidR="00FC4219" w:rsidRPr="00EF1CEE">
        <w:rPr>
          <w:rFonts w:eastAsiaTheme="minorEastAsia"/>
          <w:color w:val="000000" w:themeColor="text1"/>
          <w:kern w:val="24"/>
          <w:lang w:val="en-GB"/>
        </w:rPr>
        <w:t>misdemeanour</w:t>
      </w:r>
      <w:r w:rsidRPr="00EF1CEE">
        <w:rPr>
          <w:rFonts w:eastAsiaTheme="minorEastAsia"/>
          <w:color w:val="000000" w:themeColor="text1"/>
          <w:kern w:val="24"/>
          <w:lang w:val="en-GB"/>
        </w:rPr>
        <w:t xml:space="preserve"> offenses related cross-border drug trafficking, it should be found which percent of </w:t>
      </w:r>
      <w:r w:rsidR="00FC4219">
        <w:rPr>
          <w:rFonts w:eastAsiaTheme="minorEastAsia"/>
          <w:color w:val="000000" w:themeColor="text1"/>
          <w:kern w:val="24"/>
          <w:lang w:val="en-GB"/>
        </w:rPr>
        <w:t xml:space="preserve">their </w:t>
      </w:r>
      <w:r w:rsidRPr="00EF1CEE">
        <w:rPr>
          <w:rFonts w:eastAsiaTheme="minorEastAsia"/>
          <w:color w:val="000000" w:themeColor="text1"/>
          <w:kern w:val="24"/>
          <w:lang w:val="en-GB"/>
        </w:rPr>
        <w:t xml:space="preserve">work time </w:t>
      </w:r>
      <w:r w:rsidR="00FC4219">
        <w:rPr>
          <w:rFonts w:eastAsiaTheme="minorEastAsia"/>
          <w:color w:val="000000" w:themeColor="text1"/>
          <w:kern w:val="24"/>
          <w:lang w:val="en-GB"/>
        </w:rPr>
        <w:t>is devoted to</w:t>
      </w:r>
      <w:r w:rsidRPr="00EF1CEE">
        <w:rPr>
          <w:rFonts w:eastAsiaTheme="minorEastAsia"/>
          <w:color w:val="000000" w:themeColor="text1"/>
          <w:kern w:val="24"/>
          <w:lang w:val="en-GB"/>
        </w:rPr>
        <w:t xml:space="preserve"> such a</w:t>
      </w:r>
      <w:r w:rsidR="00FC4219">
        <w:rPr>
          <w:rFonts w:eastAsiaTheme="minorEastAsia"/>
          <w:color w:val="000000" w:themeColor="text1"/>
          <w:kern w:val="24"/>
          <w:lang w:val="en-GB"/>
        </w:rPr>
        <w:t>ctivities</w:t>
      </w:r>
      <w:r w:rsidRPr="00EF1CEE">
        <w:rPr>
          <w:rFonts w:eastAsiaTheme="minorEastAsia"/>
          <w:color w:val="000000" w:themeColor="text1"/>
          <w:kern w:val="24"/>
          <w:lang w:val="en-GB"/>
        </w:rPr>
        <w:t>, and estimated number of customs officers who deal with the problem of drugs to full-time equivalent. The average of these two shares is applied to the total expenses of the Customs Administration minus itemized expenditures for programs to combat drug abuse in order to obtain an estimate of unspecified expenses of the Customs Administration relating to combating drug abuse.</w:t>
      </w: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rFonts w:eastAsiaTheme="minorEastAsia"/>
          <w:color w:val="000000" w:themeColor="text1"/>
          <w:kern w:val="24"/>
          <w:lang w:val="en-GB"/>
        </w:rPr>
        <w:t xml:space="preserve">In court services, an indicator for the allocation of costs can be calculated as the arithmetic average of three relative numbers. These numbers are relative proportion of offenders for offenses relating to drugs in the total number of offenders for offenses, the proportion of people convicted of crimes of abuse in the total number of people registered for the offenses, and the share of convicted persons for offenses relating to drugs in the total number of persons convicted of criminal offenses. </w:t>
      </w:r>
    </w:p>
    <w:p w:rsidR="00EF1CEE" w:rsidRPr="00EF1CEE" w:rsidRDefault="00EF1CEE" w:rsidP="00EF1CEE">
      <w:pPr>
        <w:pStyle w:val="StandardWeb"/>
        <w:kinsoku w:val="0"/>
        <w:overflowPunct w:val="0"/>
        <w:spacing w:before="0" w:beforeAutospacing="0" w:after="0" w:afterAutospacing="0"/>
        <w:jc w:val="both"/>
        <w:textAlignment w:val="baseline"/>
        <w:rPr>
          <w:rFonts w:eastAsiaTheme="minorEastAsia"/>
          <w:color w:val="000000" w:themeColor="text1"/>
          <w:kern w:val="24"/>
          <w:lang w:val="en-GB"/>
        </w:rPr>
      </w:pPr>
    </w:p>
    <w:p w:rsidR="00EF1CEE" w:rsidRPr="00EF1CEE" w:rsidRDefault="00EF1CEE" w:rsidP="00EF1CEE">
      <w:pPr>
        <w:pStyle w:val="StandardWeb"/>
        <w:kinsoku w:val="0"/>
        <w:overflowPunct w:val="0"/>
        <w:spacing w:before="0" w:beforeAutospacing="0" w:after="0" w:afterAutospacing="0"/>
        <w:jc w:val="both"/>
        <w:textAlignment w:val="baseline"/>
        <w:rPr>
          <w:color w:val="000000"/>
          <w:shd w:val="clear" w:color="auto" w:fill="FFFFFF"/>
          <w:lang w:val="en-GB"/>
        </w:rPr>
      </w:pPr>
      <w:r w:rsidRPr="00EF1CEE">
        <w:rPr>
          <w:rFonts w:eastAsiaTheme="minorEastAsia"/>
          <w:color w:val="000000" w:themeColor="text1"/>
          <w:kern w:val="24"/>
          <w:lang w:val="en-GB"/>
        </w:rPr>
        <w:t xml:space="preserve">Unspecified costs to combat drug abuse in the prison system can be estimated using shares validly convicted prisoners, perpetrators of crimes related to drugs in the total number of validly convicted prisoners. </w:t>
      </w:r>
      <w:r w:rsidRPr="00EF1CEE">
        <w:rPr>
          <w:color w:val="000000"/>
          <w:shd w:val="clear" w:color="auto" w:fill="FFFFFF"/>
          <w:lang w:val="en-GB"/>
        </w:rPr>
        <w:t xml:space="preserve">For example, to estimate the prison drug-related expenditures in a given country, two elements would be necessary: the overall prison expenditures in the country for a given fiscal year, and the </w:t>
      </w:r>
      <w:proofErr w:type="gramStart"/>
      <w:r w:rsidRPr="00EF1CEE">
        <w:rPr>
          <w:color w:val="000000"/>
          <w:shd w:val="clear" w:color="auto" w:fill="FFFFFF"/>
          <w:lang w:val="en-GB"/>
        </w:rPr>
        <w:t>attributable</w:t>
      </w:r>
      <w:proofErr w:type="gramEnd"/>
      <w:r w:rsidRPr="00EF1CEE">
        <w:rPr>
          <w:color w:val="000000"/>
          <w:shd w:val="clear" w:color="auto" w:fill="FFFFFF"/>
          <w:lang w:val="en-GB"/>
        </w:rPr>
        <w:t xml:space="preserve"> proportion of inmates due to drug-related issues. The product of the two will give a rough estimate that can be compared across different countries.</w:t>
      </w:r>
    </w:p>
    <w:p w:rsidR="00EF1CEE" w:rsidRPr="00EF1CEE" w:rsidRDefault="00EF1CEE" w:rsidP="00EF1CEE">
      <w:pPr>
        <w:pStyle w:val="StandardWeb"/>
        <w:kinsoku w:val="0"/>
        <w:overflowPunct w:val="0"/>
        <w:spacing w:before="0" w:beforeAutospacing="0" w:after="0" w:afterAutospacing="0"/>
        <w:jc w:val="both"/>
        <w:textAlignment w:val="baseline"/>
        <w:rPr>
          <w:color w:val="000000"/>
          <w:shd w:val="clear" w:color="auto" w:fill="FFFFFF"/>
          <w:lang w:val="en-GB"/>
        </w:rPr>
      </w:pPr>
    </w:p>
    <w:p w:rsidR="00EF1CEE" w:rsidRPr="00EF1CEE" w:rsidRDefault="00EF1CEE" w:rsidP="00EF1CEE">
      <w:pPr>
        <w:pStyle w:val="StandardWeb"/>
        <w:kinsoku w:val="0"/>
        <w:overflowPunct w:val="0"/>
        <w:spacing w:before="0" w:beforeAutospacing="0" w:after="0" w:afterAutospacing="0"/>
        <w:jc w:val="both"/>
        <w:textAlignment w:val="baseline"/>
        <w:rPr>
          <w:lang w:val="en-GB"/>
        </w:rPr>
      </w:pPr>
      <w:r w:rsidRPr="00EF1CEE">
        <w:rPr>
          <w:lang w:val="en-GB"/>
        </w:rPr>
        <w:t>Most of studies feature data collected on expenditure at the different levels of the criminal justice system but do not present the results separately. Results are presented as ‘law enforcement’.</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In the Belgian studies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the results of expenditure on law enforcement are presented according to the different levels of the criminal justice system. </w:t>
      </w:r>
      <w:r w:rsidRPr="00EF1CEE">
        <w:rPr>
          <w:rFonts w:ascii="Times New Roman" w:hAnsi="Times New Roman"/>
          <w:sz w:val="24"/>
          <w:szCs w:val="24"/>
        </w:rPr>
        <w:lastRenderedPageBreak/>
        <w:t>Distinction is made between the levels of investigation, prosecution, sentencing and execution of sentences. Moore (2005</w:t>
      </w:r>
      <w:proofErr w:type="gramStart"/>
      <w:r w:rsidRPr="00EF1CEE">
        <w:rPr>
          <w:rFonts w:ascii="Times New Roman" w:hAnsi="Times New Roman"/>
          <w:sz w:val="24"/>
          <w:szCs w:val="24"/>
        </w:rPr>
        <w:t>),</w:t>
      </w:r>
      <w:proofErr w:type="gramEnd"/>
      <w:r w:rsidRPr="00EF1CEE">
        <w:rPr>
          <w:rFonts w:ascii="Times New Roman" w:hAnsi="Times New Roman"/>
          <w:sz w:val="24"/>
          <w:szCs w:val="24"/>
        </w:rPr>
        <w:t xml:space="preserve"> subdivides law enforcement into law enforcement and interdiction. Another example where the use of a repartition key is needed is in estimating the expenditure on enforcement by police, judicial authorities and customs. The fraction of offences concerning violations of drug laws has to be calculated on the basis of the total number of offences. The proportion of working time devoted to criminal cases has to be calculated to determine the proportion of working time spent on violations of drug laws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2002;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w:t>
      </w:r>
    </w:p>
    <w:p w:rsidR="00EF1CEE" w:rsidRPr="00EF1CEE" w:rsidRDefault="00EF1CEE" w:rsidP="00EF1CEE">
      <w:pPr>
        <w:spacing w:after="0" w:line="240" w:lineRule="auto"/>
        <w:jc w:val="both"/>
        <w:rPr>
          <w:rFonts w:ascii="Times New Roman" w:hAnsi="Times New Roman"/>
          <w:sz w:val="24"/>
          <w:szCs w:val="24"/>
        </w:rPr>
      </w:pPr>
    </w:p>
    <w:p w:rsidR="00EF1CEE" w:rsidRPr="00EF1CEE" w:rsidRDefault="00EF1CEE" w:rsidP="00EF1CEE">
      <w:pPr>
        <w:spacing w:after="0" w:line="240" w:lineRule="auto"/>
        <w:jc w:val="both"/>
        <w:rPr>
          <w:rFonts w:ascii="Times New Roman" w:hAnsi="Times New Roman"/>
          <w:iCs/>
          <w:sz w:val="24"/>
          <w:szCs w:val="24"/>
        </w:rPr>
      </w:pPr>
      <w:r w:rsidRPr="00EF1CEE">
        <w:rPr>
          <w:rFonts w:ascii="Times New Roman" w:hAnsi="Times New Roman"/>
          <w:iCs/>
          <w:sz w:val="24"/>
          <w:szCs w:val="24"/>
        </w:rPr>
        <w:t>In process of building a model for Italian research</w:t>
      </w:r>
      <w:r w:rsidRPr="00EF1CEE">
        <w:rPr>
          <w:rFonts w:ascii="Times New Roman" w:eastAsia="Arial Unicode MS" w:hAnsi="Times New Roman"/>
          <w:sz w:val="24"/>
          <w:szCs w:val="24"/>
          <w:shd w:val="clear" w:color="auto" w:fill="FFFFFF"/>
        </w:rPr>
        <w:t xml:space="preserve"> (</w:t>
      </w:r>
      <w:proofErr w:type="spellStart"/>
      <w:r w:rsidRPr="00EF1CEE">
        <w:rPr>
          <w:rFonts w:ascii="Times New Roman" w:eastAsia="Arial Unicode MS" w:hAnsi="Times New Roman"/>
          <w:sz w:val="24"/>
          <w:szCs w:val="24"/>
          <w:shd w:val="clear" w:color="auto" w:fill="FFFFFF"/>
        </w:rPr>
        <w:t>Serpelloni</w:t>
      </w:r>
      <w:proofErr w:type="spellEnd"/>
      <w:r w:rsidRPr="00EF1CEE">
        <w:rPr>
          <w:rFonts w:ascii="Times New Roman" w:hAnsi="Times New Roman"/>
          <w:sz w:val="24"/>
          <w:szCs w:val="24"/>
        </w:rPr>
        <w:t xml:space="preserve"> et al., 2013)</w:t>
      </w:r>
      <w:r w:rsidRPr="00EF1CEE">
        <w:rPr>
          <w:rFonts w:ascii="Times New Roman" w:eastAsia="Arial Unicode MS" w:hAnsi="Times New Roman"/>
          <w:sz w:val="24"/>
          <w:szCs w:val="24"/>
          <w:shd w:val="clear" w:color="auto" w:fill="FFFFFF"/>
        </w:rPr>
        <w:t xml:space="preserve"> </w:t>
      </w:r>
      <w:r w:rsidRPr="00EF1CEE">
        <w:rPr>
          <w:rFonts w:ascii="Times New Roman" w:hAnsi="Times New Roman"/>
          <w:iCs/>
          <w:sz w:val="24"/>
          <w:szCs w:val="24"/>
        </w:rPr>
        <w:t>Kopp's approach was used for analyzing the flow of information sources. Their model consists of four components: private or indirect costs (individual costs and costs due to loss of productive capacity) and public expenditure or direct costs (costs of enforcing the Law, social and health costs). The methodologies for the study of these costs use two approaches: Top-Down Approach (Yale Model) and Bottom-Up Approach (Analytical Model). To determine costs of law enforcement they used three different sources of information: data about traffic control and traffic accidents on the streets, police data on people who are caught with drugs for personal use, data on convictions for drug trafficking and data on crimes related to drug trafficking.</w:t>
      </w:r>
    </w:p>
    <w:p w:rsidR="00EF1CEE" w:rsidRPr="00EF1CEE" w:rsidRDefault="00EF1CEE" w:rsidP="00EF1CEE">
      <w:pPr>
        <w:spacing w:after="0" w:line="240" w:lineRule="auto"/>
        <w:jc w:val="both"/>
        <w:rPr>
          <w:rFonts w:ascii="Times New Roman" w:hAnsi="Times New Roman"/>
          <w:iCs/>
          <w:sz w:val="24"/>
          <w:szCs w:val="24"/>
        </w:rPr>
      </w:pPr>
    </w:p>
    <w:p w:rsidR="00EF1CEE" w:rsidRPr="00EF1CEE" w:rsidRDefault="00EF1CEE" w:rsidP="00EF1CEE">
      <w:pPr>
        <w:spacing w:after="0" w:line="240" w:lineRule="auto"/>
        <w:jc w:val="both"/>
        <w:rPr>
          <w:rFonts w:ascii="Times New Roman" w:hAnsi="Times New Roman"/>
          <w:iCs/>
          <w:sz w:val="24"/>
          <w:szCs w:val="24"/>
        </w:rPr>
      </w:pPr>
      <w:r w:rsidRPr="00EF1CEE">
        <w:rPr>
          <w:rFonts w:ascii="Times New Roman" w:hAnsi="Times New Roman"/>
          <w:sz w:val="24"/>
          <w:szCs w:val="24"/>
        </w:rPr>
        <w:t xml:space="preserve">In </w:t>
      </w:r>
      <w:r w:rsidRPr="00921B0B">
        <w:rPr>
          <w:rFonts w:ascii="Times New Roman" w:hAnsi="Times New Roman"/>
          <w:sz w:val="24"/>
          <w:szCs w:val="24"/>
        </w:rPr>
        <w:t>French study</w:t>
      </w:r>
      <w:r w:rsidRPr="00EF1CEE">
        <w:rPr>
          <w:rFonts w:ascii="Times New Roman" w:hAnsi="Times New Roman"/>
          <w:sz w:val="24"/>
          <w:szCs w:val="24"/>
        </w:rPr>
        <w:t xml:space="preserve"> methods of calculation relying on monitoring activity records when monitoring records are available for the service concerned, estimates may be based on a “top down” or “bottom up” approach. The estimation method can vary from one activity to another depending on the availability of records. The total expenditure for drug-related activities is aggregated by programme. </w:t>
      </w: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 xml:space="preserve">The top down approach in this case, the fraction of the overall activity which is devoted to drug use prevention or fighting drugs and drug addiction is known. The authorities can work out the expenditure attributable to the drugs policy even if they are not specifically “drug-related”. In order to calculate an estimate, this fraction is applied to the total cost of staff and regular functioning of the service concerned. For the year 2010, for example, ten percent of police affairs stood for narcotics affairs which involved sixty police units accounting for several hundreds of thousands of hours/police officers. In this example, police expenditures attributable to drug-related activities have been calculated by multiplying the total expenditure of the police services by the fraction of 10 percent. </w:t>
      </w:r>
    </w:p>
    <w:p w:rsidR="00EF1CEE" w:rsidRPr="00EF1CEE" w:rsidRDefault="00EF1CEE" w:rsidP="00EF1CEE">
      <w:pPr>
        <w:spacing w:after="0" w:line="240" w:lineRule="auto"/>
        <w:jc w:val="both"/>
        <w:rPr>
          <w:rFonts w:ascii="Times New Roman" w:hAnsi="Times New Roman"/>
          <w:sz w:val="24"/>
          <w:szCs w:val="24"/>
        </w:rPr>
      </w:pPr>
      <w:r w:rsidRPr="00EF1CEE">
        <w:rPr>
          <w:rFonts w:ascii="Times New Roman" w:hAnsi="Times New Roman"/>
          <w:sz w:val="24"/>
          <w:szCs w:val="24"/>
        </w:rPr>
        <w:t>The bottom up approach the work time spent by staff in charge of supporting drug-related activities or the equipments used have been recorded by the ministerial services. It is the case for example of the hours of prevention interventions in school or the alcohol tests conducted at the driving controls carried out by the Police corps or the National Gendarmerie.</w:t>
      </w:r>
    </w:p>
    <w:p w:rsidR="00EF1CEE" w:rsidRPr="003B41A4" w:rsidRDefault="00EF1CEE" w:rsidP="00EF1CEE">
      <w:pPr>
        <w:spacing w:after="0" w:line="240" w:lineRule="auto"/>
        <w:jc w:val="both"/>
        <w:rPr>
          <w:rFonts w:ascii="Times New Roman" w:hAnsi="Times New Roman"/>
          <w:sz w:val="24"/>
          <w:szCs w:val="24"/>
        </w:rPr>
      </w:pPr>
    </w:p>
    <w:p w:rsidR="00EF1CEE" w:rsidRDefault="0089211D" w:rsidP="005E0564">
      <w:pPr>
        <w:spacing w:line="240" w:lineRule="auto"/>
        <w:jc w:val="both"/>
        <w:rPr>
          <w:rFonts w:ascii="Times New Roman" w:eastAsiaTheme="majorEastAsia" w:hAnsi="Times New Roman"/>
          <w:i/>
          <w:sz w:val="24"/>
          <w:szCs w:val="24"/>
          <w:u w:val="single"/>
        </w:rPr>
      </w:pPr>
      <w:r w:rsidRPr="00610185">
        <w:rPr>
          <w:rFonts w:ascii="Times New Roman" w:eastAsiaTheme="majorEastAsia" w:hAnsi="Times New Roman"/>
          <w:i/>
          <w:sz w:val="24"/>
          <w:szCs w:val="24"/>
          <w:u w:val="single"/>
        </w:rPr>
        <w:t>Literature review</w:t>
      </w:r>
      <w:r>
        <w:rPr>
          <w:rFonts w:ascii="Times New Roman" w:eastAsiaTheme="majorEastAsia" w:hAnsi="Times New Roman"/>
          <w:i/>
          <w:sz w:val="24"/>
          <w:szCs w:val="24"/>
          <w:u w:val="single"/>
        </w:rPr>
        <w:t xml:space="preserv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The term ‘public expenditure’ refers to the value of goods and services purchased/utilized by the general government of a state (at central, regional or local level) in order to perform each of its functions (i.e. healthcare, justice, public order, education, social services)</w:t>
      </w:r>
      <w:r w:rsidRPr="0068172A">
        <w:rPr>
          <w:rStyle w:val="Referencafusnote"/>
          <w:rFonts w:ascii="Times New Roman" w:hAnsi="Times New Roman"/>
          <w:sz w:val="24"/>
          <w:szCs w:val="24"/>
        </w:rPr>
        <w:footnoteReference w:id="1"/>
      </w:r>
      <w:r w:rsidRPr="0068172A">
        <w:rPr>
          <w:rFonts w:ascii="Times New Roman" w:hAnsi="Times New Roman"/>
          <w:sz w:val="24"/>
          <w:szCs w:val="24"/>
        </w:rPr>
        <w:t>. Its quantification is a costing exercise undertaken from the government’s perspective.</w:t>
      </w:r>
    </w:p>
    <w:p w:rsidR="00750EE9" w:rsidRPr="0068172A" w:rsidRDefault="00750EE9" w:rsidP="0068172A">
      <w:pPr>
        <w:spacing w:after="0" w:line="240" w:lineRule="auto"/>
        <w:jc w:val="both"/>
        <w:rPr>
          <w:rFonts w:ascii="Times New Roman" w:hAnsi="Times New Roman"/>
          <w:color w:val="231F20"/>
          <w:sz w:val="24"/>
          <w:szCs w:val="24"/>
        </w:rPr>
      </w:pPr>
      <w:r w:rsidRPr="0068172A">
        <w:rPr>
          <w:rFonts w:ascii="Times New Roman" w:hAnsi="Times New Roman"/>
          <w:color w:val="000000"/>
          <w:sz w:val="24"/>
          <w:szCs w:val="24"/>
        </w:rPr>
        <w:lastRenderedPageBreak/>
        <w:t>Literature</w:t>
      </w:r>
      <w:r w:rsidRPr="0068172A">
        <w:rPr>
          <w:rFonts w:ascii="Times New Roman" w:hAnsi="Times New Roman"/>
          <w:color w:val="231F20"/>
          <w:sz w:val="24"/>
          <w:szCs w:val="24"/>
        </w:rPr>
        <w:t xml:space="preserve"> suggests that drug abuse is one of the major health and social problems in today's society.</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European studies on public expenditure use different concepts and definitions to define the term “public expenditure”. In order to compare public expenditure studies throughout Europe, it is important to be clear about the conceptual framework used. It is equally important to define which areas of expenditure lie within and outside the scope of a given public expenditure study. This implies that a public expenditure analysis proceeds from the perspective of the different public authorities that are competent for the respective aspects of the drug policy [4, 14]. </w:t>
      </w:r>
    </w:p>
    <w:p w:rsidR="00750EE9" w:rsidRPr="0068172A" w:rsidRDefault="00750EE9" w:rsidP="0068172A">
      <w:pPr>
        <w:spacing w:after="0" w:line="240" w:lineRule="auto"/>
        <w:jc w:val="both"/>
        <w:rPr>
          <w:rFonts w:ascii="Times New Roman" w:hAnsi="Times New Roman"/>
          <w:color w:val="231F20"/>
          <w:sz w:val="24"/>
          <w:szCs w:val="24"/>
        </w:rPr>
      </w:pP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color w:val="000000"/>
          <w:sz w:val="24"/>
          <w:szCs w:val="24"/>
          <w:shd w:val="clear" w:color="auto" w:fill="FFFFFF"/>
        </w:rPr>
        <w:t>Public</w:t>
      </w:r>
      <w:r w:rsidRPr="0068172A">
        <w:rPr>
          <w:rFonts w:ascii="Times New Roman" w:hAnsi="Times New Roman"/>
          <w:color w:val="231F20"/>
          <w:sz w:val="24"/>
          <w:szCs w:val="24"/>
          <w:shd w:val="clear" w:color="auto" w:fill="FFFFFF"/>
        </w:rPr>
        <w:t xml:space="preserve"> </w:t>
      </w:r>
      <w:r w:rsidRPr="0068172A">
        <w:rPr>
          <w:rFonts w:ascii="Times New Roman" w:hAnsi="Times New Roman"/>
          <w:color w:val="231F20"/>
          <w:sz w:val="24"/>
          <w:szCs w:val="24"/>
        </w:rPr>
        <w:t>expenditures on combating drug problems are recognised as a very useful indicator of government efforts in this regard.</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Public expenditure studies also represent important intermediate stages in economic evaluation since they provide an understanding of the size and composition of the cost of public programmes and interventions devoted to tackling drugs.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Kopp and </w:t>
      </w:r>
      <w:proofErr w:type="spellStart"/>
      <w:r w:rsidRPr="0068172A">
        <w:rPr>
          <w:rFonts w:ascii="Times New Roman" w:hAnsi="Times New Roman"/>
          <w:sz w:val="24"/>
          <w:szCs w:val="24"/>
        </w:rPr>
        <w:t>Fenoglio</w:t>
      </w:r>
      <w:proofErr w:type="spellEnd"/>
      <w:r w:rsidRPr="0068172A">
        <w:rPr>
          <w:rFonts w:ascii="Times New Roman" w:hAnsi="Times New Roman"/>
          <w:sz w:val="24"/>
          <w:szCs w:val="24"/>
        </w:rPr>
        <w:t xml:space="preserve"> [9] and </w:t>
      </w:r>
      <w:proofErr w:type="spellStart"/>
      <w:r w:rsidRPr="0068172A">
        <w:rPr>
          <w:rFonts w:ascii="Times New Roman" w:hAnsi="Times New Roman"/>
          <w:sz w:val="24"/>
          <w:szCs w:val="24"/>
        </w:rPr>
        <w:t>Origer</w:t>
      </w:r>
      <w:proofErr w:type="spellEnd"/>
      <w:r w:rsidRPr="0068172A">
        <w:rPr>
          <w:rFonts w:ascii="Times New Roman" w:hAnsi="Times New Roman"/>
          <w:sz w:val="24"/>
          <w:szCs w:val="24"/>
        </w:rPr>
        <w:t xml:space="preserve"> [12] refer to expenditure emanating from the public authorities and used for the different policy sectors of the drug policy (law enforcement, treatment, prevention).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Kopp and </w:t>
      </w:r>
      <w:proofErr w:type="spellStart"/>
      <w:r w:rsidRPr="0068172A">
        <w:rPr>
          <w:rFonts w:ascii="Times New Roman" w:hAnsi="Times New Roman"/>
          <w:sz w:val="24"/>
          <w:szCs w:val="24"/>
        </w:rPr>
        <w:t>Fenoglio</w:t>
      </w:r>
      <w:proofErr w:type="spellEnd"/>
      <w:r w:rsidRPr="0068172A">
        <w:rPr>
          <w:rFonts w:ascii="Times New Roman" w:hAnsi="Times New Roman"/>
          <w:sz w:val="24"/>
          <w:szCs w:val="24"/>
        </w:rPr>
        <w:t xml:space="preserve"> and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and others define the term “drug budget” as being synonymous with public expenditure on drug policy [4, 7, </w:t>
      </w:r>
      <w:proofErr w:type="gramStart"/>
      <w:r w:rsidRPr="0068172A">
        <w:rPr>
          <w:rFonts w:ascii="Times New Roman" w:hAnsi="Times New Roman"/>
          <w:sz w:val="24"/>
          <w:szCs w:val="24"/>
        </w:rPr>
        <w:t>10</w:t>
      </w:r>
      <w:proofErr w:type="gramEnd"/>
      <w:r w:rsidRPr="0068172A">
        <w:rPr>
          <w:rFonts w:ascii="Times New Roman" w:hAnsi="Times New Roman"/>
          <w:sz w:val="24"/>
          <w:szCs w:val="24"/>
        </w:rPr>
        <w:t xml:space="preserve">]. The drug budget of the public authorities at each different level of competency is analysed.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European States are characterized by their various State structures, and those authors stress the importance of taking into account the different levels of competence (national, regional and local) in estimating public expenditure, because in each country the division of areas of competence in the field of drug issues differs and is spread over different policy domains (epidemiology, prevention, treatment, law enforcement). Given the different State structures of France and Germany, for instance, we would not be able to compare the public expenditure of those two countries if we count only expenditure stemming from the national Government.</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key criterion in determining what counts as public expenditure for drug policy is whether the expenditure is directly related to drug policy actions [3, 4, 12, 14, </w:t>
      </w:r>
      <w:proofErr w:type="gramStart"/>
      <w:r w:rsidRPr="0068172A">
        <w:rPr>
          <w:rFonts w:ascii="Times New Roman" w:hAnsi="Times New Roman"/>
          <w:sz w:val="24"/>
          <w:szCs w:val="24"/>
        </w:rPr>
        <w:t>15</w:t>
      </w:r>
      <w:proofErr w:type="gramEnd"/>
      <w:r w:rsidRPr="0068172A">
        <w:rPr>
          <w:rFonts w:ascii="Times New Roman" w:hAnsi="Times New Roman"/>
          <w:sz w:val="24"/>
          <w:szCs w:val="24"/>
        </w:rPr>
        <w:t xml:space="preserve">]. Such expenditure can be described as investments or budget lines of public authorities for actions expressly and directly aimed at implementing drug policy. </w:t>
      </w:r>
    </w:p>
    <w:p w:rsidR="00750EE9" w:rsidRPr="0068172A" w:rsidRDefault="00750EE9" w:rsidP="0068172A">
      <w:pPr>
        <w:spacing w:after="0" w:line="240" w:lineRule="auto"/>
        <w:jc w:val="both"/>
        <w:rPr>
          <w:rFonts w:ascii="Times New Roman" w:hAnsi="Times New Roman"/>
          <w:sz w:val="24"/>
          <w:szCs w:val="24"/>
        </w:rPr>
      </w:pPr>
      <w:proofErr w:type="spellStart"/>
      <w:r w:rsidRPr="0068172A">
        <w:rPr>
          <w:rFonts w:ascii="Times New Roman" w:hAnsi="Times New Roman"/>
          <w:sz w:val="24"/>
          <w:szCs w:val="24"/>
        </w:rPr>
        <w:t>Postma</w:t>
      </w:r>
      <w:proofErr w:type="spellEnd"/>
      <w:r w:rsidRPr="0068172A">
        <w:rPr>
          <w:rFonts w:ascii="Times New Roman" w:hAnsi="Times New Roman"/>
          <w:sz w:val="24"/>
          <w:szCs w:val="24"/>
        </w:rPr>
        <w:t xml:space="preserve"> states that public expenditures are a part of the “direct costs such as expenditures on prevention, research, treatment, rehabilitation, law enforcement and cost of illness” [14, p. 9].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defines public expenditure as “specific expenditures” or “expenditures directly related to actions targeted at some drug Studies on public drug expenditure in Europe: possibilities and limitations related consequences or [...] prevention” [15, p. 330]. </w:t>
      </w:r>
    </w:p>
    <w:p w:rsidR="00750EE9" w:rsidRPr="0068172A" w:rsidRDefault="00750EE9" w:rsidP="0068172A">
      <w:pPr>
        <w:spacing w:after="0" w:line="240" w:lineRule="auto"/>
        <w:jc w:val="both"/>
        <w:rPr>
          <w:rFonts w:ascii="Times New Roman" w:hAnsi="Times New Roman"/>
          <w:sz w:val="24"/>
          <w:szCs w:val="24"/>
        </w:rPr>
      </w:pPr>
      <w:proofErr w:type="spellStart"/>
      <w:r w:rsidRPr="0068172A">
        <w:rPr>
          <w:rFonts w:ascii="Times New Roman" w:hAnsi="Times New Roman"/>
          <w:sz w:val="24"/>
          <w:szCs w:val="24"/>
        </w:rPr>
        <w:t>Origer</w:t>
      </w:r>
      <w:proofErr w:type="spellEnd"/>
      <w:r w:rsidRPr="0068172A">
        <w:rPr>
          <w:rFonts w:ascii="Times New Roman" w:hAnsi="Times New Roman"/>
          <w:sz w:val="24"/>
          <w:szCs w:val="24"/>
        </w:rPr>
        <w:t xml:space="preserve"> excludes the </w:t>
      </w:r>
      <w:proofErr w:type="gramStart"/>
      <w:r w:rsidRPr="0068172A">
        <w:rPr>
          <w:rFonts w:ascii="Times New Roman" w:hAnsi="Times New Roman"/>
          <w:sz w:val="24"/>
          <w:szCs w:val="24"/>
        </w:rPr>
        <w:t>indirect  costs</w:t>
      </w:r>
      <w:proofErr w:type="gramEnd"/>
      <w:r w:rsidRPr="0068172A">
        <w:rPr>
          <w:rFonts w:ascii="Times New Roman" w:hAnsi="Times New Roman"/>
          <w:sz w:val="24"/>
          <w:szCs w:val="24"/>
        </w:rPr>
        <w:t xml:space="preserve"> and the costs of indirect consequences and defines public expenditures as direct costs only [12].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and others refer to “expenditures expressly and directly labelled for drug policy actions” [4, p. 5].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Consequently, expenditures related to the consequences of drug use are excluded in most European public expenditure studies [3, 4, 9, </w:t>
      </w:r>
      <w:proofErr w:type="gramStart"/>
      <w:r w:rsidRPr="0068172A">
        <w:rPr>
          <w:rFonts w:ascii="Times New Roman" w:hAnsi="Times New Roman"/>
          <w:sz w:val="24"/>
          <w:szCs w:val="24"/>
        </w:rPr>
        <w:t>12</w:t>
      </w:r>
      <w:proofErr w:type="gramEnd"/>
      <w:r w:rsidRPr="0068172A">
        <w:rPr>
          <w:rFonts w:ascii="Times New Roman" w:hAnsi="Times New Roman"/>
          <w:sz w:val="24"/>
          <w:szCs w:val="24"/>
        </w:rPr>
        <w:t xml:space="preserv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Those excluded expenditures are referred to as “external expenditures”. Two categories of external expenditure are distinguished: (a) external expenditure that is not explicitly aimed at drug policy actions but that indirectly supports the drug policy (e.g. expenditure on drug-related crime such as theft, and spending on drug-related treatment such as treatment of </w:t>
      </w:r>
      <w:r w:rsidRPr="0068172A">
        <w:rPr>
          <w:rFonts w:ascii="Times New Roman" w:hAnsi="Times New Roman"/>
          <w:sz w:val="24"/>
          <w:szCs w:val="24"/>
        </w:rPr>
        <w:lastRenderedPageBreak/>
        <w:t xml:space="preserve">infections contracted through use of contaminated needles); and (b) external expenditure arising from loss of productivity and absenteeism in the workplace. </w:t>
      </w:r>
    </w:p>
    <w:p w:rsidR="00750EE9" w:rsidRPr="0068172A" w:rsidRDefault="00750EE9" w:rsidP="0068172A">
      <w:pPr>
        <w:spacing w:after="0" w:line="240" w:lineRule="auto"/>
        <w:jc w:val="both"/>
        <w:rPr>
          <w:rFonts w:ascii="Times New Roman" w:hAnsi="Times New Roman"/>
          <w:sz w:val="24"/>
          <w:szCs w:val="24"/>
        </w:rPr>
      </w:pP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Some authors, however, include a certain degree of external expenditure. </w:t>
      </w:r>
    </w:p>
    <w:p w:rsidR="00750EE9" w:rsidRPr="0068172A" w:rsidRDefault="00750EE9" w:rsidP="0068172A">
      <w:pPr>
        <w:spacing w:after="0" w:line="240" w:lineRule="auto"/>
        <w:jc w:val="both"/>
        <w:rPr>
          <w:rFonts w:ascii="Times New Roman" w:hAnsi="Times New Roman"/>
          <w:sz w:val="24"/>
          <w:szCs w:val="24"/>
        </w:rPr>
      </w:pP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both as cited in Reuter,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(2004), and </w:t>
      </w:r>
      <w:proofErr w:type="spellStart"/>
      <w:r w:rsidRPr="0068172A">
        <w:rPr>
          <w:rFonts w:ascii="Times New Roman" w:hAnsi="Times New Roman"/>
          <w:sz w:val="24"/>
          <w:szCs w:val="24"/>
        </w:rPr>
        <w:t>Postma</w:t>
      </w:r>
      <w:proofErr w:type="spellEnd"/>
      <w:r w:rsidRPr="0068172A">
        <w:rPr>
          <w:rFonts w:ascii="Times New Roman" w:hAnsi="Times New Roman"/>
          <w:sz w:val="24"/>
          <w:szCs w:val="24"/>
        </w:rPr>
        <w:t xml:space="preserve"> (2004) include specific consequences of the drug problem [14, 17]. </w:t>
      </w:r>
      <w:proofErr w:type="spellStart"/>
      <w:r w:rsidRPr="0068172A">
        <w:rPr>
          <w:rFonts w:ascii="Times New Roman" w:hAnsi="Times New Roman"/>
          <w:sz w:val="24"/>
          <w:szCs w:val="24"/>
        </w:rPr>
        <w:t>Postma</w:t>
      </w:r>
      <w:proofErr w:type="spellEnd"/>
      <w:r w:rsidRPr="0068172A">
        <w:rPr>
          <w:rFonts w:ascii="Times New Roman" w:hAnsi="Times New Roman"/>
          <w:sz w:val="24"/>
          <w:szCs w:val="24"/>
        </w:rPr>
        <w:t xml:space="preserve"> includes the cost of illness for drug-related diseases (such as infections, heart disease, retroviruses and mental disorders) in his analysis.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In the studies of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(2004) and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(2004), expenditures relating to the consequences of the drug problem are limited to drug-related crime such as theft, robbery and traffic offences, and treatment [15, 19].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explicitly states that in addition to the estimation of “specific expenditures”, he also considers “a broader definition of  costs where expenditures not specifically defined as drug-related but nevertheless connected to the drug policy are taken into account (e.g. other criminality or morbidity among drug abusers)” [15, p. 330].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Obviously, comparisons between studies including external expenditures and studies not including external expenditures are meaningless if the studies of the former group do not clearly indicate the amount of such expenditure.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concept of external expenditure is not always presented in studies. Such studies may refer rather implicitly to extern al expenditure by stating that the various governmental agencies and the drug budget spent by public authorities are the key elements of public expenditure and that consequently, expenditure that goes beyond calculating the drug budget is excluded [10, 15, 17, 19].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In line with the definition of public expenditure, private expenditure is excluded from studies of public expenditure.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Private expenditure is the spending of individuals and private organizations, such as the expenditure of drug users and the expenditure of charity funds [3, 4, </w:t>
      </w:r>
      <w:proofErr w:type="gramStart"/>
      <w:r w:rsidRPr="0068172A">
        <w:rPr>
          <w:rFonts w:ascii="Times New Roman" w:hAnsi="Times New Roman"/>
          <w:sz w:val="24"/>
          <w:szCs w:val="24"/>
        </w:rPr>
        <w:t>19</w:t>
      </w:r>
      <w:proofErr w:type="gramEnd"/>
      <w:r w:rsidRPr="0068172A">
        <w:rPr>
          <w:rFonts w:ascii="Times New Roman" w:hAnsi="Times New Roman"/>
          <w:sz w:val="24"/>
          <w:szCs w:val="24"/>
        </w:rPr>
        <w:t xml:space="preserv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In studies of public expenditure in Europe, public expenditure is partly defined by distinguishing public expenditure analysis from social cost analysis.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Public expenditure is one element of the social cost of the drug problem. The sum of public expenditure, private expenditure and external expenditure constitute the total social cost of drugs in society (see next table) [3, 4, 7, 8, 9, 12, </w:t>
      </w:r>
      <w:proofErr w:type="gramStart"/>
      <w:r w:rsidRPr="0068172A">
        <w:rPr>
          <w:rFonts w:ascii="Times New Roman" w:hAnsi="Times New Roman"/>
          <w:sz w:val="24"/>
          <w:szCs w:val="24"/>
        </w:rPr>
        <w:t>8</w:t>
      </w:r>
      <w:proofErr w:type="gramEnd"/>
      <w:r w:rsidRPr="0068172A">
        <w:rPr>
          <w:rFonts w:ascii="Times New Roman" w:hAnsi="Times New Roman"/>
          <w:sz w:val="24"/>
          <w:szCs w:val="24"/>
        </w:rPr>
        <w:t>].</w:t>
      </w:r>
    </w:p>
    <w:p w:rsidR="0068172A" w:rsidRDefault="0068172A" w:rsidP="0068172A">
      <w:pPr>
        <w:autoSpaceDE w:val="0"/>
        <w:autoSpaceDN w:val="0"/>
        <w:adjustRightInd w:val="0"/>
        <w:spacing w:after="0" w:line="240" w:lineRule="auto"/>
        <w:jc w:val="center"/>
        <w:rPr>
          <w:rFonts w:ascii="Times New Roman" w:hAnsi="Times New Roman"/>
          <w:i/>
        </w:rPr>
      </w:pPr>
    </w:p>
    <w:p w:rsidR="00750EE9" w:rsidRPr="0068172A" w:rsidRDefault="0068172A" w:rsidP="0068172A">
      <w:pPr>
        <w:autoSpaceDE w:val="0"/>
        <w:autoSpaceDN w:val="0"/>
        <w:adjustRightInd w:val="0"/>
        <w:spacing w:after="0" w:line="240" w:lineRule="auto"/>
        <w:rPr>
          <w:rFonts w:ascii="Times New Roman" w:hAnsi="Times New Roman"/>
          <w:bCs/>
          <w:i/>
        </w:rPr>
      </w:pPr>
      <w:proofErr w:type="gramStart"/>
      <w:r w:rsidRPr="0068172A">
        <w:rPr>
          <w:rFonts w:ascii="Times New Roman" w:hAnsi="Times New Roman"/>
          <w:i/>
        </w:rPr>
        <w:t>Table 3.</w:t>
      </w:r>
      <w:proofErr w:type="gramEnd"/>
      <w:r w:rsidRPr="0068172A">
        <w:rPr>
          <w:rFonts w:ascii="Times New Roman" w:hAnsi="Times New Roman"/>
          <w:i/>
        </w:rPr>
        <w:t xml:space="preserve"> </w:t>
      </w:r>
      <w:r w:rsidR="00750EE9" w:rsidRPr="0068172A">
        <w:rPr>
          <w:rFonts w:ascii="Times New Roman" w:hAnsi="Times New Roman"/>
          <w:bCs/>
          <w:i/>
        </w:rPr>
        <w:t>Concept of public expenditure</w:t>
      </w:r>
    </w:p>
    <w:p w:rsidR="00750EE9" w:rsidRPr="0068172A" w:rsidRDefault="00750EE9" w:rsidP="0068172A">
      <w:pPr>
        <w:autoSpaceDE w:val="0"/>
        <w:autoSpaceDN w:val="0"/>
        <w:adjustRightInd w:val="0"/>
        <w:spacing w:after="0" w:line="240" w:lineRule="auto"/>
        <w:rPr>
          <w:rFonts w:ascii="Times New Roman" w:hAnsi="Times New Roman"/>
          <w:b/>
          <w:bCs/>
          <w:sz w:val="24"/>
          <w:szCs w:val="24"/>
        </w:rPr>
      </w:pPr>
    </w:p>
    <w:tbl>
      <w:tblPr>
        <w:tblStyle w:val="Reetkatablice"/>
        <w:tblW w:w="9639" w:type="dxa"/>
        <w:tblInd w:w="108" w:type="dxa"/>
        <w:tblLayout w:type="fixed"/>
        <w:tblLook w:val="01E0"/>
      </w:tblPr>
      <w:tblGrid>
        <w:gridCol w:w="3089"/>
        <w:gridCol w:w="2986"/>
        <w:gridCol w:w="2196"/>
        <w:gridCol w:w="1368"/>
      </w:tblGrid>
      <w:tr w:rsidR="00750EE9" w:rsidRPr="0068172A" w:rsidTr="0068172A">
        <w:tc>
          <w:tcPr>
            <w:tcW w:w="3089" w:type="dxa"/>
            <w:shd w:val="clear" w:color="auto" w:fill="C00000"/>
          </w:tcPr>
          <w:p w:rsidR="00750EE9" w:rsidRPr="0068172A" w:rsidRDefault="00750EE9" w:rsidP="0068172A">
            <w:pPr>
              <w:autoSpaceDE w:val="0"/>
              <w:autoSpaceDN w:val="0"/>
              <w:adjustRightInd w:val="0"/>
              <w:jc w:val="center"/>
              <w:rPr>
                <w:rFonts w:ascii="Times New Roman" w:hAnsi="Times New Roman"/>
                <w:b/>
                <w:bCs/>
                <w:sz w:val="24"/>
                <w:szCs w:val="24"/>
              </w:rPr>
            </w:pPr>
            <w:r w:rsidRPr="0068172A">
              <w:rPr>
                <w:rFonts w:ascii="Times New Roman" w:hAnsi="Times New Roman"/>
                <w:b/>
                <w:i/>
                <w:iCs/>
                <w:sz w:val="24"/>
                <w:szCs w:val="24"/>
              </w:rPr>
              <w:t>Public expenditure</w:t>
            </w:r>
          </w:p>
        </w:tc>
        <w:tc>
          <w:tcPr>
            <w:tcW w:w="2986" w:type="dxa"/>
            <w:shd w:val="clear" w:color="auto" w:fill="C00000"/>
          </w:tcPr>
          <w:p w:rsidR="00750EE9" w:rsidRPr="0068172A" w:rsidRDefault="00750EE9" w:rsidP="0068172A">
            <w:pPr>
              <w:autoSpaceDE w:val="0"/>
              <w:autoSpaceDN w:val="0"/>
              <w:adjustRightInd w:val="0"/>
              <w:jc w:val="center"/>
              <w:rPr>
                <w:rFonts w:ascii="Times New Roman" w:hAnsi="Times New Roman"/>
                <w:b/>
                <w:bCs/>
                <w:sz w:val="24"/>
                <w:szCs w:val="24"/>
              </w:rPr>
            </w:pPr>
            <w:r w:rsidRPr="0068172A">
              <w:rPr>
                <w:rFonts w:ascii="Times New Roman" w:hAnsi="Times New Roman"/>
                <w:b/>
                <w:i/>
                <w:iCs/>
                <w:sz w:val="24"/>
                <w:szCs w:val="24"/>
              </w:rPr>
              <w:t>Private expenditure</w:t>
            </w:r>
          </w:p>
        </w:tc>
        <w:tc>
          <w:tcPr>
            <w:tcW w:w="2196" w:type="dxa"/>
            <w:shd w:val="clear" w:color="auto" w:fill="C00000"/>
          </w:tcPr>
          <w:p w:rsidR="00750EE9" w:rsidRPr="0068172A" w:rsidRDefault="00750EE9" w:rsidP="0068172A">
            <w:pPr>
              <w:autoSpaceDE w:val="0"/>
              <w:autoSpaceDN w:val="0"/>
              <w:adjustRightInd w:val="0"/>
              <w:jc w:val="center"/>
              <w:rPr>
                <w:rFonts w:ascii="Times New Roman" w:hAnsi="Times New Roman"/>
                <w:b/>
                <w:bCs/>
                <w:sz w:val="24"/>
                <w:szCs w:val="24"/>
              </w:rPr>
            </w:pPr>
            <w:r w:rsidRPr="0068172A">
              <w:rPr>
                <w:rFonts w:ascii="Times New Roman" w:hAnsi="Times New Roman"/>
                <w:b/>
                <w:i/>
                <w:iCs/>
                <w:sz w:val="24"/>
                <w:szCs w:val="24"/>
              </w:rPr>
              <w:t>External expenditure</w:t>
            </w:r>
          </w:p>
        </w:tc>
        <w:tc>
          <w:tcPr>
            <w:tcW w:w="1368" w:type="dxa"/>
            <w:shd w:val="clear" w:color="auto" w:fill="C00000"/>
          </w:tcPr>
          <w:p w:rsidR="00750EE9" w:rsidRPr="0068172A" w:rsidRDefault="00750EE9" w:rsidP="0068172A">
            <w:pPr>
              <w:autoSpaceDE w:val="0"/>
              <w:autoSpaceDN w:val="0"/>
              <w:adjustRightInd w:val="0"/>
              <w:jc w:val="center"/>
              <w:rPr>
                <w:rFonts w:ascii="Times New Roman" w:hAnsi="Times New Roman"/>
                <w:b/>
                <w:i/>
                <w:iCs/>
                <w:sz w:val="24"/>
                <w:szCs w:val="24"/>
              </w:rPr>
            </w:pPr>
            <w:r w:rsidRPr="0068172A">
              <w:rPr>
                <w:rFonts w:ascii="Times New Roman" w:hAnsi="Times New Roman"/>
                <w:b/>
                <w:i/>
                <w:iCs/>
                <w:sz w:val="24"/>
                <w:szCs w:val="24"/>
              </w:rPr>
              <w:t>Social cost</w:t>
            </w:r>
          </w:p>
          <w:p w:rsidR="00750EE9" w:rsidRPr="0068172A" w:rsidRDefault="00750EE9" w:rsidP="0068172A">
            <w:pPr>
              <w:autoSpaceDE w:val="0"/>
              <w:autoSpaceDN w:val="0"/>
              <w:adjustRightInd w:val="0"/>
              <w:jc w:val="center"/>
              <w:rPr>
                <w:rFonts w:ascii="Times New Roman" w:hAnsi="Times New Roman"/>
                <w:b/>
                <w:bCs/>
                <w:sz w:val="24"/>
                <w:szCs w:val="24"/>
              </w:rPr>
            </w:pPr>
          </w:p>
        </w:tc>
      </w:tr>
      <w:tr w:rsidR="00750EE9" w:rsidRPr="0068172A" w:rsidTr="0068172A">
        <w:tc>
          <w:tcPr>
            <w:tcW w:w="3089" w:type="dxa"/>
          </w:tcPr>
          <w:p w:rsidR="00750EE9" w:rsidRPr="0068172A" w:rsidRDefault="00750EE9" w:rsidP="0068172A">
            <w:pPr>
              <w:autoSpaceDE w:val="0"/>
              <w:autoSpaceDN w:val="0"/>
              <w:adjustRightInd w:val="0"/>
              <w:jc w:val="both"/>
              <w:rPr>
                <w:rFonts w:ascii="Times New Roman" w:hAnsi="Times New Roman"/>
                <w:sz w:val="24"/>
                <w:szCs w:val="24"/>
              </w:rPr>
            </w:pPr>
            <w:r w:rsidRPr="0068172A">
              <w:rPr>
                <w:rFonts w:ascii="Times New Roman" w:hAnsi="Times New Roman"/>
                <w:sz w:val="24"/>
                <w:szCs w:val="24"/>
              </w:rPr>
              <w:t>Direct expenditure by public authorities on street-corner work, prevention work, drug treatment, guidance for drug users, reintegration  programmes</w:t>
            </w:r>
          </w:p>
          <w:p w:rsidR="00750EE9" w:rsidRPr="0068172A" w:rsidRDefault="00750EE9" w:rsidP="0068172A">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(employment) for (former) drug users, expenditure for personnel such as police officers working in drug investigation units, customs officers specialized in detecting drug trafficking and </w:t>
            </w:r>
            <w:r w:rsidRPr="0068172A">
              <w:rPr>
                <w:rFonts w:ascii="Times New Roman" w:hAnsi="Times New Roman"/>
                <w:sz w:val="24"/>
                <w:szCs w:val="24"/>
              </w:rPr>
              <w:lastRenderedPageBreak/>
              <w:t>magistrates dealing with drug cases, expenditure for drug coordinators, expenditure on research,</w:t>
            </w:r>
          </w:p>
          <w:p w:rsidR="00750EE9" w:rsidRPr="0068172A" w:rsidRDefault="00750EE9" w:rsidP="0068172A">
            <w:pPr>
              <w:autoSpaceDE w:val="0"/>
              <w:autoSpaceDN w:val="0"/>
              <w:adjustRightInd w:val="0"/>
              <w:jc w:val="both"/>
              <w:rPr>
                <w:rFonts w:ascii="Times New Roman" w:hAnsi="Times New Roman"/>
                <w:sz w:val="24"/>
                <w:szCs w:val="24"/>
              </w:rPr>
            </w:pPr>
            <w:proofErr w:type="gramStart"/>
            <w:r w:rsidRPr="0068172A">
              <w:rPr>
                <w:rFonts w:ascii="Times New Roman" w:hAnsi="Times New Roman"/>
                <w:sz w:val="24"/>
                <w:szCs w:val="24"/>
              </w:rPr>
              <w:t>annual</w:t>
            </w:r>
            <w:proofErr w:type="gramEnd"/>
            <w:r w:rsidRPr="0068172A">
              <w:rPr>
                <w:rFonts w:ascii="Times New Roman" w:hAnsi="Times New Roman"/>
                <w:sz w:val="24"/>
                <w:szCs w:val="24"/>
              </w:rPr>
              <w:t xml:space="preserve"> financial contributions to the Pompidou Group of the Council of Europe .</w:t>
            </w:r>
          </w:p>
          <w:p w:rsidR="00750EE9" w:rsidRPr="0068172A" w:rsidRDefault="00750EE9" w:rsidP="0068172A">
            <w:pPr>
              <w:autoSpaceDE w:val="0"/>
              <w:autoSpaceDN w:val="0"/>
              <w:adjustRightInd w:val="0"/>
              <w:rPr>
                <w:rFonts w:ascii="Times New Roman" w:hAnsi="Times New Roman"/>
                <w:b/>
                <w:bCs/>
                <w:sz w:val="24"/>
                <w:szCs w:val="24"/>
              </w:rPr>
            </w:pPr>
          </w:p>
        </w:tc>
        <w:tc>
          <w:tcPr>
            <w:tcW w:w="2986" w:type="dxa"/>
          </w:tcPr>
          <w:p w:rsidR="00750EE9" w:rsidRPr="0068172A" w:rsidRDefault="00750EE9" w:rsidP="0068172A">
            <w:pPr>
              <w:autoSpaceDE w:val="0"/>
              <w:autoSpaceDN w:val="0"/>
              <w:adjustRightInd w:val="0"/>
              <w:jc w:val="both"/>
              <w:rPr>
                <w:rFonts w:ascii="Times New Roman" w:hAnsi="Times New Roman"/>
                <w:b/>
                <w:bCs/>
                <w:sz w:val="24"/>
                <w:szCs w:val="24"/>
              </w:rPr>
            </w:pPr>
            <w:r w:rsidRPr="0068172A">
              <w:rPr>
                <w:rFonts w:ascii="Times New Roman" w:hAnsi="Times New Roman"/>
                <w:sz w:val="24"/>
                <w:szCs w:val="24"/>
              </w:rPr>
              <w:lastRenderedPageBreak/>
              <w:t xml:space="preserve">Expenditure of individuals and private organizations, e.g. expenditure of drug users, expenditure by private organizations not subsidized by public authorities and expenditure of charity </w:t>
            </w:r>
          </w:p>
        </w:tc>
        <w:tc>
          <w:tcPr>
            <w:tcW w:w="2196" w:type="dxa"/>
          </w:tcPr>
          <w:p w:rsidR="00750EE9" w:rsidRPr="0068172A" w:rsidRDefault="00750EE9" w:rsidP="0068172A">
            <w:pPr>
              <w:autoSpaceDE w:val="0"/>
              <w:autoSpaceDN w:val="0"/>
              <w:adjustRightInd w:val="0"/>
              <w:rPr>
                <w:rFonts w:ascii="Times New Roman" w:hAnsi="Times New Roman"/>
                <w:sz w:val="24"/>
                <w:szCs w:val="24"/>
              </w:rPr>
            </w:pPr>
            <w:r w:rsidRPr="0068172A">
              <w:rPr>
                <w:rFonts w:ascii="Times New Roman" w:hAnsi="Times New Roman"/>
                <w:sz w:val="24"/>
                <w:szCs w:val="24"/>
              </w:rPr>
              <w:t xml:space="preserve">Expenditure related to the consequences of drug use, e.g.  expenditure on drug-related nuisance, </w:t>
            </w:r>
          </w:p>
          <w:p w:rsidR="00750EE9" w:rsidRPr="0068172A" w:rsidRDefault="00750EE9" w:rsidP="0068172A">
            <w:pPr>
              <w:autoSpaceDE w:val="0"/>
              <w:autoSpaceDN w:val="0"/>
              <w:adjustRightInd w:val="0"/>
              <w:rPr>
                <w:rFonts w:ascii="Times New Roman" w:hAnsi="Times New Roman"/>
                <w:sz w:val="24"/>
                <w:szCs w:val="24"/>
              </w:rPr>
            </w:pPr>
            <w:r w:rsidRPr="0068172A">
              <w:rPr>
                <w:rFonts w:ascii="Times New Roman" w:hAnsi="Times New Roman"/>
                <w:sz w:val="24"/>
                <w:szCs w:val="24"/>
              </w:rPr>
              <w:t>drug-related crime such as theft, robbery, traffic offences committed by</w:t>
            </w:r>
          </w:p>
          <w:p w:rsidR="00750EE9" w:rsidRPr="0068172A" w:rsidRDefault="00750EE9" w:rsidP="0068172A">
            <w:pPr>
              <w:autoSpaceDE w:val="0"/>
              <w:autoSpaceDN w:val="0"/>
              <w:adjustRightInd w:val="0"/>
              <w:rPr>
                <w:rFonts w:ascii="Times New Roman" w:hAnsi="Times New Roman"/>
                <w:sz w:val="24"/>
                <w:szCs w:val="24"/>
              </w:rPr>
            </w:pPr>
            <w:r w:rsidRPr="0068172A">
              <w:rPr>
                <w:rFonts w:ascii="Times New Roman" w:hAnsi="Times New Roman"/>
                <w:sz w:val="24"/>
                <w:szCs w:val="24"/>
              </w:rPr>
              <w:t xml:space="preserve">drug users, expenditure on the </w:t>
            </w:r>
            <w:r w:rsidRPr="0068172A">
              <w:rPr>
                <w:rFonts w:ascii="Times New Roman" w:hAnsi="Times New Roman"/>
                <w:sz w:val="24"/>
                <w:szCs w:val="24"/>
              </w:rPr>
              <w:lastRenderedPageBreak/>
              <w:t xml:space="preserve">treatment of infections due to </w:t>
            </w:r>
          </w:p>
          <w:p w:rsidR="00750EE9" w:rsidRPr="0068172A" w:rsidRDefault="00750EE9" w:rsidP="0068172A">
            <w:pPr>
              <w:autoSpaceDE w:val="0"/>
              <w:autoSpaceDN w:val="0"/>
              <w:adjustRightInd w:val="0"/>
              <w:rPr>
                <w:rFonts w:ascii="Times New Roman" w:hAnsi="Times New Roman"/>
                <w:sz w:val="24"/>
                <w:szCs w:val="24"/>
              </w:rPr>
            </w:pPr>
            <w:r w:rsidRPr="0068172A">
              <w:rPr>
                <w:rFonts w:ascii="Times New Roman" w:hAnsi="Times New Roman"/>
                <w:sz w:val="24"/>
                <w:szCs w:val="24"/>
              </w:rPr>
              <w:t>contaminated needles, treatment of illness contracted through drug use, such as AIDS and hepatitis, expenditure due to loss of productivity, absenteeism in the</w:t>
            </w:r>
          </w:p>
          <w:p w:rsidR="00750EE9" w:rsidRPr="0068172A" w:rsidRDefault="00750EE9" w:rsidP="0068172A">
            <w:pPr>
              <w:autoSpaceDE w:val="0"/>
              <w:autoSpaceDN w:val="0"/>
              <w:adjustRightInd w:val="0"/>
              <w:rPr>
                <w:rFonts w:ascii="Times New Roman" w:hAnsi="Times New Roman"/>
                <w:sz w:val="24"/>
                <w:szCs w:val="24"/>
              </w:rPr>
            </w:pPr>
            <w:proofErr w:type="gramStart"/>
            <w:r w:rsidRPr="0068172A">
              <w:rPr>
                <w:rFonts w:ascii="Times New Roman" w:hAnsi="Times New Roman"/>
                <w:sz w:val="24"/>
                <w:szCs w:val="24"/>
              </w:rPr>
              <w:t>workplace</w:t>
            </w:r>
            <w:proofErr w:type="gramEnd"/>
            <w:r w:rsidRPr="0068172A">
              <w:rPr>
                <w:rFonts w:ascii="Times New Roman" w:hAnsi="Times New Roman"/>
                <w:sz w:val="24"/>
                <w:szCs w:val="24"/>
              </w:rPr>
              <w:t>.</w:t>
            </w:r>
          </w:p>
          <w:p w:rsidR="00750EE9" w:rsidRPr="0068172A" w:rsidRDefault="00750EE9" w:rsidP="0068172A">
            <w:pPr>
              <w:autoSpaceDE w:val="0"/>
              <w:autoSpaceDN w:val="0"/>
              <w:adjustRightInd w:val="0"/>
              <w:rPr>
                <w:rFonts w:ascii="Times New Roman" w:hAnsi="Times New Roman"/>
                <w:b/>
                <w:bCs/>
                <w:sz w:val="24"/>
                <w:szCs w:val="24"/>
              </w:rPr>
            </w:pPr>
          </w:p>
        </w:tc>
        <w:tc>
          <w:tcPr>
            <w:tcW w:w="1368" w:type="dxa"/>
          </w:tcPr>
          <w:p w:rsidR="00750EE9" w:rsidRPr="0068172A" w:rsidRDefault="00750EE9" w:rsidP="0068172A">
            <w:pPr>
              <w:autoSpaceDE w:val="0"/>
              <w:autoSpaceDN w:val="0"/>
              <w:adjustRightInd w:val="0"/>
              <w:jc w:val="both"/>
              <w:rPr>
                <w:rFonts w:ascii="Times New Roman" w:hAnsi="Times New Roman"/>
                <w:sz w:val="24"/>
                <w:szCs w:val="24"/>
              </w:rPr>
            </w:pPr>
            <w:r w:rsidRPr="0068172A">
              <w:rPr>
                <w:rFonts w:ascii="Times New Roman" w:hAnsi="Times New Roman"/>
                <w:sz w:val="24"/>
                <w:szCs w:val="24"/>
              </w:rPr>
              <w:lastRenderedPageBreak/>
              <w:t>Total expenditure on the drug</w:t>
            </w:r>
          </w:p>
          <w:p w:rsidR="00750EE9" w:rsidRPr="0068172A" w:rsidRDefault="00750EE9" w:rsidP="0068172A">
            <w:pPr>
              <w:jc w:val="both"/>
              <w:rPr>
                <w:rFonts w:ascii="Times New Roman" w:hAnsi="Times New Roman"/>
                <w:sz w:val="24"/>
                <w:szCs w:val="24"/>
              </w:rPr>
            </w:pPr>
            <w:r w:rsidRPr="0068172A">
              <w:rPr>
                <w:rFonts w:ascii="Times New Roman" w:hAnsi="Times New Roman"/>
                <w:sz w:val="24"/>
                <w:szCs w:val="24"/>
              </w:rPr>
              <w:t>problem at the expense of the community</w:t>
            </w:r>
          </w:p>
          <w:p w:rsidR="00750EE9" w:rsidRPr="0068172A" w:rsidRDefault="00750EE9" w:rsidP="0068172A">
            <w:pPr>
              <w:jc w:val="both"/>
              <w:rPr>
                <w:rFonts w:ascii="Times New Roman" w:hAnsi="Times New Roman"/>
                <w:sz w:val="24"/>
                <w:szCs w:val="24"/>
              </w:rPr>
            </w:pPr>
          </w:p>
          <w:p w:rsidR="00750EE9" w:rsidRPr="0068172A" w:rsidRDefault="00750EE9" w:rsidP="0068172A">
            <w:pPr>
              <w:autoSpaceDE w:val="0"/>
              <w:autoSpaceDN w:val="0"/>
              <w:adjustRightInd w:val="0"/>
              <w:jc w:val="both"/>
              <w:rPr>
                <w:rFonts w:ascii="Times New Roman" w:hAnsi="Times New Roman"/>
                <w:b/>
                <w:bCs/>
                <w:sz w:val="24"/>
                <w:szCs w:val="24"/>
              </w:rPr>
            </w:pPr>
          </w:p>
        </w:tc>
      </w:tr>
    </w:tbl>
    <w:p w:rsidR="00750EE9" w:rsidRPr="0068172A" w:rsidRDefault="00750EE9" w:rsidP="0068172A">
      <w:pPr>
        <w:autoSpaceDE w:val="0"/>
        <w:autoSpaceDN w:val="0"/>
        <w:adjustRightInd w:val="0"/>
        <w:spacing w:after="0" w:line="240" w:lineRule="auto"/>
        <w:rPr>
          <w:rFonts w:ascii="Times New Roman" w:hAnsi="Times New Roman"/>
          <w:sz w:val="24"/>
          <w:szCs w:val="24"/>
        </w:rPr>
      </w:pPr>
      <w:r w:rsidRPr="0068172A">
        <w:rPr>
          <w:rFonts w:ascii="Times New Roman" w:hAnsi="Times New Roman"/>
          <w:sz w:val="24"/>
          <w:szCs w:val="24"/>
        </w:rPr>
        <w:lastRenderedPageBreak/>
        <w:t xml:space="preserve">                                                                                                                                                                                                                                                                                            </w:t>
      </w:r>
    </w:p>
    <w:p w:rsidR="00750EE9" w:rsidRPr="0068172A" w:rsidRDefault="00750EE9" w:rsidP="0068172A">
      <w:pPr>
        <w:autoSpaceDE w:val="0"/>
        <w:autoSpaceDN w:val="0"/>
        <w:adjustRightInd w:val="0"/>
        <w:spacing w:after="0" w:line="240" w:lineRule="auto"/>
        <w:jc w:val="both"/>
        <w:rPr>
          <w:rFonts w:ascii="Times New Roman" w:hAnsi="Times New Roman"/>
          <w:color w:val="000000"/>
          <w:sz w:val="24"/>
          <w:szCs w:val="24"/>
        </w:rPr>
      </w:pPr>
      <w:r w:rsidRPr="0068172A">
        <w:rPr>
          <w:rFonts w:ascii="Times New Roman" w:hAnsi="Times New Roman"/>
          <w:color w:val="000000"/>
          <w:sz w:val="24"/>
          <w:szCs w:val="24"/>
        </w:rPr>
        <w:t>It is important to obtain estimates of the costs of problems stemming from drug use and responses; in order to make informed decisions when allocating scarce resources, policymakers must have a sound understanding of the relative costs of drug-related interventions. Other things being equal, the lower the cost, the more cost-effective a programme or intervention will be, or the higher the net economic benefits it will generate. The costs included in a given study are mainly defined by the study’s perspective, the availability of information, and the relative magnitude of the cost components.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In the last few decades, due to very high and increasing public expenditures, governments in many countries have been under pressure to reduce spending and implement budgetary reforms aimed at a performance measurement and a budgetary output and outcome evaluation.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In 1999, the European Union Action Plan to Combat Drugs (2000-2004) stressed that the evaluation of a drug policy needs to be an integral part of the European Union approach to fighting illicit drugs.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first step in the evaluation process is to measure drug-related expenditures. There is no unique methodology for measuring drug-related expenditures.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Vander </w:t>
      </w:r>
      <w:proofErr w:type="spellStart"/>
      <w:r w:rsidRPr="0068172A">
        <w:rPr>
          <w:rFonts w:ascii="Times New Roman" w:hAnsi="Times New Roman"/>
          <w:sz w:val="24"/>
          <w:szCs w:val="24"/>
        </w:rPr>
        <w:t>Laenen</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Vandam</w:t>
      </w:r>
      <w:proofErr w:type="spellEnd"/>
      <w:r w:rsidRPr="0068172A">
        <w:rPr>
          <w:rFonts w:ascii="Times New Roman" w:hAnsi="Times New Roman"/>
          <w:sz w:val="24"/>
          <w:szCs w:val="24"/>
        </w:rPr>
        <w:t xml:space="preserve">,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Lievens</w:t>
      </w:r>
      <w:proofErr w:type="spellEnd"/>
      <w:r w:rsidRPr="0068172A">
        <w:rPr>
          <w:rFonts w:ascii="Times New Roman" w:hAnsi="Times New Roman"/>
          <w:sz w:val="24"/>
          <w:szCs w:val="24"/>
        </w:rPr>
        <w:t xml:space="preserve"> (2011) in a review of the research studies until 2010 about drug-related expenditures in Europe identified only ten papers dealing with this topic, with the first European study published in 2002. In that study </w:t>
      </w:r>
      <w:proofErr w:type="spellStart"/>
      <w:r w:rsidRPr="0068172A">
        <w:rPr>
          <w:rFonts w:ascii="Times New Roman" w:hAnsi="Times New Roman"/>
          <w:sz w:val="24"/>
          <w:szCs w:val="24"/>
        </w:rPr>
        <w:t>Origer</w:t>
      </w:r>
      <w:proofErr w:type="spellEnd"/>
      <w:r w:rsidRPr="0068172A">
        <w:rPr>
          <w:rFonts w:ascii="Times New Roman" w:hAnsi="Times New Roman"/>
          <w:sz w:val="24"/>
          <w:szCs w:val="24"/>
        </w:rPr>
        <w:t xml:space="preserve"> analysed drug-related expenditures in Luxembourg and concluded that over a half of the expenditures was used for demand and harm reduction.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Kopp and </w:t>
      </w:r>
      <w:proofErr w:type="spellStart"/>
      <w:r w:rsidRPr="0068172A">
        <w:rPr>
          <w:rFonts w:ascii="Times New Roman" w:hAnsi="Times New Roman"/>
          <w:sz w:val="24"/>
          <w:szCs w:val="24"/>
        </w:rPr>
        <w:t>Fenoglio</w:t>
      </w:r>
      <w:proofErr w:type="spellEnd"/>
      <w:r w:rsidRPr="0068172A">
        <w:rPr>
          <w:rFonts w:ascii="Times New Roman" w:hAnsi="Times New Roman"/>
          <w:sz w:val="24"/>
          <w:szCs w:val="24"/>
        </w:rPr>
        <w:t xml:space="preserve"> (2003) tried to spread analysis to measure direct expenditures and indirect drug-related public expenditure in 16 European Union Member States. The available literature highlights the existing problem of performing comparative analysis due to differing coverage and/or methodologies in different countries.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Reuter,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(2004) tried to measure public expenditures related to the implementation of drug policy in the Netherlands and Sweden, but concluded that the precision of current expenditures estimates is very low and that the comparison of results lacks credibility. In most of the literature, drug-related public expenditures are divided into four categories: prevention, treatment, harm reduction and law enforcement (for example, </w:t>
      </w:r>
      <w:proofErr w:type="spellStart"/>
      <w:r w:rsidRPr="0068172A">
        <w:rPr>
          <w:rFonts w:ascii="Times New Roman" w:hAnsi="Times New Roman"/>
          <w:sz w:val="24"/>
          <w:szCs w:val="24"/>
        </w:rPr>
        <w:t>Ramsted</w:t>
      </w:r>
      <w:proofErr w:type="spellEnd"/>
      <w:r w:rsidRPr="0068172A">
        <w:rPr>
          <w:rFonts w:ascii="Times New Roman" w:hAnsi="Times New Roman"/>
          <w:sz w:val="24"/>
          <w:szCs w:val="24"/>
        </w:rPr>
        <w:t xml:space="preserve"> (2006) in Sweden;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(2006) in the Netherlands; BICEPS (2010) in Latvia; </w:t>
      </w:r>
      <w:proofErr w:type="spellStart"/>
      <w:r w:rsidRPr="0068172A">
        <w:rPr>
          <w:rFonts w:ascii="Times New Roman" w:hAnsi="Times New Roman"/>
          <w:sz w:val="24"/>
          <w:szCs w:val="24"/>
        </w:rPr>
        <w:t>Lievens</w:t>
      </w:r>
      <w:proofErr w:type="spellEnd"/>
      <w:r w:rsidRPr="0068172A">
        <w:rPr>
          <w:rFonts w:ascii="Times New Roman" w:hAnsi="Times New Roman"/>
          <w:sz w:val="24"/>
          <w:szCs w:val="24"/>
        </w:rPr>
        <w:t xml:space="preserve">, Vander </w:t>
      </w:r>
      <w:proofErr w:type="spellStart"/>
      <w:r w:rsidRPr="0068172A">
        <w:rPr>
          <w:rFonts w:ascii="Times New Roman" w:hAnsi="Times New Roman"/>
          <w:sz w:val="24"/>
          <w:szCs w:val="24"/>
        </w:rPr>
        <w:t>Laenen</w:t>
      </w:r>
      <w:proofErr w:type="gramStart"/>
      <w:r w:rsidRPr="0068172A">
        <w:rPr>
          <w:rFonts w:ascii="Times New Roman" w:hAnsi="Times New Roman"/>
          <w:sz w:val="24"/>
          <w:szCs w:val="24"/>
        </w:rPr>
        <w:t>,Caulkins</w:t>
      </w:r>
      <w:proofErr w:type="gramEnd"/>
      <w:r w:rsidRPr="0068172A">
        <w:rPr>
          <w:rFonts w:ascii="Times New Roman" w:hAnsi="Times New Roman"/>
          <w:sz w:val="24"/>
          <w:szCs w:val="24"/>
        </w:rPr>
        <w:t>,&amp;DeRuyver</w:t>
      </w:r>
      <w:proofErr w:type="spellEnd"/>
      <w:r w:rsidRPr="0068172A">
        <w:rPr>
          <w:rFonts w:ascii="Times New Roman" w:hAnsi="Times New Roman"/>
          <w:sz w:val="24"/>
          <w:szCs w:val="24"/>
        </w:rPr>
        <w:t xml:space="preserve"> (2012) in Belgium, among others).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long-term goal of any government is to deliver appropriate public services to ensure that taxpayers receive value for money.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An effective framework for planning, control and reporting of public spending is a crucial prerequisite for achieving this goal. The analysis of a state’s public expenditure provides </w:t>
      </w:r>
      <w:r w:rsidRPr="0068172A">
        <w:rPr>
          <w:rFonts w:ascii="Times New Roman" w:hAnsi="Times New Roman"/>
          <w:sz w:val="24"/>
          <w:szCs w:val="24"/>
        </w:rPr>
        <w:lastRenderedPageBreak/>
        <w:t xml:space="preserve">useful information on its government’s ability to spend money effectively and efficiently. To prepare an estimate of drug-related public expenditure from a government’s perspective is a different exercise from estimating the social costs of drugs — the social perspective.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Public expenditure only represents a portion of social </w:t>
      </w:r>
      <w:proofErr w:type="gramStart"/>
      <w:r w:rsidRPr="0068172A">
        <w:rPr>
          <w:rFonts w:ascii="Times New Roman" w:hAnsi="Times New Roman"/>
          <w:sz w:val="24"/>
          <w:szCs w:val="24"/>
        </w:rPr>
        <w:t>costs,</w:t>
      </w:r>
      <w:proofErr w:type="gramEnd"/>
      <w:r w:rsidRPr="0068172A">
        <w:rPr>
          <w:rFonts w:ascii="Times New Roman" w:hAnsi="Times New Roman"/>
          <w:sz w:val="24"/>
          <w:szCs w:val="24"/>
        </w:rPr>
        <w:t xml:space="preserve"> mainly in the form of direct costs (those for which payments are made, typically on the basis of using resources in different sectors). Indirect costs (involving a loss in resources: e.g. lost productivity costs due to drug-related morbidity and mortality) are explicitly excluded, as are costs inherent to private stakeholders (e.g. private health-insurance companies).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However, it is only labelled expenditures that can be divided into these categories. Thus the EMCDDA suggests the use of a system based on detailed classification of the government's functions. This research paper contributes by proposing a methodology of using a set of repartition keys for the estimation of expenditures divided in categories according to its purpose (according to COFOG). The application of this proposed methodology in different countries, by enabling the estimation of unlabelled drug-related expenditures in European Union countries, contributes to getting more comparable results among these countries.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Very few research studies manage to divide total drug-related expenditures by the COFOG classification. National focal points or national drug observatories, which are national institutions or agencies responsible for data collection and reporting on drugs and drug addiction in each EU member state, in some countries tried to classify at least part of the total drug-related expenditures according to COFOG for the EMCDDA reports.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Also, the national focal points have not been able to estimate all unlabelled expenditures and also categorise them according to COFOG classification because of the lack of data or indicators for calculation of the </w:t>
      </w:r>
      <w:proofErr w:type="gramStart"/>
      <w:r w:rsidRPr="0068172A">
        <w:rPr>
          <w:rFonts w:ascii="Times New Roman" w:hAnsi="Times New Roman"/>
          <w:sz w:val="24"/>
          <w:szCs w:val="24"/>
        </w:rPr>
        <w:t>attributable</w:t>
      </w:r>
      <w:proofErr w:type="gramEnd"/>
      <w:r w:rsidRPr="0068172A">
        <w:rPr>
          <w:rFonts w:ascii="Times New Roman" w:hAnsi="Times New Roman"/>
          <w:sz w:val="24"/>
          <w:szCs w:val="24"/>
        </w:rPr>
        <w:t xml:space="preserve"> proportion for each function. For all that, there are some examples of estimations. One is from </w:t>
      </w:r>
      <w:proofErr w:type="spellStart"/>
      <w:r w:rsidRPr="0068172A">
        <w:rPr>
          <w:rFonts w:ascii="Times New Roman" w:hAnsi="Times New Roman"/>
          <w:sz w:val="24"/>
          <w:szCs w:val="24"/>
        </w:rPr>
        <w:t>Origer</w:t>
      </w:r>
      <w:proofErr w:type="spellEnd"/>
      <w:r w:rsidRPr="0068172A">
        <w:rPr>
          <w:rFonts w:ascii="Times New Roman" w:hAnsi="Times New Roman"/>
          <w:sz w:val="24"/>
          <w:szCs w:val="24"/>
        </w:rPr>
        <w:t xml:space="preserve"> (2009), who measured drug-related expenditures for health and public order and safety in Luxembourg in 2008. In 4 2006, an EMCDDA report based on inputs from national focal points made a cross-country analysis of labelled expenditures and unlabelled expenditures for public order and safety and health expenditures for ten European countries. It found that labelled expenditures in European Union member states arise mainly from health (67 percent) and public order and safety expenditures (22 percent). On the contrary, estimated unlabelled expenditures in the analysed countries are </w:t>
      </w:r>
      <w:proofErr w:type="spellStart"/>
      <w:r w:rsidRPr="0068172A">
        <w:rPr>
          <w:rFonts w:ascii="Times New Roman" w:hAnsi="Times New Roman"/>
          <w:sz w:val="24"/>
          <w:szCs w:val="24"/>
        </w:rPr>
        <w:t>relatedmostly</w:t>
      </w:r>
      <w:proofErr w:type="spellEnd"/>
      <w:r w:rsidRPr="0068172A">
        <w:rPr>
          <w:rFonts w:ascii="Times New Roman" w:hAnsi="Times New Roman"/>
          <w:sz w:val="24"/>
          <w:szCs w:val="24"/>
        </w:rPr>
        <w:t xml:space="preserve"> to financing public order and safety (88 percent), and to a minor extent to health (12 percent).</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Researchers use different approaches to estimating drug-related expenditures. Also, theoretical and empirical studies systematise costs associated with drug addiction as public, private or external expenditures.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For drug policy purposes, an analysis of drug-related public expenditure might be of more relevance than estimating social costs, for an analysis of a government’s budget allocated to the drugs issue is a clear indicator of what policies a government is using to reduce drug use and related problems, acting as a first step to deciding whether the level and composition of those policies is adequate (Reuter, 2006). </w:t>
      </w:r>
    </w:p>
    <w:p w:rsidR="00750EE9" w:rsidRPr="0068172A" w:rsidRDefault="00750EE9" w:rsidP="0068172A">
      <w:pPr>
        <w:spacing w:after="0" w:line="240" w:lineRule="auto"/>
        <w:jc w:val="both"/>
        <w:rPr>
          <w:rFonts w:ascii="Times New Roman" w:hAnsi="Times New Roman"/>
          <w:i/>
          <w:sz w:val="24"/>
          <w:szCs w:val="24"/>
        </w:rPr>
      </w:pPr>
      <w:r w:rsidRPr="0068172A">
        <w:rPr>
          <w:rFonts w:ascii="Times New Roman" w:hAnsi="Times New Roman"/>
          <w:sz w:val="24"/>
          <w:szCs w:val="24"/>
        </w:rPr>
        <w:t xml:space="preserve">Nevertheless, in a recent report for the EMCDDA, Brice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et al. (2007) concluded that in drug-related literature there is no common definition for the terms ‘public expenditure’ and ‘social cost’: </w:t>
      </w:r>
      <w:r w:rsidRPr="0068172A">
        <w:rPr>
          <w:rFonts w:ascii="Times New Roman" w:hAnsi="Times New Roman"/>
          <w:i/>
          <w:sz w:val="24"/>
          <w:szCs w:val="24"/>
        </w:rPr>
        <w:t xml:space="preserve">On the basis of the review of public expenditure studies and social cost studies it becomes clear that there is no common understanding of the meaning of ‘public expenditure’ and ‘social cost’.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In fact, several concepts are used. Sometimes very different concepts are used interchangeably. Sometimes the same concept is used, yet with a meaning that differs from one study to another (Brice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et al., 2007)</w:t>
      </w:r>
    </w:p>
    <w:p w:rsidR="00750EE9" w:rsidRPr="0068172A" w:rsidRDefault="00750EE9" w:rsidP="0068172A">
      <w:pPr>
        <w:spacing w:after="0" w:line="240" w:lineRule="auto"/>
        <w:jc w:val="both"/>
        <w:rPr>
          <w:rFonts w:ascii="Times New Roman" w:hAnsi="Times New Roman"/>
          <w:color w:val="231F20"/>
          <w:sz w:val="24"/>
          <w:szCs w:val="24"/>
        </w:rPr>
      </w:pPr>
      <w:r w:rsidRPr="0068172A">
        <w:rPr>
          <w:rFonts w:ascii="Times New Roman" w:hAnsi="Times New Roman"/>
          <w:sz w:val="24"/>
          <w:szCs w:val="24"/>
        </w:rPr>
        <w:t>The present report therefore aims to provide a clearer definition of what public expenditure means in the field of illegal drugs.</w:t>
      </w:r>
      <w:r w:rsidRPr="0068172A">
        <w:rPr>
          <w:rFonts w:ascii="Times New Roman" w:hAnsi="Times New Roman"/>
          <w:color w:val="231F20"/>
          <w:sz w:val="24"/>
          <w:szCs w:val="24"/>
        </w:rPr>
        <w:t xml:space="preserve"> Also, the paper analyses expenditures according to the </w:t>
      </w:r>
      <w:r w:rsidRPr="0068172A">
        <w:rPr>
          <w:rFonts w:ascii="Times New Roman" w:hAnsi="Times New Roman"/>
          <w:color w:val="231F20"/>
          <w:sz w:val="24"/>
          <w:szCs w:val="24"/>
        </w:rPr>
        <w:lastRenderedPageBreak/>
        <w:t>functional classification so as to gain an insight into more detailed purposes for which these expenditures are intended.</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Also, this report is a valuable resource for all those who need a better understanding of the cost of drug control policies.</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aim of this report is to </w:t>
      </w:r>
      <w:proofErr w:type="spellStart"/>
      <w:r w:rsidRPr="0068172A">
        <w:rPr>
          <w:rFonts w:ascii="Times New Roman" w:hAnsi="Times New Roman"/>
          <w:sz w:val="24"/>
          <w:szCs w:val="24"/>
        </w:rPr>
        <w:t>reevaluate</w:t>
      </w:r>
      <w:proofErr w:type="spellEnd"/>
      <w:r w:rsidRPr="0068172A">
        <w:rPr>
          <w:rFonts w:ascii="Times New Roman" w:hAnsi="Times New Roman"/>
          <w:sz w:val="24"/>
          <w:szCs w:val="24"/>
        </w:rPr>
        <w:t xml:space="preserve"> the current approaches and to question the assumptions </w:t>
      </w:r>
      <w:proofErr w:type="spellStart"/>
      <w:r w:rsidRPr="0068172A">
        <w:rPr>
          <w:rFonts w:ascii="Times New Roman" w:hAnsi="Times New Roman"/>
          <w:sz w:val="24"/>
          <w:szCs w:val="24"/>
        </w:rPr>
        <w:t>underling</w:t>
      </w:r>
      <w:proofErr w:type="spellEnd"/>
      <w:r w:rsidRPr="0068172A">
        <w:rPr>
          <w:rFonts w:ascii="Times New Roman" w:hAnsi="Times New Roman"/>
          <w:sz w:val="24"/>
          <w:szCs w:val="24"/>
        </w:rPr>
        <w:t xml:space="preserve"> the current international drug control system. </w:t>
      </w:r>
    </w:p>
    <w:p w:rsidR="00750EE9" w:rsidRPr="0068172A" w:rsidRDefault="00750EE9" w:rsidP="0068172A">
      <w:pPr>
        <w:spacing w:after="0" w:line="240" w:lineRule="auto"/>
        <w:jc w:val="both"/>
        <w:rPr>
          <w:rFonts w:ascii="Times New Roman" w:hAnsi="Times New Roman"/>
          <w:sz w:val="24"/>
          <w:szCs w:val="24"/>
        </w:rPr>
      </w:pPr>
      <w:r w:rsidRPr="0068172A">
        <w:rPr>
          <w:rFonts w:ascii="Times New Roman" w:hAnsi="Times New Roman"/>
          <w:sz w:val="24"/>
          <w:szCs w:val="24"/>
        </w:rPr>
        <w:t xml:space="preserve">The war on drugs is a policy choice. It is time for all sectors involved to ask governments and UN to achieve </w:t>
      </w:r>
      <w:proofErr w:type="gramStart"/>
      <w:r w:rsidRPr="0068172A">
        <w:rPr>
          <w:rStyle w:val="hps"/>
          <w:rFonts w:ascii="Times New Roman" w:hAnsi="Times New Roman"/>
          <w:sz w:val="24"/>
          <w:szCs w:val="24"/>
        </w:rPr>
        <w:t>a true</w:t>
      </w:r>
      <w:r w:rsidRPr="0068172A">
        <w:rPr>
          <w:rStyle w:val="shorttext"/>
          <w:rFonts w:ascii="Times New Roman" w:hAnsi="Times New Roman"/>
          <w:sz w:val="24"/>
          <w:szCs w:val="24"/>
        </w:rPr>
        <w:t xml:space="preserve"> </w:t>
      </w:r>
      <w:r w:rsidRPr="0068172A">
        <w:rPr>
          <w:rStyle w:val="hps"/>
          <w:rFonts w:ascii="Times New Roman" w:hAnsi="Times New Roman"/>
          <w:sz w:val="24"/>
          <w:szCs w:val="24"/>
        </w:rPr>
        <w:t>costs</w:t>
      </w:r>
      <w:proofErr w:type="gramEnd"/>
      <w:r w:rsidRPr="0068172A">
        <w:rPr>
          <w:rStyle w:val="hps"/>
          <w:rFonts w:ascii="Times New Roman" w:hAnsi="Times New Roman"/>
          <w:sz w:val="24"/>
          <w:szCs w:val="24"/>
        </w:rPr>
        <w:t xml:space="preserve"> on drugs analysis</w:t>
      </w:r>
      <w:r w:rsidRPr="0068172A">
        <w:rPr>
          <w:rFonts w:ascii="Times New Roman" w:hAnsi="Times New Roman"/>
          <w:sz w:val="24"/>
          <w:szCs w:val="24"/>
        </w:rPr>
        <w:t xml:space="preserve"> and explore the alternatives (Introduction of “</w:t>
      </w:r>
      <w:r w:rsidRPr="0068172A">
        <w:rPr>
          <w:rFonts w:ascii="Times New Roman" w:hAnsi="Times New Roman"/>
          <w:i/>
          <w:sz w:val="24"/>
          <w:szCs w:val="24"/>
        </w:rPr>
        <w:t>Count the Cost briefing</w:t>
      </w:r>
      <w:r w:rsidRPr="0068172A">
        <w:rPr>
          <w:rFonts w:ascii="Times New Roman" w:hAnsi="Times New Roman"/>
          <w:sz w:val="24"/>
          <w:szCs w:val="24"/>
        </w:rPr>
        <w:t xml:space="preserve">”). </w:t>
      </w:r>
    </w:p>
    <w:p w:rsidR="0068172A" w:rsidRDefault="0068172A" w:rsidP="005E0564">
      <w:pPr>
        <w:spacing w:line="240" w:lineRule="auto"/>
        <w:jc w:val="both"/>
        <w:rPr>
          <w:rFonts w:ascii="Times New Roman" w:eastAsiaTheme="majorEastAsia" w:hAnsi="Times New Roman"/>
          <w:i/>
          <w:sz w:val="24"/>
          <w:szCs w:val="24"/>
          <w:u w:val="single"/>
        </w:rPr>
      </w:pPr>
    </w:p>
    <w:p w:rsidR="005E0564" w:rsidRDefault="005E0564" w:rsidP="005E0564">
      <w:pPr>
        <w:spacing w:line="240" w:lineRule="auto"/>
        <w:jc w:val="both"/>
        <w:rPr>
          <w:rFonts w:ascii="Times New Roman" w:eastAsiaTheme="majorEastAsia" w:hAnsi="Times New Roman"/>
          <w:i/>
          <w:sz w:val="24"/>
          <w:szCs w:val="24"/>
          <w:u w:val="single"/>
        </w:rPr>
      </w:pPr>
      <w:r w:rsidRPr="00610185">
        <w:rPr>
          <w:rFonts w:ascii="Times New Roman" w:eastAsiaTheme="majorEastAsia" w:hAnsi="Times New Roman"/>
          <w:i/>
          <w:sz w:val="24"/>
          <w:szCs w:val="24"/>
          <w:u w:val="single"/>
        </w:rPr>
        <w:t xml:space="preserve">Discussion </w:t>
      </w:r>
      <w:r>
        <w:rPr>
          <w:rFonts w:ascii="Times New Roman" w:eastAsiaTheme="majorEastAsia" w:hAnsi="Times New Roman"/>
          <w:i/>
          <w:sz w:val="24"/>
          <w:szCs w:val="24"/>
          <w:u w:val="single"/>
        </w:rPr>
        <w:t xml:space="preserve"> </w:t>
      </w:r>
    </w:p>
    <w:p w:rsidR="005E0564" w:rsidRDefault="005E0564" w:rsidP="005E0564">
      <w:pPr>
        <w:spacing w:line="240" w:lineRule="auto"/>
        <w:jc w:val="both"/>
        <w:rPr>
          <w:rFonts w:ascii="Times New Roman" w:eastAsiaTheme="majorEastAsia" w:hAnsi="Times New Roman"/>
          <w:i/>
          <w:sz w:val="24"/>
          <w:szCs w:val="24"/>
          <w:u w:val="single"/>
        </w:rPr>
      </w:pPr>
      <w:r w:rsidRPr="00610185">
        <w:rPr>
          <w:rFonts w:ascii="Times New Roman" w:eastAsiaTheme="majorEastAsia" w:hAnsi="Times New Roman"/>
          <w:i/>
          <w:sz w:val="24"/>
          <w:szCs w:val="24"/>
          <w:u w:val="single"/>
        </w:rPr>
        <w:t>Set of tools</w:t>
      </w: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68172A" w:rsidRDefault="0068172A" w:rsidP="00EF1CEE">
      <w:pPr>
        <w:spacing w:after="0" w:line="240" w:lineRule="auto"/>
        <w:jc w:val="both"/>
        <w:rPr>
          <w:rFonts w:ascii="Times New Roman" w:hAnsi="Times New Roman"/>
          <w:i/>
          <w:sz w:val="24"/>
          <w:szCs w:val="24"/>
          <w:u w:val="single"/>
        </w:rPr>
      </w:pPr>
    </w:p>
    <w:p w:rsidR="00EF1CEE" w:rsidRPr="003B41A4" w:rsidRDefault="00EF1CEE" w:rsidP="00EF1CEE">
      <w:pPr>
        <w:spacing w:after="0" w:line="240" w:lineRule="auto"/>
        <w:jc w:val="both"/>
        <w:rPr>
          <w:rFonts w:ascii="Times New Roman" w:hAnsi="Times New Roman"/>
          <w:i/>
          <w:sz w:val="24"/>
          <w:szCs w:val="24"/>
          <w:u w:val="single"/>
        </w:rPr>
      </w:pPr>
      <w:r w:rsidRPr="003B41A4">
        <w:rPr>
          <w:rFonts w:ascii="Times New Roman" w:hAnsi="Times New Roman"/>
          <w:i/>
          <w:sz w:val="24"/>
          <w:szCs w:val="24"/>
          <w:u w:val="single"/>
        </w:rPr>
        <w:lastRenderedPageBreak/>
        <w:t xml:space="preserve">Reference </w:t>
      </w:r>
      <w:r w:rsidR="00DB24D6">
        <w:rPr>
          <w:rFonts w:ascii="Times New Roman" w:hAnsi="Times New Roman"/>
          <w:i/>
          <w:sz w:val="24"/>
          <w:szCs w:val="24"/>
          <w:u w:val="single"/>
        </w:rPr>
        <w:t>(Sanja)</w:t>
      </w:r>
    </w:p>
    <w:p w:rsidR="00B54DCB" w:rsidRDefault="00B54DCB"/>
    <w:p w:rsidR="00FC4219" w:rsidRPr="003B41A4" w:rsidRDefault="00FC4219" w:rsidP="00FC4219">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Budak</w:t>
      </w:r>
      <w:proofErr w:type="spellEnd"/>
      <w:r w:rsidRPr="003B41A4">
        <w:rPr>
          <w:rFonts w:ascii="Times New Roman" w:hAnsi="Times New Roman"/>
          <w:sz w:val="24"/>
          <w:szCs w:val="24"/>
        </w:rPr>
        <w:t xml:space="preserve">, J., Jurlina </w:t>
      </w:r>
      <w:proofErr w:type="spellStart"/>
      <w:r w:rsidRPr="003B41A4">
        <w:rPr>
          <w:rFonts w:ascii="Times New Roman" w:hAnsi="Times New Roman"/>
          <w:sz w:val="24"/>
          <w:szCs w:val="24"/>
        </w:rPr>
        <w:t>Alibegović</w:t>
      </w:r>
      <w:proofErr w:type="spellEnd"/>
      <w:r w:rsidRPr="003B41A4">
        <w:rPr>
          <w:rFonts w:ascii="Times New Roman" w:hAnsi="Times New Roman"/>
          <w:sz w:val="24"/>
          <w:szCs w:val="24"/>
        </w:rPr>
        <w:t xml:space="preserve">, D., </w:t>
      </w:r>
      <w:proofErr w:type="spellStart"/>
      <w:r w:rsidRPr="003B41A4">
        <w:rPr>
          <w:rFonts w:ascii="Times New Roman" w:hAnsi="Times New Roman"/>
          <w:sz w:val="24"/>
          <w:szCs w:val="24"/>
        </w:rPr>
        <w:t>Slijepčević</w:t>
      </w:r>
      <w:proofErr w:type="spellEnd"/>
      <w:r w:rsidRPr="003B41A4">
        <w:rPr>
          <w:rFonts w:ascii="Times New Roman" w:hAnsi="Times New Roman"/>
          <w:sz w:val="24"/>
          <w:szCs w:val="24"/>
        </w:rPr>
        <w:t xml:space="preserve">, S., &amp; </w:t>
      </w:r>
      <w:proofErr w:type="spellStart"/>
      <w:r w:rsidRPr="003B41A4">
        <w:rPr>
          <w:rFonts w:ascii="Times New Roman" w:hAnsi="Times New Roman"/>
          <w:sz w:val="24"/>
          <w:szCs w:val="24"/>
        </w:rPr>
        <w:t>Švaljek</w:t>
      </w:r>
      <w:proofErr w:type="spellEnd"/>
      <w:r w:rsidRPr="003B41A4">
        <w:rPr>
          <w:rFonts w:ascii="Times New Roman" w:hAnsi="Times New Roman"/>
          <w:sz w:val="24"/>
          <w:szCs w:val="24"/>
        </w:rPr>
        <w:t>, S. (2013).</w:t>
      </w:r>
      <w:proofErr w:type="gramEnd"/>
      <w:r w:rsidRPr="003B41A4">
        <w:rPr>
          <w:rFonts w:ascii="Times New Roman" w:hAnsi="Times New Roman"/>
          <w:sz w:val="24"/>
          <w:szCs w:val="24"/>
        </w:rPr>
        <w:t xml:space="preserve"> </w:t>
      </w:r>
      <w:proofErr w:type="spellStart"/>
      <w:proofErr w:type="gramStart"/>
      <w:r w:rsidRPr="003B41A4">
        <w:rPr>
          <w:rFonts w:ascii="Times New Roman" w:hAnsi="Times New Roman"/>
          <w:sz w:val="24"/>
          <w:szCs w:val="24"/>
        </w:rPr>
        <w:t>Analiza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javnih</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rashoda</w:t>
      </w:r>
      <w:proofErr w:type="spellEnd"/>
      <w:r w:rsidRPr="003B41A4">
        <w:rPr>
          <w:rFonts w:ascii="Times New Roman" w:hAnsi="Times New Roman"/>
          <w:sz w:val="24"/>
          <w:szCs w:val="24"/>
        </w:rPr>
        <w:t xml:space="preserve"> za </w:t>
      </w:r>
      <w:proofErr w:type="spellStart"/>
      <w:r w:rsidRPr="003B41A4">
        <w:rPr>
          <w:rFonts w:ascii="Times New Roman" w:hAnsi="Times New Roman"/>
          <w:sz w:val="24"/>
          <w:szCs w:val="24"/>
        </w:rPr>
        <w:t>praćenje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ostvarivanja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ciljeva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području</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suzbijanja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zlouporabe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droga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Republici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Hrvatskoj</w:t>
      </w:r>
      <w:proofErr w:type="spellEnd"/>
      <w:r w:rsidRPr="003B41A4">
        <w:rPr>
          <w:rFonts w:ascii="Times New Roman" w:hAnsi="Times New Roman"/>
          <w:sz w:val="24"/>
          <w:szCs w:val="24"/>
        </w:rPr>
        <w:t xml:space="preserve"> [Analysis of public expenditure for monitoring achievement of the objectives in the field of combating drug abuse in the Republic of Croatia].</w:t>
      </w:r>
      <w:proofErr w:type="gramEnd"/>
      <w:r w:rsidRPr="003B41A4">
        <w:rPr>
          <w:rFonts w:ascii="Times New Roman" w:hAnsi="Times New Roman"/>
          <w:sz w:val="24"/>
          <w:szCs w:val="24"/>
        </w:rPr>
        <w:t xml:space="preserve"> Zagreb: </w:t>
      </w:r>
      <w:proofErr w:type="spellStart"/>
      <w:r w:rsidRPr="003B41A4">
        <w:rPr>
          <w:rFonts w:ascii="Times New Roman" w:hAnsi="Times New Roman"/>
          <w:sz w:val="24"/>
          <w:szCs w:val="24"/>
        </w:rPr>
        <w:t>Ekonomski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institut</w:t>
      </w:r>
      <w:proofErr w:type="spellEnd"/>
      <w:r w:rsidRPr="003B41A4">
        <w:rPr>
          <w:rFonts w:ascii="Times New Roman" w:hAnsi="Times New Roman"/>
          <w:sz w:val="24"/>
          <w:szCs w:val="24"/>
        </w:rPr>
        <w:t>, Zagreb</w:t>
      </w: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i</w:t>
      </w:r>
      <w:proofErr w:type="gramEnd"/>
      <w:r w:rsidRPr="003B41A4">
        <w:rPr>
          <w:rFonts w:ascii="Times New Roman" w:hAnsi="Times New Roman"/>
          <w:sz w:val="24"/>
          <w:szCs w:val="24"/>
        </w:rPr>
        <w:t xml:space="preserve"> Ured za </w:t>
      </w:r>
      <w:proofErr w:type="spellStart"/>
      <w:r w:rsidRPr="003B41A4">
        <w:rPr>
          <w:rFonts w:ascii="Times New Roman" w:hAnsi="Times New Roman"/>
          <w:sz w:val="24"/>
          <w:szCs w:val="24"/>
        </w:rPr>
        <w:t>suzbijanje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zlouporabe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droga</w:t>
      </w:r>
      <w:proofErr w:type="spellEnd"/>
      <w:r w:rsidRPr="003B41A4">
        <w:rPr>
          <w:rFonts w:ascii="Times New Roman" w:hAnsi="Times New Roman"/>
          <w:sz w:val="24"/>
          <w:szCs w:val="24"/>
        </w:rPr>
        <w:t xml:space="preserve"> Vlade Republike Hrvatske.</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De </w:t>
      </w:r>
      <w:proofErr w:type="spellStart"/>
      <w:r w:rsidRPr="003B41A4">
        <w:rPr>
          <w:rFonts w:ascii="Times New Roman" w:hAnsi="Times New Roman"/>
          <w:sz w:val="24"/>
          <w:szCs w:val="24"/>
        </w:rPr>
        <w:t>Ruyver</w:t>
      </w:r>
      <w:proofErr w:type="spellEnd"/>
      <w:r w:rsidRPr="003B41A4">
        <w:rPr>
          <w:rFonts w:ascii="Times New Roman" w:hAnsi="Times New Roman"/>
          <w:sz w:val="24"/>
          <w:szCs w:val="24"/>
        </w:rPr>
        <w:t xml:space="preserve">, B., </w:t>
      </w:r>
      <w:proofErr w:type="spellStart"/>
      <w:r w:rsidRPr="003B41A4">
        <w:rPr>
          <w:rFonts w:ascii="Times New Roman" w:hAnsi="Times New Roman"/>
          <w:sz w:val="24"/>
          <w:szCs w:val="24"/>
        </w:rPr>
        <w:t>Casselman</w:t>
      </w:r>
      <w:proofErr w:type="spellEnd"/>
      <w:r w:rsidRPr="003B41A4">
        <w:rPr>
          <w:rFonts w:ascii="Times New Roman" w:hAnsi="Times New Roman"/>
          <w:sz w:val="24"/>
          <w:szCs w:val="24"/>
        </w:rPr>
        <w:t xml:space="preserve">, J. &amp; </w:t>
      </w:r>
      <w:proofErr w:type="spellStart"/>
      <w:r w:rsidRPr="003B41A4">
        <w:rPr>
          <w:rFonts w:ascii="Times New Roman" w:hAnsi="Times New Roman"/>
          <w:sz w:val="24"/>
          <w:szCs w:val="24"/>
        </w:rPr>
        <w:t>Pelc</w:t>
      </w:r>
      <w:proofErr w:type="spellEnd"/>
      <w:r w:rsidRPr="003B41A4">
        <w:rPr>
          <w:rFonts w:ascii="Times New Roman" w:hAnsi="Times New Roman"/>
          <w:sz w:val="24"/>
          <w:szCs w:val="24"/>
        </w:rPr>
        <w:t>, I. (2004).</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Drug policy in figures.</w:t>
      </w:r>
      <w:proofErr w:type="gramEnd"/>
      <w:r w:rsidRPr="003B41A4">
        <w:rPr>
          <w:rFonts w:ascii="Times New Roman" w:hAnsi="Times New Roman"/>
          <w:sz w:val="24"/>
          <w:szCs w:val="24"/>
        </w:rPr>
        <w:t xml:space="preserve"> Study of the actors involved, cost price calculation and population reached. Ghent: Academia Press.</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De </w:t>
      </w:r>
      <w:proofErr w:type="spellStart"/>
      <w:r w:rsidRPr="003B41A4">
        <w:rPr>
          <w:rFonts w:ascii="Times New Roman" w:hAnsi="Times New Roman"/>
          <w:sz w:val="24"/>
          <w:szCs w:val="24"/>
        </w:rPr>
        <w:t>Ruyver</w:t>
      </w:r>
      <w:proofErr w:type="spellEnd"/>
      <w:r w:rsidRPr="003B41A4">
        <w:rPr>
          <w:rFonts w:ascii="Times New Roman" w:hAnsi="Times New Roman"/>
          <w:sz w:val="24"/>
          <w:szCs w:val="24"/>
        </w:rPr>
        <w:t xml:space="preserve">, B., Van </w:t>
      </w:r>
      <w:proofErr w:type="spellStart"/>
      <w:r w:rsidRPr="003B41A4">
        <w:rPr>
          <w:rFonts w:ascii="Times New Roman" w:hAnsi="Times New Roman"/>
          <w:sz w:val="24"/>
          <w:szCs w:val="24"/>
        </w:rPr>
        <w:t>Malderen</w:t>
      </w:r>
      <w:proofErr w:type="spellEnd"/>
      <w:r w:rsidRPr="003B41A4">
        <w:rPr>
          <w:rFonts w:ascii="Times New Roman" w:hAnsi="Times New Roman"/>
          <w:sz w:val="24"/>
          <w:szCs w:val="24"/>
        </w:rPr>
        <w:t xml:space="preserve">, S. &amp; Vander </w:t>
      </w:r>
      <w:proofErr w:type="spellStart"/>
      <w:r w:rsidRPr="003B41A4">
        <w:rPr>
          <w:rFonts w:ascii="Times New Roman" w:hAnsi="Times New Roman"/>
          <w:sz w:val="24"/>
          <w:szCs w:val="24"/>
        </w:rPr>
        <w:t>Laenen</w:t>
      </w:r>
      <w:proofErr w:type="spellEnd"/>
      <w:r w:rsidRPr="003B41A4">
        <w:rPr>
          <w:rFonts w:ascii="Times New Roman" w:hAnsi="Times New Roman"/>
          <w:sz w:val="24"/>
          <w:szCs w:val="24"/>
        </w:rPr>
        <w:t>, F. (2007).</w:t>
      </w:r>
      <w:proofErr w:type="gramEnd"/>
      <w:r w:rsidRPr="003B41A4">
        <w:rPr>
          <w:rFonts w:ascii="Times New Roman" w:hAnsi="Times New Roman"/>
          <w:sz w:val="24"/>
          <w:szCs w:val="24"/>
        </w:rPr>
        <w:t xml:space="preserve"> Study into public expenditure with regard to national drug policies. </w:t>
      </w:r>
      <w:proofErr w:type="gramStart"/>
      <w:r w:rsidRPr="003B41A4">
        <w:rPr>
          <w:rFonts w:ascii="Times New Roman" w:hAnsi="Times New Roman"/>
          <w:sz w:val="24"/>
          <w:szCs w:val="24"/>
        </w:rPr>
        <w:t>A feasible plan for the national focal points.</w:t>
      </w:r>
      <w:proofErr w:type="gramEnd"/>
    </w:p>
    <w:p w:rsidR="00FC4219" w:rsidRPr="003B41A4" w:rsidRDefault="00FC4219" w:rsidP="00FC4219">
      <w:pPr>
        <w:spacing w:after="0" w:line="240" w:lineRule="auto"/>
        <w:jc w:val="both"/>
        <w:rPr>
          <w:rFonts w:ascii="Times New Roman" w:hAnsi="Times New Roman"/>
          <w:sz w:val="24"/>
          <w:szCs w:val="24"/>
          <w:lang w:eastAsia="nl-BE"/>
        </w:rPr>
      </w:pPr>
    </w:p>
    <w:p w:rsidR="00FC4219" w:rsidRPr="003B41A4" w:rsidRDefault="00FC4219" w:rsidP="00FC4219">
      <w:pPr>
        <w:spacing w:after="0" w:line="240" w:lineRule="auto"/>
        <w:jc w:val="both"/>
        <w:rPr>
          <w:rFonts w:ascii="Times New Roman" w:hAnsi="Times New Roman"/>
          <w:sz w:val="24"/>
          <w:szCs w:val="24"/>
          <w:lang w:eastAsia="nl-BE"/>
        </w:rPr>
      </w:pPr>
      <w:proofErr w:type="gramStart"/>
      <w:r w:rsidRPr="003B41A4">
        <w:rPr>
          <w:rFonts w:ascii="Times New Roman" w:hAnsi="Times New Roman"/>
          <w:sz w:val="24"/>
          <w:szCs w:val="24"/>
          <w:lang w:eastAsia="nl-BE"/>
        </w:rPr>
        <w:t>EMCDDA.</w:t>
      </w:r>
      <w:proofErr w:type="gramEnd"/>
      <w:r w:rsidRPr="003B41A4">
        <w:rPr>
          <w:rFonts w:ascii="Times New Roman" w:hAnsi="Times New Roman"/>
          <w:sz w:val="24"/>
          <w:szCs w:val="24"/>
          <w:lang w:eastAsia="nl-BE"/>
        </w:rPr>
        <w:t xml:space="preserve"> </w:t>
      </w:r>
      <w:proofErr w:type="gramStart"/>
      <w:r w:rsidRPr="003B41A4">
        <w:rPr>
          <w:rFonts w:ascii="Times New Roman" w:hAnsi="Times New Roman"/>
          <w:sz w:val="24"/>
          <w:szCs w:val="24"/>
          <w:lang w:eastAsia="nl-BE"/>
        </w:rPr>
        <w:t xml:space="preserve">(2007). Paper presented at the </w:t>
      </w:r>
      <w:proofErr w:type="spellStart"/>
      <w:r w:rsidRPr="003B41A4">
        <w:rPr>
          <w:rFonts w:ascii="Times New Roman" w:hAnsi="Times New Roman"/>
          <w:sz w:val="24"/>
          <w:szCs w:val="24"/>
          <w:lang w:eastAsia="nl-BE"/>
        </w:rPr>
        <w:t>Reitox</w:t>
      </w:r>
      <w:proofErr w:type="spellEnd"/>
      <w:r w:rsidRPr="003B41A4">
        <w:rPr>
          <w:rFonts w:ascii="Times New Roman" w:hAnsi="Times New Roman"/>
          <w:sz w:val="24"/>
          <w:szCs w:val="24"/>
          <w:lang w:eastAsia="nl-BE"/>
        </w:rPr>
        <w:t xml:space="preserve"> Academy on public expenditure analysis in the field of drugs, Luxembourg, 11 May 2007.</w:t>
      </w:r>
      <w:proofErr w:type="gramEnd"/>
    </w:p>
    <w:p w:rsidR="00FC4219" w:rsidRPr="003B41A4" w:rsidRDefault="00FC4219" w:rsidP="00FC4219">
      <w:pPr>
        <w:spacing w:after="0" w:line="240" w:lineRule="auto"/>
        <w:jc w:val="both"/>
        <w:rPr>
          <w:rFonts w:ascii="Times New Roman" w:hAnsi="Times New Roman"/>
          <w:sz w:val="24"/>
          <w:szCs w:val="24"/>
          <w:lang w:eastAsia="nl-BE"/>
        </w:rPr>
      </w:pPr>
    </w:p>
    <w:p w:rsidR="00FC4219" w:rsidRPr="003B41A4" w:rsidRDefault="00FC4219" w:rsidP="00FC4219">
      <w:pPr>
        <w:spacing w:after="0" w:line="240" w:lineRule="auto"/>
        <w:jc w:val="both"/>
        <w:rPr>
          <w:rFonts w:ascii="Times New Roman" w:hAnsi="Times New Roman"/>
          <w:sz w:val="24"/>
          <w:szCs w:val="24"/>
          <w:lang w:eastAsia="nl-BE"/>
        </w:rPr>
      </w:pPr>
      <w:proofErr w:type="gramStart"/>
      <w:r w:rsidRPr="003B41A4">
        <w:rPr>
          <w:rFonts w:ascii="Times New Roman" w:hAnsi="Times New Roman"/>
          <w:sz w:val="24"/>
          <w:szCs w:val="24"/>
          <w:lang w:eastAsia="nl-BE"/>
        </w:rPr>
        <w:t>EMCDDA (2008).</w:t>
      </w:r>
      <w:proofErr w:type="gramEnd"/>
      <w:r w:rsidRPr="003B41A4">
        <w:rPr>
          <w:rFonts w:ascii="Times New Roman" w:hAnsi="Times New Roman"/>
          <w:sz w:val="24"/>
          <w:szCs w:val="24"/>
          <w:lang w:eastAsia="nl-BE"/>
        </w:rPr>
        <w:t xml:space="preserve"> </w:t>
      </w:r>
      <w:proofErr w:type="gramStart"/>
      <w:r w:rsidRPr="003B41A4">
        <w:rPr>
          <w:rFonts w:ascii="Times New Roman" w:hAnsi="Times New Roman"/>
          <w:sz w:val="24"/>
          <w:szCs w:val="24"/>
          <w:lang w:eastAsia="nl-BE"/>
        </w:rPr>
        <w:t>Towards a better understanding of drug-related expenditure in Europe, EMCDDA, Selected Issues 2008.</w:t>
      </w:r>
      <w:proofErr w:type="gramEnd"/>
    </w:p>
    <w:p w:rsidR="00FC4219" w:rsidRPr="003B41A4" w:rsidRDefault="00FC4219" w:rsidP="00FC4219">
      <w:pPr>
        <w:spacing w:after="0" w:line="240" w:lineRule="auto"/>
        <w:jc w:val="both"/>
        <w:rPr>
          <w:rFonts w:ascii="Times New Roman" w:hAnsi="Times New Roman"/>
          <w:sz w:val="24"/>
          <w:szCs w:val="24"/>
          <w:lang w:eastAsia="nl-BE"/>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Greenfield, V. A., &amp; Paoli, L. (2012).</w:t>
      </w:r>
      <w:proofErr w:type="gramEnd"/>
      <w:r w:rsidRPr="003B41A4">
        <w:rPr>
          <w:rFonts w:ascii="Times New Roman" w:hAnsi="Times New Roman"/>
          <w:sz w:val="24"/>
          <w:szCs w:val="24"/>
        </w:rPr>
        <w:t xml:space="preserve"> If supply-oriented drug policy is broken, can harm reduction help fix it? </w:t>
      </w:r>
      <w:proofErr w:type="gramStart"/>
      <w:r w:rsidRPr="003B41A4">
        <w:rPr>
          <w:rFonts w:ascii="Times New Roman" w:hAnsi="Times New Roman"/>
          <w:sz w:val="24"/>
          <w:szCs w:val="24"/>
        </w:rPr>
        <w:t>Melding disciplines and methods to advance international drug-control policy.</w:t>
      </w:r>
      <w:proofErr w:type="gramEnd"/>
      <w:r w:rsidRPr="003B41A4">
        <w:rPr>
          <w:rFonts w:ascii="Times New Roman" w:hAnsi="Times New Roman"/>
          <w:sz w:val="24"/>
          <w:szCs w:val="24"/>
        </w:rPr>
        <w:t xml:space="preserve"> International Journal of Drug Policy, 23(1): 6–15. </w:t>
      </w:r>
    </w:p>
    <w:p w:rsidR="00FC4219" w:rsidRPr="003B41A4" w:rsidRDefault="00FC4219" w:rsidP="00FC4219">
      <w:pPr>
        <w:spacing w:after="0" w:line="240" w:lineRule="auto"/>
        <w:jc w:val="both"/>
        <w:rPr>
          <w:rFonts w:ascii="Times New Roman" w:hAnsi="Times New Roman"/>
          <w:sz w:val="24"/>
          <w:szCs w:val="24"/>
          <w:lang w:eastAsia="nl-BE"/>
        </w:rPr>
      </w:pPr>
    </w:p>
    <w:p w:rsidR="00FC4219" w:rsidRPr="003B41A4" w:rsidRDefault="00FC4219" w:rsidP="00FC4219">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Laenen</w:t>
      </w:r>
      <w:proofErr w:type="spellEnd"/>
      <w:r w:rsidRPr="003B41A4">
        <w:rPr>
          <w:rFonts w:ascii="Times New Roman" w:hAnsi="Times New Roman"/>
          <w:sz w:val="24"/>
          <w:szCs w:val="24"/>
        </w:rPr>
        <w:t xml:space="preserve"> F.V. &amp; De </w:t>
      </w:r>
      <w:proofErr w:type="spellStart"/>
      <w:r w:rsidRPr="003B41A4">
        <w:rPr>
          <w:rFonts w:ascii="Times New Roman" w:hAnsi="Times New Roman"/>
          <w:sz w:val="24"/>
          <w:szCs w:val="24"/>
        </w:rPr>
        <w:t>Ruyver</w:t>
      </w:r>
      <w:proofErr w:type="spellEnd"/>
      <w:r w:rsidRPr="003B41A4">
        <w:rPr>
          <w:rFonts w:ascii="Times New Roman" w:hAnsi="Times New Roman"/>
          <w:sz w:val="24"/>
          <w:szCs w:val="24"/>
        </w:rPr>
        <w:t xml:space="preserve"> B. (2009).</w:t>
      </w:r>
      <w:proofErr w:type="gramEnd"/>
      <w:r w:rsidRPr="003B41A4">
        <w:rPr>
          <w:rFonts w:ascii="Times New Roman" w:hAnsi="Times New Roman"/>
          <w:sz w:val="24"/>
          <w:szCs w:val="24"/>
        </w:rPr>
        <w:t xml:space="preserve"> The study of public expenditure on drugs, a useful evaluation tool for drug policy, the Belgian example, Paper prepared for the Third Annual Conference of the International Society for the Study of Drug Policy</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(2002).</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Calculating the social cost of illicit drugs.</w:t>
      </w:r>
      <w:proofErr w:type="gramEnd"/>
      <w:r w:rsidRPr="003B41A4">
        <w:rPr>
          <w:rFonts w:ascii="Times New Roman" w:hAnsi="Times New Roman"/>
          <w:sz w:val="24"/>
          <w:szCs w:val="24"/>
        </w:rPr>
        <w:t xml:space="preserve"> </w:t>
      </w:r>
      <w:r w:rsidRPr="003B41A4">
        <w:rPr>
          <w:rStyle w:val="Istaknuto"/>
          <w:rFonts w:ascii="Times New Roman" w:hAnsi="Times New Roman"/>
          <w:sz w:val="24"/>
          <w:szCs w:val="24"/>
        </w:rPr>
        <w:t>Pompidou Group</w:t>
      </w:r>
      <w:r w:rsidRPr="003B41A4">
        <w:rPr>
          <w:rFonts w:ascii="Times New Roman" w:hAnsi="Times New Roman"/>
          <w:sz w:val="24"/>
          <w:szCs w:val="24"/>
        </w:rPr>
        <w:t xml:space="preserve">, Council </w:t>
      </w:r>
      <w:proofErr w:type="gramStart"/>
      <w:r w:rsidRPr="003B41A4">
        <w:rPr>
          <w:rFonts w:ascii="Times New Roman" w:hAnsi="Times New Roman"/>
          <w:sz w:val="24"/>
          <w:szCs w:val="24"/>
        </w:rPr>
        <w:t>Of</w:t>
      </w:r>
      <w:proofErr w:type="gramEnd"/>
      <w:r w:rsidRPr="003B41A4">
        <w:rPr>
          <w:rFonts w:ascii="Times New Roman" w:hAnsi="Times New Roman"/>
          <w:sz w:val="24"/>
          <w:szCs w:val="24"/>
        </w:rPr>
        <w:t xml:space="preserve"> Europe Publishing.</w:t>
      </w:r>
    </w:p>
    <w:p w:rsidR="00FC4219" w:rsidRPr="003B41A4" w:rsidRDefault="00FC4219" w:rsidP="00FC4219">
      <w:pPr>
        <w:spacing w:after="0" w:line="240" w:lineRule="auto"/>
        <w:ind w:left="720" w:hanging="720"/>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Public spending on drugs in the European Union during the 1990s, Lisbon, EMCDDA.</w:t>
      </w:r>
      <w:proofErr w:type="gramEnd"/>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Moore, T., J. (2005).</w:t>
      </w:r>
      <w:proofErr w:type="gramEnd"/>
      <w:r w:rsidRPr="003B41A4">
        <w:rPr>
          <w:rFonts w:ascii="Times New Roman" w:hAnsi="Times New Roman"/>
          <w:sz w:val="24"/>
          <w:szCs w:val="24"/>
        </w:rPr>
        <w:t xml:space="preserve"> Monograph No. 01: What is Australia’s “drug budget”? </w:t>
      </w:r>
      <w:proofErr w:type="gramStart"/>
      <w:r w:rsidRPr="003B41A4">
        <w:rPr>
          <w:rFonts w:ascii="Times New Roman" w:hAnsi="Times New Roman"/>
          <w:sz w:val="24"/>
          <w:szCs w:val="24"/>
        </w:rPr>
        <w:t>The policy mix of illicit drug-related government spending in Australia.</w:t>
      </w:r>
      <w:proofErr w:type="gramEnd"/>
      <w:r w:rsidRPr="003B41A4">
        <w:rPr>
          <w:rFonts w:ascii="Times New Roman" w:hAnsi="Times New Roman"/>
          <w:sz w:val="24"/>
          <w:szCs w:val="24"/>
        </w:rPr>
        <w:t xml:space="preserve"> Fitzroy: Turning Point Alcohol and Drug Centre. </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Postma</w:t>
      </w:r>
      <w:proofErr w:type="spellEnd"/>
      <w:r w:rsidRPr="003B41A4">
        <w:rPr>
          <w:rFonts w:ascii="Times New Roman" w:hAnsi="Times New Roman"/>
          <w:sz w:val="24"/>
          <w:szCs w:val="24"/>
        </w:rPr>
        <w:t>, M. (2004).</w:t>
      </w:r>
      <w:proofErr w:type="gramEnd"/>
      <w:r w:rsidRPr="003B41A4">
        <w:rPr>
          <w:rFonts w:ascii="Times New Roman" w:hAnsi="Times New Roman"/>
          <w:sz w:val="24"/>
          <w:szCs w:val="24"/>
        </w:rPr>
        <w:t xml:space="preserve"> Public expenditure on drugs in the European Union 2000-2004, Lisbon: EMCDDA.</w:t>
      </w:r>
    </w:p>
    <w:p w:rsidR="00FC4219" w:rsidRPr="003B41A4" w:rsidRDefault="00FC4219" w:rsidP="00FC4219">
      <w:pPr>
        <w:pStyle w:val="Tekstfusnote"/>
        <w:jc w:val="both"/>
        <w:rPr>
          <w:rFonts w:ascii="Times New Roman" w:hAnsi="Times New Roman"/>
          <w:sz w:val="24"/>
          <w:szCs w:val="24"/>
        </w:rPr>
      </w:pPr>
    </w:p>
    <w:p w:rsidR="00FC4219" w:rsidRPr="003B41A4" w:rsidRDefault="00FC4219" w:rsidP="00FC4219">
      <w:pPr>
        <w:pStyle w:val="Tekstfusnote"/>
        <w:jc w:val="both"/>
        <w:rPr>
          <w:rFonts w:ascii="Times New Roman" w:hAnsi="Times New Roman"/>
          <w:sz w:val="24"/>
          <w:szCs w:val="24"/>
        </w:rPr>
      </w:pPr>
      <w:r w:rsidRPr="003B41A4">
        <w:rPr>
          <w:rFonts w:ascii="Times New Roman" w:hAnsi="Times New Roman"/>
          <w:sz w:val="24"/>
          <w:szCs w:val="24"/>
        </w:rPr>
        <w:t xml:space="preserve">Reuter, P. 2006. “What drug policies cost. </w:t>
      </w:r>
      <w:proofErr w:type="gramStart"/>
      <w:r w:rsidRPr="003B41A4">
        <w:rPr>
          <w:rFonts w:ascii="Times New Roman" w:hAnsi="Times New Roman"/>
          <w:sz w:val="24"/>
          <w:szCs w:val="24"/>
        </w:rPr>
        <w:t>Estimating government drug policy expenditures”.</w:t>
      </w:r>
      <w:proofErr w:type="gramEnd"/>
      <w:r w:rsidRPr="003B41A4">
        <w:rPr>
          <w:rFonts w:ascii="Times New Roman" w:hAnsi="Times New Roman"/>
          <w:sz w:val="24"/>
          <w:szCs w:val="24"/>
        </w:rPr>
        <w:t xml:space="preserve"> Addiction, 101 (3), p. 315-322.</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Reuter, P., </w:t>
      </w:r>
      <w:proofErr w:type="spellStart"/>
      <w:r w:rsidRPr="003B41A4">
        <w:rPr>
          <w:rFonts w:ascii="Times New Roman" w:hAnsi="Times New Roman"/>
          <w:sz w:val="24"/>
          <w:szCs w:val="24"/>
        </w:rPr>
        <w:t>Ramstedt</w:t>
      </w:r>
      <w:proofErr w:type="spellEnd"/>
      <w:r w:rsidRPr="003B41A4">
        <w:rPr>
          <w:rFonts w:ascii="Times New Roman" w:hAnsi="Times New Roman"/>
          <w:sz w:val="24"/>
          <w:szCs w:val="24"/>
        </w:rPr>
        <w:t xml:space="preserve">, M. &amp; </w:t>
      </w:r>
      <w:proofErr w:type="spellStart"/>
      <w:r w:rsidRPr="003B41A4">
        <w:rPr>
          <w:rFonts w:ascii="Times New Roman" w:hAnsi="Times New Roman"/>
          <w:sz w:val="24"/>
          <w:szCs w:val="24"/>
        </w:rPr>
        <w:t>Rigter</w:t>
      </w:r>
      <w:proofErr w:type="spellEnd"/>
      <w:r w:rsidRPr="003B41A4">
        <w:rPr>
          <w:rFonts w:ascii="Times New Roman" w:hAnsi="Times New Roman"/>
          <w:sz w:val="24"/>
          <w:szCs w:val="24"/>
        </w:rPr>
        <w:t>, H. (2004).</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Developing a Framework for Estimating Government Drug Policy Expenditures.</w:t>
      </w:r>
      <w:proofErr w:type="gramEnd"/>
      <w:r w:rsidRPr="003B41A4">
        <w:rPr>
          <w:rFonts w:ascii="Times New Roman" w:hAnsi="Times New Roman"/>
          <w:sz w:val="24"/>
          <w:szCs w:val="24"/>
        </w:rPr>
        <w:t xml:space="preserve"> Lisbon: EMCDDA.</w:t>
      </w:r>
    </w:p>
    <w:p w:rsidR="00FC4219" w:rsidRPr="003B41A4" w:rsidRDefault="00FC4219" w:rsidP="00FC4219">
      <w:pPr>
        <w:spacing w:after="0" w:line="240" w:lineRule="auto"/>
        <w:jc w:val="both"/>
        <w:rPr>
          <w:rFonts w:ascii="Times New Roman" w:hAnsi="Times New Roman"/>
          <w:sz w:val="24"/>
          <w:szCs w:val="24"/>
        </w:rPr>
      </w:pPr>
    </w:p>
    <w:p w:rsidR="00FC4219" w:rsidRPr="003B41A4" w:rsidRDefault="00FC4219" w:rsidP="00FC4219">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lastRenderedPageBreak/>
        <w:t xml:space="preserve">Single, E., Collins, D., Easton, B., Harwood, H., </w:t>
      </w:r>
      <w:proofErr w:type="spellStart"/>
      <w:r w:rsidRPr="003B41A4">
        <w:rPr>
          <w:rFonts w:ascii="Times New Roman" w:hAnsi="Times New Roman"/>
          <w:sz w:val="24"/>
          <w:szCs w:val="24"/>
        </w:rPr>
        <w:t>Lapsley</w:t>
      </w:r>
      <w:proofErr w:type="spellEnd"/>
      <w:r w:rsidRPr="003B41A4">
        <w:rPr>
          <w:rFonts w:ascii="Times New Roman" w:hAnsi="Times New Roman"/>
          <w:sz w:val="24"/>
          <w:szCs w:val="24"/>
        </w:rPr>
        <w:t>, H., Kopp, P., et al.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International Guidelines for Estimating the Economic Costs of Substances Abuse.</w:t>
      </w:r>
      <w:proofErr w:type="gramEnd"/>
      <w:r w:rsidRPr="003B41A4">
        <w:rPr>
          <w:rFonts w:ascii="Times New Roman" w:hAnsi="Times New Roman"/>
          <w:sz w:val="24"/>
          <w:szCs w:val="24"/>
        </w:rPr>
        <w:t xml:space="preserve"> Geneva: World Health Organization.</w:t>
      </w:r>
    </w:p>
    <w:p w:rsidR="00FC4219" w:rsidRDefault="00FC4219" w:rsidP="00FC4219">
      <w:pPr>
        <w:pStyle w:val="Naslov2"/>
        <w:shd w:val="clear" w:color="auto" w:fill="FFFFFF"/>
        <w:spacing w:before="0"/>
        <w:jc w:val="both"/>
        <w:rPr>
          <w:rFonts w:ascii="Times New Roman" w:eastAsia="Arial Unicode MS" w:hAnsi="Times New Roman" w:cs="Times New Roman"/>
          <w:b w:val="0"/>
          <w:color w:val="auto"/>
          <w:sz w:val="24"/>
          <w:szCs w:val="24"/>
          <w:shd w:val="clear" w:color="auto" w:fill="FFFFFF"/>
        </w:rPr>
      </w:pPr>
    </w:p>
    <w:p w:rsidR="00FC4219" w:rsidRPr="003B41A4" w:rsidRDefault="00FC4219" w:rsidP="00FC4219">
      <w:pPr>
        <w:pStyle w:val="Naslov2"/>
        <w:shd w:val="clear" w:color="auto" w:fill="FFFFFF"/>
        <w:spacing w:before="0"/>
        <w:jc w:val="both"/>
        <w:rPr>
          <w:rFonts w:ascii="Times New Roman" w:eastAsia="Arial Unicode MS" w:hAnsi="Times New Roman" w:cs="Times New Roman"/>
          <w:b w:val="0"/>
          <w:color w:val="auto"/>
          <w:sz w:val="24"/>
          <w:szCs w:val="24"/>
        </w:rPr>
      </w:pPr>
      <w:proofErr w:type="spellStart"/>
      <w:r w:rsidRPr="003B41A4">
        <w:rPr>
          <w:rFonts w:ascii="Times New Roman" w:eastAsia="Arial Unicode MS" w:hAnsi="Times New Roman" w:cs="Times New Roman"/>
          <w:b w:val="0"/>
          <w:color w:val="auto"/>
          <w:sz w:val="24"/>
          <w:szCs w:val="24"/>
          <w:shd w:val="clear" w:color="auto" w:fill="FFFFFF"/>
        </w:rPr>
        <w:t>Serpelloni</w:t>
      </w:r>
      <w:proofErr w:type="spellEnd"/>
      <w:r w:rsidRPr="003B41A4">
        <w:rPr>
          <w:rFonts w:ascii="Times New Roman" w:eastAsia="Arial Unicode MS" w:hAnsi="Times New Roman" w:cs="Times New Roman"/>
          <w:b w:val="0"/>
          <w:color w:val="auto"/>
          <w:sz w:val="24"/>
          <w:szCs w:val="24"/>
          <w:shd w:val="clear" w:color="auto" w:fill="FFFFFF"/>
        </w:rPr>
        <w:t xml:space="preserve">, G., </w:t>
      </w:r>
      <w:proofErr w:type="spellStart"/>
      <w:r w:rsidRPr="003B41A4">
        <w:rPr>
          <w:rFonts w:ascii="Times New Roman" w:eastAsia="Arial Unicode MS" w:hAnsi="Times New Roman" w:cs="Times New Roman"/>
          <w:b w:val="0"/>
          <w:color w:val="auto"/>
          <w:sz w:val="24"/>
          <w:szCs w:val="24"/>
          <w:shd w:val="clear" w:color="auto" w:fill="FFFFFF"/>
        </w:rPr>
        <w:t>Gomma</w:t>
      </w:r>
      <w:proofErr w:type="spellEnd"/>
      <w:r w:rsidRPr="003B41A4">
        <w:rPr>
          <w:rFonts w:ascii="Times New Roman" w:eastAsia="Arial Unicode MS" w:hAnsi="Times New Roman" w:cs="Times New Roman"/>
          <w:b w:val="0"/>
          <w:color w:val="auto"/>
          <w:sz w:val="24"/>
          <w:szCs w:val="24"/>
          <w:shd w:val="clear" w:color="auto" w:fill="FFFFFF"/>
        </w:rPr>
        <w:t xml:space="preserve">, M., </w:t>
      </w:r>
      <w:proofErr w:type="spellStart"/>
      <w:r w:rsidRPr="003B41A4">
        <w:rPr>
          <w:rFonts w:ascii="Times New Roman" w:eastAsia="Arial Unicode MS" w:hAnsi="Times New Roman" w:cs="Times New Roman"/>
          <w:b w:val="0"/>
          <w:color w:val="auto"/>
          <w:sz w:val="24"/>
          <w:szCs w:val="24"/>
          <w:shd w:val="clear" w:color="auto" w:fill="FFFFFF"/>
        </w:rPr>
        <w:t>Genetti</w:t>
      </w:r>
      <w:proofErr w:type="spellEnd"/>
      <w:r w:rsidRPr="003B41A4">
        <w:rPr>
          <w:rFonts w:ascii="Times New Roman" w:eastAsia="Arial Unicode MS" w:hAnsi="Times New Roman" w:cs="Times New Roman"/>
          <w:b w:val="0"/>
          <w:color w:val="auto"/>
          <w:sz w:val="24"/>
          <w:szCs w:val="24"/>
          <w:shd w:val="clear" w:color="auto" w:fill="FFFFFF"/>
        </w:rPr>
        <w:t xml:space="preserve">, B.,  </w:t>
      </w:r>
      <w:proofErr w:type="spellStart"/>
      <w:r w:rsidRPr="003B41A4">
        <w:rPr>
          <w:rFonts w:ascii="Times New Roman" w:eastAsia="Arial Unicode MS" w:hAnsi="Times New Roman" w:cs="Times New Roman"/>
          <w:b w:val="0"/>
          <w:color w:val="auto"/>
          <w:sz w:val="24"/>
          <w:szCs w:val="24"/>
          <w:shd w:val="clear" w:color="auto" w:fill="FFFFFF"/>
        </w:rPr>
        <w:t>Zermiani</w:t>
      </w:r>
      <w:proofErr w:type="spellEnd"/>
      <w:r w:rsidRPr="003B41A4">
        <w:rPr>
          <w:rFonts w:ascii="Times New Roman" w:eastAsia="Arial Unicode MS" w:hAnsi="Times New Roman" w:cs="Times New Roman"/>
          <w:b w:val="0"/>
          <w:color w:val="auto"/>
          <w:sz w:val="24"/>
          <w:szCs w:val="24"/>
          <w:shd w:val="clear" w:color="auto" w:fill="FFFFFF"/>
        </w:rPr>
        <w:t xml:space="preserve">, M., </w:t>
      </w:r>
      <w:proofErr w:type="spellStart"/>
      <w:r w:rsidRPr="003B41A4">
        <w:rPr>
          <w:rFonts w:ascii="Times New Roman" w:eastAsia="Arial Unicode MS" w:hAnsi="Times New Roman" w:cs="Times New Roman"/>
          <w:b w:val="0"/>
          <w:color w:val="auto"/>
          <w:sz w:val="24"/>
          <w:szCs w:val="24"/>
          <w:shd w:val="clear" w:color="auto" w:fill="FFFFFF"/>
        </w:rPr>
        <w:t>Rimondo</w:t>
      </w:r>
      <w:proofErr w:type="spellEnd"/>
      <w:r w:rsidRPr="003B41A4">
        <w:rPr>
          <w:rFonts w:ascii="Times New Roman" w:eastAsia="Arial Unicode MS" w:hAnsi="Times New Roman" w:cs="Times New Roman"/>
          <w:b w:val="0"/>
          <w:color w:val="auto"/>
          <w:sz w:val="24"/>
          <w:szCs w:val="24"/>
          <w:shd w:val="clear" w:color="auto" w:fill="FFFFFF"/>
        </w:rPr>
        <w:t xml:space="preserve">, C.,  </w:t>
      </w:r>
      <w:proofErr w:type="spellStart"/>
      <w:r w:rsidRPr="003B41A4">
        <w:rPr>
          <w:rFonts w:ascii="Times New Roman" w:eastAsia="Arial Unicode MS" w:hAnsi="Times New Roman" w:cs="Times New Roman"/>
          <w:b w:val="0"/>
          <w:color w:val="auto"/>
          <w:sz w:val="24"/>
          <w:szCs w:val="24"/>
          <w:shd w:val="clear" w:color="auto" w:fill="FFFFFF"/>
        </w:rPr>
        <w:t>Mollica</w:t>
      </w:r>
      <w:proofErr w:type="spellEnd"/>
      <w:r w:rsidRPr="003B41A4">
        <w:rPr>
          <w:rFonts w:ascii="Times New Roman" w:eastAsia="Arial Unicode MS" w:hAnsi="Times New Roman" w:cs="Times New Roman"/>
          <w:b w:val="0"/>
          <w:color w:val="auto"/>
          <w:sz w:val="24"/>
          <w:szCs w:val="24"/>
          <w:shd w:val="clear" w:color="auto" w:fill="FFFFFF"/>
        </w:rPr>
        <w:t xml:space="preserve">, R., </w:t>
      </w:r>
      <w:proofErr w:type="spellStart"/>
      <w:r w:rsidRPr="003B41A4">
        <w:rPr>
          <w:rFonts w:ascii="Times New Roman" w:eastAsia="Arial Unicode MS" w:hAnsi="Times New Roman" w:cs="Times New Roman"/>
          <w:b w:val="0"/>
          <w:color w:val="auto"/>
          <w:sz w:val="24"/>
          <w:szCs w:val="24"/>
          <w:shd w:val="clear" w:color="auto" w:fill="FFFFFF"/>
        </w:rPr>
        <w:t>Gryczynski</w:t>
      </w:r>
      <w:proofErr w:type="spellEnd"/>
      <w:r w:rsidRPr="003B41A4">
        <w:rPr>
          <w:rFonts w:ascii="Times New Roman" w:eastAsia="Arial Unicode MS" w:hAnsi="Times New Roman" w:cs="Times New Roman"/>
          <w:b w:val="0"/>
          <w:color w:val="auto"/>
          <w:sz w:val="24"/>
          <w:szCs w:val="24"/>
          <w:shd w:val="clear" w:color="auto" w:fill="FFFFFF"/>
        </w:rPr>
        <w:t xml:space="preserve">, J., O'Grady, K.E., Schwartz, R.P., </w:t>
      </w:r>
      <w:hyperlink r:id="rId14" w:history="1">
        <w:r w:rsidRPr="003B41A4">
          <w:rPr>
            <w:rStyle w:val="Hiperveza"/>
            <w:rFonts w:ascii="Times New Roman" w:eastAsia="Arial Unicode MS" w:hAnsi="Times New Roman" w:cs="Times New Roman"/>
            <w:b w:val="0"/>
            <w:bCs w:val="0"/>
            <w:color w:val="auto"/>
            <w:sz w:val="24"/>
            <w:szCs w:val="24"/>
          </w:rPr>
          <w:t xml:space="preserve">Italy's electronic health record system for </w:t>
        </w:r>
        <w:proofErr w:type="spellStart"/>
        <w:r w:rsidRPr="003B41A4">
          <w:rPr>
            <w:rStyle w:val="Hiperveza"/>
            <w:rFonts w:ascii="Times New Roman" w:eastAsia="Arial Unicode MS" w:hAnsi="Times New Roman" w:cs="Times New Roman"/>
            <w:b w:val="0"/>
            <w:bCs w:val="0"/>
            <w:color w:val="auto"/>
            <w:sz w:val="24"/>
            <w:szCs w:val="24"/>
          </w:rPr>
          <w:t>opioid</w:t>
        </w:r>
        <w:proofErr w:type="spellEnd"/>
        <w:r w:rsidRPr="003B41A4">
          <w:rPr>
            <w:rStyle w:val="Hiperveza"/>
            <w:rFonts w:ascii="Times New Roman" w:eastAsia="Arial Unicode MS" w:hAnsi="Times New Roman" w:cs="Times New Roman"/>
            <w:b w:val="0"/>
            <w:bCs w:val="0"/>
            <w:color w:val="auto"/>
            <w:sz w:val="24"/>
            <w:szCs w:val="24"/>
          </w:rPr>
          <w:t xml:space="preserve"> agonist treatment</w:t>
        </w:r>
      </w:hyperlink>
      <w:r w:rsidRPr="003B41A4">
        <w:rPr>
          <w:rFonts w:ascii="Times New Roman" w:eastAsia="Arial Unicode MS" w:hAnsi="Times New Roman" w:cs="Times New Roman"/>
          <w:b w:val="0"/>
          <w:color w:val="auto"/>
          <w:sz w:val="24"/>
          <w:szCs w:val="24"/>
        </w:rPr>
        <w:t xml:space="preserve">, </w:t>
      </w:r>
      <w:r w:rsidRPr="003B41A4">
        <w:rPr>
          <w:rFonts w:ascii="Times New Roman" w:eastAsia="Arial Unicode MS" w:hAnsi="Times New Roman" w:cs="Times New Roman"/>
          <w:b w:val="0"/>
          <w:iCs/>
          <w:color w:val="auto"/>
          <w:sz w:val="24"/>
          <w:szCs w:val="24"/>
          <w:shd w:val="clear" w:color="auto" w:fill="FFFFFF"/>
        </w:rPr>
        <w:t>Journal of Substance Abuse Treatment</w:t>
      </w:r>
      <w:r w:rsidRPr="003B41A4">
        <w:rPr>
          <w:rFonts w:ascii="Times New Roman" w:eastAsia="Arial Unicode MS" w:hAnsi="Times New Roman" w:cs="Times New Roman"/>
          <w:b w:val="0"/>
          <w:color w:val="auto"/>
          <w:sz w:val="24"/>
          <w:szCs w:val="24"/>
          <w:shd w:val="clear" w:color="auto" w:fill="FFFFFF"/>
        </w:rPr>
        <w:t>,</w:t>
      </w:r>
      <w:r w:rsidRPr="003B41A4">
        <w:rPr>
          <w:rStyle w:val="apple-converted-space"/>
          <w:rFonts w:ascii="Times New Roman" w:eastAsia="Arial Unicode MS" w:hAnsi="Times New Roman" w:cs="Times New Roman"/>
          <w:b w:val="0"/>
          <w:color w:val="auto"/>
          <w:sz w:val="24"/>
          <w:szCs w:val="24"/>
          <w:shd w:val="clear" w:color="auto" w:fill="FFFFFF"/>
        </w:rPr>
        <w:t> </w:t>
      </w:r>
      <w:r w:rsidRPr="003B41A4">
        <w:rPr>
          <w:rFonts w:ascii="Times New Roman" w:eastAsia="Arial Unicode MS" w:hAnsi="Times New Roman" w:cs="Times New Roman"/>
          <w:b w:val="0"/>
          <w:iCs/>
          <w:color w:val="auto"/>
          <w:sz w:val="24"/>
          <w:szCs w:val="24"/>
          <w:shd w:val="clear" w:color="auto" w:fill="FFFFFF"/>
        </w:rPr>
        <w:t>Volume 45, Issue 2</w:t>
      </w:r>
      <w:r w:rsidRPr="003B41A4">
        <w:rPr>
          <w:rFonts w:ascii="Times New Roman" w:eastAsia="Arial Unicode MS" w:hAnsi="Times New Roman" w:cs="Times New Roman"/>
          <w:b w:val="0"/>
          <w:color w:val="auto"/>
          <w:sz w:val="24"/>
          <w:szCs w:val="24"/>
          <w:shd w:val="clear" w:color="auto" w:fill="FFFFFF"/>
        </w:rPr>
        <w:t>,</w:t>
      </w:r>
      <w:r w:rsidRPr="003B41A4">
        <w:rPr>
          <w:rStyle w:val="apple-converted-space"/>
          <w:rFonts w:ascii="Times New Roman" w:eastAsia="Arial Unicode MS" w:hAnsi="Times New Roman" w:cs="Times New Roman"/>
          <w:b w:val="0"/>
          <w:color w:val="auto"/>
          <w:sz w:val="24"/>
          <w:szCs w:val="24"/>
          <w:shd w:val="clear" w:color="auto" w:fill="FFFFFF"/>
        </w:rPr>
        <w:t> </w:t>
      </w:r>
      <w:r w:rsidRPr="003B41A4">
        <w:rPr>
          <w:rFonts w:ascii="Times New Roman" w:eastAsia="Arial Unicode MS" w:hAnsi="Times New Roman" w:cs="Times New Roman"/>
          <w:b w:val="0"/>
          <w:iCs/>
          <w:color w:val="auto"/>
          <w:sz w:val="24"/>
          <w:szCs w:val="24"/>
          <w:shd w:val="clear" w:color="auto" w:fill="FFFFFF"/>
        </w:rPr>
        <w:t>August 2013</w:t>
      </w:r>
      <w:r w:rsidRPr="003B41A4">
        <w:rPr>
          <w:rFonts w:ascii="Times New Roman" w:eastAsia="Arial Unicode MS" w:hAnsi="Times New Roman" w:cs="Times New Roman"/>
          <w:b w:val="0"/>
          <w:color w:val="auto"/>
          <w:sz w:val="24"/>
          <w:szCs w:val="24"/>
          <w:shd w:val="clear" w:color="auto" w:fill="FFFFFF"/>
        </w:rPr>
        <w:t>,</w:t>
      </w:r>
      <w:r w:rsidRPr="003B41A4">
        <w:rPr>
          <w:rStyle w:val="apple-converted-space"/>
          <w:rFonts w:ascii="Times New Roman" w:eastAsia="Arial Unicode MS" w:hAnsi="Times New Roman" w:cs="Times New Roman"/>
          <w:b w:val="0"/>
          <w:color w:val="auto"/>
          <w:sz w:val="24"/>
          <w:szCs w:val="24"/>
          <w:shd w:val="clear" w:color="auto" w:fill="FFFFFF"/>
        </w:rPr>
        <w:t> </w:t>
      </w:r>
      <w:r w:rsidRPr="003B41A4">
        <w:rPr>
          <w:rFonts w:ascii="Times New Roman" w:eastAsia="Arial Unicode MS" w:hAnsi="Times New Roman" w:cs="Times New Roman"/>
          <w:b w:val="0"/>
          <w:iCs/>
          <w:color w:val="auto"/>
          <w:sz w:val="24"/>
          <w:szCs w:val="24"/>
          <w:shd w:val="clear" w:color="auto" w:fill="FFFFFF"/>
        </w:rPr>
        <w:t>Pages 190-195</w:t>
      </w:r>
      <w:r w:rsidRPr="003B41A4">
        <w:rPr>
          <w:rFonts w:ascii="Times New Roman" w:eastAsia="Arial Unicode MS" w:hAnsi="Times New Roman" w:cs="Times New Roman"/>
          <w:b w:val="0"/>
          <w:color w:val="auto"/>
          <w:sz w:val="24"/>
          <w:szCs w:val="24"/>
        </w:rPr>
        <w:br/>
      </w:r>
    </w:p>
    <w:p w:rsidR="00FC4219" w:rsidRPr="003B41A4" w:rsidRDefault="00FC4219" w:rsidP="00FC4219">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Strang</w:t>
      </w:r>
      <w:proofErr w:type="spellEnd"/>
      <w:r w:rsidRPr="003B41A4">
        <w:rPr>
          <w:rFonts w:ascii="Times New Roman" w:hAnsi="Times New Roman"/>
          <w:sz w:val="24"/>
          <w:szCs w:val="24"/>
        </w:rPr>
        <w:t xml:space="preserve">, J., </w:t>
      </w:r>
      <w:proofErr w:type="spellStart"/>
      <w:r w:rsidRPr="003B41A4">
        <w:rPr>
          <w:rFonts w:ascii="Times New Roman" w:hAnsi="Times New Roman"/>
          <w:sz w:val="24"/>
          <w:szCs w:val="24"/>
        </w:rPr>
        <w:t>Babor</w:t>
      </w:r>
      <w:proofErr w:type="spellEnd"/>
      <w:r w:rsidRPr="003B41A4">
        <w:rPr>
          <w:rFonts w:ascii="Times New Roman" w:hAnsi="Times New Roman"/>
          <w:sz w:val="24"/>
          <w:szCs w:val="24"/>
        </w:rPr>
        <w:t xml:space="preserve">, T., </w:t>
      </w:r>
      <w:proofErr w:type="spellStart"/>
      <w:r w:rsidRPr="003B41A4">
        <w:rPr>
          <w:rFonts w:ascii="Times New Roman" w:hAnsi="Times New Roman"/>
          <w:sz w:val="24"/>
          <w:szCs w:val="24"/>
        </w:rPr>
        <w:t>Caulkins</w:t>
      </w:r>
      <w:proofErr w:type="spellEnd"/>
      <w:r w:rsidRPr="003B41A4">
        <w:rPr>
          <w:rFonts w:ascii="Times New Roman" w:hAnsi="Times New Roman"/>
          <w:sz w:val="24"/>
          <w:szCs w:val="24"/>
        </w:rPr>
        <w:t xml:space="preserve">, J., Fischer, B., </w:t>
      </w:r>
      <w:proofErr w:type="spellStart"/>
      <w:r w:rsidRPr="003B41A4">
        <w:rPr>
          <w:rFonts w:ascii="Times New Roman" w:hAnsi="Times New Roman"/>
          <w:sz w:val="24"/>
          <w:szCs w:val="24"/>
        </w:rPr>
        <w:t>Foxcroft</w:t>
      </w:r>
      <w:proofErr w:type="spellEnd"/>
      <w:r w:rsidRPr="003B41A4">
        <w:rPr>
          <w:rFonts w:ascii="Times New Roman" w:hAnsi="Times New Roman"/>
          <w:sz w:val="24"/>
          <w:szCs w:val="24"/>
        </w:rPr>
        <w:t>, D., &amp; Humphreys, K. (2012).</w:t>
      </w:r>
      <w:proofErr w:type="gramEnd"/>
      <w:r w:rsidRPr="003B41A4">
        <w:rPr>
          <w:rFonts w:ascii="Times New Roman" w:hAnsi="Times New Roman"/>
          <w:sz w:val="24"/>
          <w:szCs w:val="24"/>
        </w:rPr>
        <w:t xml:space="preserve"> Drug policy and the public good: Evidence for effective </w:t>
      </w:r>
      <w:proofErr w:type="spellStart"/>
      <w:r w:rsidRPr="003B41A4">
        <w:rPr>
          <w:rFonts w:ascii="Times New Roman" w:hAnsi="Times New Roman"/>
          <w:sz w:val="24"/>
          <w:szCs w:val="24"/>
        </w:rPr>
        <w:t>interventions.The</w:t>
      </w:r>
      <w:proofErr w:type="spellEnd"/>
      <w:r w:rsidRPr="003B41A4">
        <w:rPr>
          <w:rFonts w:ascii="Times New Roman" w:hAnsi="Times New Roman"/>
          <w:sz w:val="24"/>
          <w:szCs w:val="24"/>
        </w:rPr>
        <w:t xml:space="preserve"> Lancet, 379(9810)</w:t>
      </w:r>
      <w:proofErr w:type="gramStart"/>
      <w:r w:rsidRPr="003B41A4">
        <w:rPr>
          <w:rFonts w:ascii="Times New Roman" w:hAnsi="Times New Roman"/>
          <w:sz w:val="24"/>
          <w:szCs w:val="24"/>
        </w:rPr>
        <w:t>,71</w:t>
      </w:r>
      <w:proofErr w:type="gramEnd"/>
      <w:r w:rsidRPr="003B41A4">
        <w:rPr>
          <w:rFonts w:ascii="Times New Roman" w:hAnsi="Times New Roman"/>
          <w:sz w:val="24"/>
          <w:szCs w:val="24"/>
        </w:rPr>
        <w:t>–83.</w:t>
      </w:r>
    </w:p>
    <w:p w:rsidR="00FC4219" w:rsidRPr="003B41A4" w:rsidRDefault="00FC4219" w:rsidP="00FC4219">
      <w:pPr>
        <w:spacing w:after="0" w:line="240" w:lineRule="auto"/>
        <w:jc w:val="both"/>
        <w:rPr>
          <w:rFonts w:ascii="Times New Roman" w:hAnsi="Times New Roman"/>
          <w:b/>
          <w:sz w:val="24"/>
          <w:szCs w:val="24"/>
        </w:rPr>
      </w:pPr>
    </w:p>
    <w:p w:rsidR="00FC4219" w:rsidRPr="00FC4219" w:rsidRDefault="00FC4219" w:rsidP="00FC4219">
      <w:pPr>
        <w:spacing w:after="0" w:line="240" w:lineRule="auto"/>
        <w:jc w:val="both"/>
        <w:rPr>
          <w:rFonts w:ascii="Times New Roman" w:hAnsi="Times New Roman"/>
          <w:b/>
          <w:sz w:val="24"/>
          <w:szCs w:val="24"/>
        </w:rPr>
      </w:pPr>
      <w:proofErr w:type="spellStart"/>
      <w:proofErr w:type="gramStart"/>
      <w:r w:rsidRPr="003B41A4">
        <w:rPr>
          <w:rFonts w:ascii="Times New Roman" w:hAnsi="Times New Roman"/>
          <w:sz w:val="24"/>
          <w:szCs w:val="24"/>
          <w:shd w:val="clear" w:color="auto" w:fill="FFFFFF"/>
        </w:rPr>
        <w:t>Švaljek</w:t>
      </w:r>
      <w:proofErr w:type="spellEnd"/>
      <w:r w:rsidRPr="003B41A4">
        <w:rPr>
          <w:rFonts w:ascii="Times New Roman" w:hAnsi="Times New Roman"/>
          <w:sz w:val="24"/>
          <w:szCs w:val="24"/>
          <w:shd w:val="clear" w:color="auto" w:fill="FFFFFF"/>
        </w:rPr>
        <w:t xml:space="preserve"> S., </w:t>
      </w:r>
      <w:proofErr w:type="spellStart"/>
      <w:r w:rsidRPr="003B41A4">
        <w:rPr>
          <w:rFonts w:ascii="Times New Roman" w:hAnsi="Times New Roman"/>
          <w:sz w:val="24"/>
          <w:szCs w:val="24"/>
          <w:shd w:val="clear" w:color="auto" w:fill="FFFFFF"/>
        </w:rPr>
        <w:t>Budak</w:t>
      </w:r>
      <w:proofErr w:type="spellEnd"/>
      <w:r w:rsidRPr="003B41A4">
        <w:rPr>
          <w:rFonts w:ascii="Times New Roman" w:hAnsi="Times New Roman"/>
          <w:sz w:val="24"/>
          <w:szCs w:val="24"/>
          <w:shd w:val="clear" w:color="auto" w:fill="FFFFFF"/>
        </w:rPr>
        <w:t xml:space="preserve"> J., 2014.</w:t>
      </w:r>
      <w:proofErr w:type="gramEnd"/>
      <w:r w:rsidRPr="003B41A4">
        <w:rPr>
          <w:rStyle w:val="apple-converted-space"/>
          <w:rFonts w:ascii="Times New Roman" w:hAnsi="Times New Roman"/>
          <w:sz w:val="24"/>
          <w:szCs w:val="24"/>
          <w:shd w:val="clear" w:color="auto" w:fill="FFFFFF"/>
        </w:rPr>
        <w:t> </w:t>
      </w:r>
      <w:hyperlink r:id="rId15" w:history="1">
        <w:r w:rsidRPr="00FC4219">
          <w:rPr>
            <w:rStyle w:val="Hiperveza"/>
            <w:rFonts w:ascii="Times New Roman" w:hAnsi="Times New Roman"/>
            <w:color w:val="auto"/>
            <w:sz w:val="24"/>
            <w:szCs w:val="24"/>
            <w:u w:val="none"/>
            <w:shd w:val="clear" w:color="auto" w:fill="FFFFFF"/>
          </w:rPr>
          <w:t>The Structure of Public Spending on Drug Policy in Croatia: What are the Priorities?</w:t>
        </w:r>
      </w:hyperlink>
      <w:r w:rsidRPr="00FC4219">
        <w:rPr>
          <w:rFonts w:ascii="Times New Roman" w:hAnsi="Times New Roman"/>
          <w:sz w:val="24"/>
          <w:szCs w:val="24"/>
        </w:rPr>
        <w:t>,</w:t>
      </w:r>
      <w:r w:rsidRPr="00FC4219">
        <w:rPr>
          <w:rStyle w:val="apple-converted-space"/>
          <w:rFonts w:ascii="Times New Roman" w:hAnsi="Times New Roman"/>
          <w:sz w:val="24"/>
          <w:szCs w:val="24"/>
          <w:shd w:val="clear" w:color="auto" w:fill="FFFFFF"/>
        </w:rPr>
        <w:t xml:space="preserve"> </w:t>
      </w:r>
      <w:proofErr w:type="spellStart"/>
      <w:r w:rsidRPr="00FC4219">
        <w:rPr>
          <w:rStyle w:val="apple-converted-space"/>
          <w:rFonts w:ascii="Times New Roman" w:hAnsi="Times New Roman"/>
          <w:sz w:val="24"/>
          <w:szCs w:val="24"/>
          <w:shd w:val="clear" w:color="auto" w:fill="FFFFFF"/>
        </w:rPr>
        <w:t>Društvena</w:t>
      </w:r>
      <w:proofErr w:type="spellEnd"/>
      <w:r w:rsidRPr="00FC4219">
        <w:rPr>
          <w:rStyle w:val="apple-converted-space"/>
          <w:rFonts w:ascii="Times New Roman" w:hAnsi="Times New Roman"/>
          <w:sz w:val="24"/>
          <w:szCs w:val="24"/>
          <w:shd w:val="clear" w:color="auto" w:fill="FFFFFF"/>
        </w:rPr>
        <w:t xml:space="preserve"> </w:t>
      </w:r>
      <w:proofErr w:type="spellStart"/>
      <w:r w:rsidRPr="00FC4219">
        <w:rPr>
          <w:rStyle w:val="apple-converted-space"/>
          <w:rFonts w:ascii="Times New Roman" w:hAnsi="Times New Roman"/>
          <w:sz w:val="24"/>
          <w:szCs w:val="24"/>
          <w:shd w:val="clear" w:color="auto" w:fill="FFFFFF"/>
        </w:rPr>
        <w:t>istraživanja</w:t>
      </w:r>
      <w:proofErr w:type="spellEnd"/>
      <w:r w:rsidRPr="00FC4219">
        <w:rPr>
          <w:rStyle w:val="apple-converted-space"/>
          <w:rFonts w:ascii="Times New Roman" w:hAnsi="Times New Roman"/>
          <w:sz w:val="24"/>
          <w:szCs w:val="24"/>
          <w:shd w:val="clear" w:color="auto" w:fill="FFFFFF"/>
        </w:rPr>
        <w:t xml:space="preserve">, </w:t>
      </w:r>
      <w:r w:rsidRPr="00FC4219">
        <w:rPr>
          <w:rFonts w:ascii="Times New Roman" w:eastAsia="Times New Roman" w:hAnsi="Times New Roman"/>
          <w:bCs/>
          <w:kern w:val="36"/>
          <w:sz w:val="24"/>
          <w:szCs w:val="24"/>
          <w:lang w:eastAsia="hr-HR"/>
        </w:rPr>
        <w:t>Vol.23 No.3, p. 407-425</w:t>
      </w:r>
    </w:p>
    <w:p w:rsidR="00FC4219" w:rsidRPr="00FC4219" w:rsidRDefault="00FC4219" w:rsidP="00FC4219">
      <w:pPr>
        <w:pStyle w:val="Naslov2"/>
        <w:shd w:val="clear" w:color="auto" w:fill="FFFFFF"/>
        <w:spacing w:before="0"/>
        <w:rPr>
          <w:rFonts w:ascii="Calibri" w:eastAsia="Calibri" w:hAnsi="Calibri" w:cs="Times New Roman"/>
          <w:bCs w:val="0"/>
          <w:color w:val="auto"/>
          <w:sz w:val="22"/>
          <w:szCs w:val="22"/>
          <w:lang w:eastAsia="en-US"/>
        </w:rPr>
      </w:pPr>
    </w:p>
    <w:p w:rsidR="00921B0B" w:rsidRDefault="00921B0B" w:rsidP="00921B0B">
      <w:pPr>
        <w:jc w:val="both"/>
        <w:rPr>
          <w:rFonts w:ascii="Times New Roman" w:hAnsi="Times New Roman"/>
          <w:sz w:val="24"/>
          <w:szCs w:val="24"/>
        </w:rPr>
      </w:pPr>
      <w:r w:rsidRPr="00921B0B">
        <w:rPr>
          <w:rFonts w:ascii="Times New Roman" w:hAnsi="Times New Roman"/>
          <w:sz w:val="24"/>
          <w:szCs w:val="24"/>
        </w:rPr>
        <w:t xml:space="preserve">Recent trends in drug-related public expenditure and drug-related services in France, available on </w:t>
      </w:r>
      <w:hyperlink r:id="rId16" w:history="1">
        <w:r w:rsidRPr="00921B0B">
          <w:rPr>
            <w:rStyle w:val="Hiperveza"/>
            <w:rFonts w:ascii="Times New Roman" w:hAnsi="Times New Roman"/>
            <w:sz w:val="24"/>
            <w:szCs w:val="24"/>
          </w:rPr>
          <w:t>http://en.ofdt.fr/BDD/publications/docs/nr2012si2.pdf</w:t>
        </w:r>
      </w:hyperlink>
      <w:r w:rsidRPr="00921B0B">
        <w:rPr>
          <w:rFonts w:ascii="Times New Roman" w:hAnsi="Times New Roman"/>
          <w:sz w:val="24"/>
          <w:szCs w:val="24"/>
        </w:rPr>
        <w:t xml:space="preserve"> </w:t>
      </w:r>
    </w:p>
    <w:p w:rsidR="00DE2923" w:rsidRPr="00DE2923" w:rsidRDefault="00DE2923" w:rsidP="00DE2923">
      <w:pPr>
        <w:jc w:val="both"/>
        <w:rPr>
          <w:rFonts w:ascii="Times New Roman" w:hAnsi="Times New Roman"/>
          <w:i/>
          <w:sz w:val="24"/>
          <w:szCs w:val="24"/>
          <w:u w:val="single"/>
        </w:rPr>
      </w:pPr>
      <w:r w:rsidRPr="00DE2923">
        <w:rPr>
          <w:rFonts w:ascii="Times New Roman" w:hAnsi="Times New Roman"/>
          <w:i/>
          <w:sz w:val="24"/>
          <w:szCs w:val="24"/>
          <w:u w:val="single"/>
        </w:rPr>
        <w:t>References (Fatima)</w:t>
      </w:r>
    </w:p>
    <w:p w:rsidR="00DE2923" w:rsidRPr="00DE2923" w:rsidRDefault="00DE2923" w:rsidP="00DE2923">
      <w:pPr>
        <w:autoSpaceDE w:val="0"/>
        <w:autoSpaceDN w:val="0"/>
        <w:adjustRightInd w:val="0"/>
        <w:spacing w:after="0" w:line="240" w:lineRule="auto"/>
        <w:jc w:val="both"/>
        <w:rPr>
          <w:rFonts w:ascii="Times New Roman" w:hAnsi="Times New Roman"/>
          <w:iCs/>
          <w:sz w:val="24"/>
          <w:szCs w:val="24"/>
        </w:rPr>
      </w:pP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(2008), ‘FY02-09 Budget emphasizes least effective ingredients of drug policy’, </w:t>
      </w: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LLC, policy brief, February 2008: http://www.carnevaleassociates.com/Federal_Drug_Budget_FY02_09_Trend.pdf</w:t>
      </w: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autoSpaceDE w:val="0"/>
        <w:autoSpaceDN w:val="0"/>
        <w:adjustRightInd w:val="0"/>
        <w:spacing w:after="0" w:line="240" w:lineRule="auto"/>
        <w:jc w:val="both"/>
        <w:rPr>
          <w:rFonts w:ascii="Times New Roman" w:hAnsi="Times New Roman"/>
          <w:iCs/>
          <w:sz w:val="24"/>
          <w:szCs w:val="24"/>
        </w:rPr>
      </w:pPr>
      <w:proofErr w:type="gramStart"/>
      <w:r w:rsidRPr="00DE2923">
        <w:rPr>
          <w:rFonts w:ascii="Times New Roman" w:hAnsi="Times New Roman"/>
          <w:iCs/>
          <w:sz w:val="24"/>
          <w:szCs w:val="24"/>
        </w:rPr>
        <w:t>EMCDDA (2007).</w:t>
      </w:r>
      <w:proofErr w:type="gramEnd"/>
      <w:r w:rsidRPr="00DE2923">
        <w:rPr>
          <w:rFonts w:ascii="Times New Roman" w:hAnsi="Times New Roman"/>
          <w:iCs/>
          <w:sz w:val="24"/>
          <w:szCs w:val="24"/>
        </w:rPr>
        <w:t xml:space="preserve"> “The State of the Drug Problem in Europe,” 2007 Annual Report, pp. 12–13, Luxembourg: Office for Official Publication of the European Communities.</w:t>
      </w: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autoSpaceDE w:val="0"/>
        <w:autoSpaceDN w:val="0"/>
        <w:adjustRightInd w:val="0"/>
        <w:spacing w:after="0" w:line="240" w:lineRule="auto"/>
        <w:jc w:val="both"/>
        <w:rPr>
          <w:rFonts w:ascii="Times New Roman" w:hAnsi="Times New Roman"/>
          <w:iCs/>
          <w:sz w:val="24"/>
          <w:szCs w:val="24"/>
        </w:rPr>
      </w:pPr>
      <w:proofErr w:type="gramStart"/>
      <w:r w:rsidRPr="00DE2923">
        <w:rPr>
          <w:rFonts w:ascii="Times New Roman" w:hAnsi="Times New Roman"/>
          <w:sz w:val="24"/>
          <w:szCs w:val="24"/>
          <w:lang w:eastAsia="nl-BE"/>
        </w:rPr>
        <w:t>EMCDDA (2008).</w:t>
      </w:r>
      <w:proofErr w:type="gramEnd"/>
      <w:r w:rsidRPr="00DE2923">
        <w:rPr>
          <w:rFonts w:ascii="Times New Roman" w:hAnsi="Times New Roman"/>
          <w:sz w:val="24"/>
          <w:szCs w:val="24"/>
          <w:lang w:eastAsia="nl-BE"/>
        </w:rPr>
        <w:t xml:space="preserve"> Towards a better understanding of drug-related expenditure in Europe, EMCDDA, Selected Issues 2008,</w:t>
      </w:r>
      <w:r w:rsidRPr="00DE2923">
        <w:rPr>
          <w:rFonts w:ascii="Times New Roman" w:hAnsi="Times New Roman"/>
          <w:iCs/>
          <w:sz w:val="24"/>
          <w:szCs w:val="24"/>
        </w:rPr>
        <w:t xml:space="preserve"> Luxembourg: Office for Official Publication of the European Communities.</w:t>
      </w: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autoSpaceDE w:val="0"/>
        <w:autoSpaceDN w:val="0"/>
        <w:adjustRightInd w:val="0"/>
        <w:spacing w:after="0" w:line="240" w:lineRule="auto"/>
        <w:jc w:val="both"/>
        <w:rPr>
          <w:rFonts w:ascii="Times New Roman" w:hAnsi="Times New Roman"/>
          <w:iCs/>
          <w:sz w:val="24"/>
          <w:szCs w:val="24"/>
        </w:rPr>
      </w:pPr>
      <w:proofErr w:type="gramStart"/>
      <w:r w:rsidRPr="00DE2923">
        <w:rPr>
          <w:rFonts w:ascii="Times New Roman" w:hAnsi="Times New Roman"/>
          <w:iCs/>
          <w:sz w:val="24"/>
          <w:szCs w:val="24"/>
        </w:rPr>
        <w:t>EMCDDA (2014).</w:t>
      </w:r>
      <w:proofErr w:type="gramEnd"/>
      <w:r w:rsidRPr="00DE2923">
        <w:rPr>
          <w:rFonts w:ascii="Times New Roman" w:hAnsi="Times New Roman"/>
          <w:iCs/>
          <w:sz w:val="24"/>
          <w:szCs w:val="24"/>
        </w:rPr>
        <w:t xml:space="preserve"> Estimating public expenditure on drug-law offenders in prison in Europe, EMCDDA, </w:t>
      </w:r>
      <w:proofErr w:type="gramStart"/>
      <w:r w:rsidRPr="00DE2923">
        <w:rPr>
          <w:rFonts w:ascii="Times New Roman" w:hAnsi="Times New Roman"/>
          <w:iCs/>
          <w:sz w:val="24"/>
          <w:szCs w:val="24"/>
        </w:rPr>
        <w:t>Selected</w:t>
      </w:r>
      <w:proofErr w:type="gramEnd"/>
      <w:r w:rsidRPr="00DE2923">
        <w:rPr>
          <w:rFonts w:ascii="Times New Roman" w:hAnsi="Times New Roman"/>
          <w:iCs/>
          <w:sz w:val="24"/>
          <w:szCs w:val="24"/>
        </w:rPr>
        <w:t xml:space="preserve"> Papers 2014. Luxembourg: Office for Official Publication of the European Communities</w:t>
      </w:r>
      <w:proofErr w:type="gramStart"/>
      <w:r w:rsidRPr="00DE2923">
        <w:rPr>
          <w:rFonts w:ascii="Times New Roman" w:hAnsi="Times New Roman"/>
          <w:iCs/>
          <w:sz w:val="24"/>
          <w:szCs w:val="24"/>
        </w:rPr>
        <w:t>..</w:t>
      </w:r>
      <w:proofErr w:type="gramEnd"/>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roofErr w:type="spellStart"/>
      <w:r w:rsidRPr="00DE2923">
        <w:rPr>
          <w:rFonts w:ascii="Times New Roman" w:hAnsi="Times New Roman" w:cs="Times New Roman"/>
          <w:iCs/>
          <w:sz w:val="24"/>
          <w:szCs w:val="24"/>
          <w:lang w:val="en-GB"/>
        </w:rPr>
        <w:t>Ló</w:t>
      </w:r>
      <w:proofErr w:type="spellEnd"/>
      <w:r w:rsidRPr="00DE2923">
        <w:rPr>
          <w:rFonts w:ascii="Times New Roman" w:hAnsi="Times New Roman" w:cs="Times New Roman"/>
          <w:iCs/>
          <w:sz w:val="24"/>
          <w:szCs w:val="24"/>
          <w:lang w:val="en-GB"/>
        </w:rPr>
        <w:t xml:space="preserve">, A. &amp; Albuquerque, S., (2015). Decriminalisation: an opportunity to change, Lisbon, SICAD, </w:t>
      </w:r>
      <w:hyperlink r:id="rId17" w:history="1">
        <w:r w:rsidRPr="00DE2923">
          <w:rPr>
            <w:rFonts w:ascii="Times New Roman" w:hAnsi="Times New Roman" w:cs="Times New Roman"/>
            <w:iCs/>
            <w:sz w:val="24"/>
            <w:szCs w:val="24"/>
            <w:lang w:val="en-GB"/>
          </w:rPr>
          <w:t>http://www.sicad.pt/PT/Intervencao/Materiais/Paginas/default.aspx</w:t>
        </w:r>
      </w:hyperlink>
      <w:r w:rsidRPr="00DE2923">
        <w:rPr>
          <w:rFonts w:ascii="Times New Roman" w:hAnsi="Times New Roman" w:cs="Times New Roman"/>
          <w:iCs/>
          <w:sz w:val="24"/>
          <w:szCs w:val="24"/>
          <w:lang w:val="en-GB"/>
        </w:rPr>
        <w:t>.</w:t>
      </w: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
    <w:p w:rsidR="00DE2923" w:rsidRPr="00DE2923" w:rsidRDefault="00DE2923" w:rsidP="00DE2923">
      <w:pPr>
        <w:pStyle w:val="HTMLunaprijedoblikovano"/>
        <w:shd w:val="clear" w:color="auto" w:fill="FFFFFF"/>
        <w:jc w:val="both"/>
        <w:rPr>
          <w:rFonts w:ascii="Times New Roman" w:hAnsi="Times New Roman" w:cs="Times New Roman"/>
          <w:sz w:val="24"/>
          <w:szCs w:val="24"/>
          <w:lang w:val="en-GB"/>
        </w:rPr>
      </w:pPr>
      <w:r w:rsidRPr="00DE2923">
        <w:rPr>
          <w:rFonts w:ascii="Times New Roman" w:hAnsi="Times New Roman" w:cs="Times New Roman"/>
          <w:sz w:val="24"/>
          <w:szCs w:val="24"/>
        </w:rPr>
        <w:t xml:space="preserve">National Drug </w:t>
      </w:r>
      <w:proofErr w:type="spellStart"/>
      <w:r w:rsidRPr="00DE2923">
        <w:rPr>
          <w:rFonts w:ascii="Times New Roman" w:hAnsi="Times New Roman" w:cs="Times New Roman"/>
          <w:sz w:val="24"/>
          <w:szCs w:val="24"/>
        </w:rPr>
        <w:t>Intelligence</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Center</w:t>
      </w:r>
      <w:proofErr w:type="spellEnd"/>
      <w:r w:rsidRPr="00DE2923">
        <w:rPr>
          <w:rFonts w:ascii="Times New Roman" w:hAnsi="Times New Roman" w:cs="Times New Roman"/>
          <w:sz w:val="24"/>
          <w:szCs w:val="24"/>
        </w:rPr>
        <w:t xml:space="preserve"> (2011). </w:t>
      </w:r>
      <w:proofErr w:type="gramStart"/>
      <w:r w:rsidRPr="00DE2923">
        <w:rPr>
          <w:rFonts w:ascii="Times New Roman" w:eastAsiaTheme="minorHAnsi" w:hAnsi="Times New Roman" w:cs="Times New Roman"/>
          <w:sz w:val="24"/>
          <w:szCs w:val="24"/>
          <w:lang w:val="en-GB" w:eastAsia="en-US"/>
        </w:rPr>
        <w:t>The Economic Impact of Illicit Drug Use on American Society.</w:t>
      </w:r>
      <w:proofErr w:type="gramEnd"/>
      <w:r w:rsidRPr="00DE2923">
        <w:rPr>
          <w:rFonts w:ascii="Times New Roman" w:eastAsiaTheme="minorHAnsi" w:hAnsi="Times New Roman" w:cs="Times New Roman"/>
          <w:sz w:val="24"/>
          <w:szCs w:val="24"/>
          <w:lang w:val="en-GB" w:eastAsia="en-US"/>
        </w:rPr>
        <w:t xml:space="preserve"> </w:t>
      </w:r>
      <w:r w:rsidRPr="00DE2923">
        <w:rPr>
          <w:rFonts w:ascii="Times New Roman" w:hAnsi="Times New Roman" w:cs="Times New Roman"/>
          <w:sz w:val="24"/>
          <w:szCs w:val="24"/>
          <w:lang w:val="en-GB"/>
        </w:rPr>
        <w:t>United States Department of Justice, Washington, D.C.: April 2011.</w:t>
      </w: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roofErr w:type="spellStart"/>
      <w:r w:rsidRPr="00DE2923">
        <w:rPr>
          <w:rFonts w:ascii="Times New Roman" w:hAnsi="Times New Roman" w:cs="Times New Roman"/>
          <w:iCs/>
          <w:sz w:val="24"/>
          <w:szCs w:val="24"/>
          <w:lang w:val="en-GB"/>
        </w:rPr>
        <w:t>Pacula</w:t>
      </w:r>
      <w:proofErr w:type="spellEnd"/>
      <w:r w:rsidRPr="00DE2923">
        <w:rPr>
          <w:rFonts w:ascii="Times New Roman" w:hAnsi="Times New Roman" w:cs="Times New Roman"/>
          <w:iCs/>
          <w:sz w:val="24"/>
          <w:szCs w:val="24"/>
          <w:lang w:val="en-GB"/>
        </w:rPr>
        <w:t xml:space="preserve">, R.L., </w:t>
      </w:r>
      <w:proofErr w:type="spellStart"/>
      <w:r w:rsidRPr="00DE2923">
        <w:rPr>
          <w:rFonts w:ascii="Times New Roman" w:hAnsi="Times New Roman" w:cs="Times New Roman"/>
          <w:iCs/>
          <w:sz w:val="24"/>
          <w:szCs w:val="24"/>
          <w:lang w:val="en-GB"/>
        </w:rPr>
        <w:t>Hoorens</w:t>
      </w:r>
      <w:proofErr w:type="spellEnd"/>
      <w:r w:rsidRPr="00DE2923">
        <w:rPr>
          <w:rFonts w:ascii="Times New Roman" w:hAnsi="Times New Roman" w:cs="Times New Roman"/>
          <w:iCs/>
          <w:sz w:val="24"/>
          <w:szCs w:val="24"/>
          <w:lang w:val="en-GB"/>
        </w:rPr>
        <w:t xml:space="preserve">, S., Kilmer, B., Reuter, PH., </w:t>
      </w:r>
      <w:proofErr w:type="spellStart"/>
      <w:r w:rsidRPr="00DE2923">
        <w:rPr>
          <w:rFonts w:ascii="Times New Roman" w:hAnsi="Times New Roman" w:cs="Times New Roman"/>
          <w:iCs/>
          <w:sz w:val="24"/>
          <w:szCs w:val="24"/>
          <w:lang w:val="en-GB"/>
        </w:rPr>
        <w:t>Burgdorf</w:t>
      </w:r>
      <w:proofErr w:type="spellEnd"/>
      <w:r w:rsidRPr="00DE2923">
        <w:rPr>
          <w:rFonts w:ascii="Times New Roman" w:hAnsi="Times New Roman" w:cs="Times New Roman"/>
          <w:iCs/>
          <w:sz w:val="24"/>
          <w:szCs w:val="24"/>
          <w:lang w:val="en-GB"/>
        </w:rPr>
        <w:t>, J.R., &amp; Hunt, P. (2009). Issues in estimating the economic cost of drug abuse in consuming nations, Report 3, RAND Europe.</w:t>
      </w:r>
    </w:p>
    <w:p w:rsidR="00DE2923" w:rsidRPr="00DE2923" w:rsidRDefault="00DE2923" w:rsidP="00DE2923">
      <w:pPr>
        <w:spacing w:after="0" w:line="240" w:lineRule="auto"/>
        <w:jc w:val="both"/>
        <w:rPr>
          <w:rFonts w:ascii="Times New Roman" w:hAnsi="Times New Roman"/>
          <w:sz w:val="24"/>
          <w:szCs w:val="24"/>
        </w:rPr>
      </w:pPr>
    </w:p>
    <w:p w:rsidR="00DE2923" w:rsidRPr="00DE2923" w:rsidRDefault="00DE2923" w:rsidP="00DE2923">
      <w:pPr>
        <w:spacing w:after="0" w:line="240" w:lineRule="auto"/>
        <w:jc w:val="both"/>
        <w:rPr>
          <w:rFonts w:ascii="Times New Roman" w:hAnsi="Times New Roman"/>
          <w:sz w:val="24"/>
          <w:szCs w:val="24"/>
        </w:rPr>
      </w:pPr>
      <w:proofErr w:type="gramStart"/>
      <w:r w:rsidRPr="00DE2923">
        <w:rPr>
          <w:rFonts w:ascii="Times New Roman" w:hAnsi="Times New Roman"/>
          <w:sz w:val="24"/>
          <w:szCs w:val="24"/>
        </w:rPr>
        <w:t xml:space="preserve">Kopp, P. &amp; </w:t>
      </w:r>
      <w:proofErr w:type="spellStart"/>
      <w:r w:rsidRPr="00DE2923">
        <w:rPr>
          <w:rFonts w:ascii="Times New Roman" w:hAnsi="Times New Roman"/>
          <w:sz w:val="24"/>
          <w:szCs w:val="24"/>
        </w:rPr>
        <w:t>Fenoglio</w:t>
      </w:r>
      <w:proofErr w:type="spellEnd"/>
      <w:r w:rsidRPr="00DE2923">
        <w:rPr>
          <w:rFonts w:ascii="Times New Roman" w:hAnsi="Times New Roman"/>
          <w:sz w:val="24"/>
          <w:szCs w:val="24"/>
        </w:rPr>
        <w:t>, P. (2003).</w:t>
      </w:r>
      <w:proofErr w:type="gramEnd"/>
      <w:r w:rsidRPr="00DE2923">
        <w:rPr>
          <w:rFonts w:ascii="Times New Roman" w:hAnsi="Times New Roman"/>
          <w:sz w:val="24"/>
          <w:szCs w:val="24"/>
        </w:rPr>
        <w:t xml:space="preserve"> </w:t>
      </w:r>
      <w:proofErr w:type="gramStart"/>
      <w:r w:rsidRPr="00DE2923">
        <w:rPr>
          <w:rFonts w:ascii="Times New Roman" w:hAnsi="Times New Roman"/>
          <w:sz w:val="24"/>
          <w:szCs w:val="24"/>
        </w:rPr>
        <w:t>Public spending on drugs in the European Union during the 1990s, Lisbon, EMCDDA.</w:t>
      </w:r>
      <w:proofErr w:type="gramEnd"/>
    </w:p>
    <w:p w:rsidR="00DE2923" w:rsidRPr="00DE2923" w:rsidRDefault="00DE2923" w:rsidP="00DE2923">
      <w:pPr>
        <w:spacing w:after="0" w:line="240" w:lineRule="auto"/>
        <w:jc w:val="both"/>
        <w:rPr>
          <w:rFonts w:ascii="Times New Roman" w:hAnsi="Times New Roman"/>
          <w:sz w:val="24"/>
          <w:szCs w:val="24"/>
        </w:rPr>
      </w:pP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roofErr w:type="spellStart"/>
      <w:r w:rsidRPr="00DE2923">
        <w:rPr>
          <w:rFonts w:ascii="Times New Roman" w:hAnsi="Times New Roman" w:cs="Times New Roman"/>
          <w:sz w:val="24"/>
          <w:szCs w:val="24"/>
        </w:rPr>
        <w:t>Kopp</w:t>
      </w:r>
      <w:proofErr w:type="spellEnd"/>
      <w:r w:rsidRPr="00DE2923">
        <w:rPr>
          <w:rFonts w:ascii="Times New Roman" w:hAnsi="Times New Roman" w:cs="Times New Roman"/>
          <w:sz w:val="24"/>
          <w:szCs w:val="24"/>
        </w:rPr>
        <w:t xml:space="preserve">, P. (2006). </w:t>
      </w:r>
      <w:proofErr w:type="spellStart"/>
      <w:r w:rsidRPr="00DE2923">
        <w:rPr>
          <w:rFonts w:ascii="Times New Roman" w:hAnsi="Times New Roman" w:cs="Times New Roman"/>
          <w:sz w:val="24"/>
          <w:szCs w:val="24"/>
        </w:rPr>
        <w:t>Économie</w:t>
      </w:r>
      <w:proofErr w:type="spellEnd"/>
      <w:r w:rsidRPr="00DE2923">
        <w:rPr>
          <w:rFonts w:ascii="Times New Roman" w:hAnsi="Times New Roman" w:cs="Times New Roman"/>
          <w:sz w:val="24"/>
          <w:szCs w:val="24"/>
        </w:rPr>
        <w:t xml:space="preserve"> de </w:t>
      </w:r>
      <w:proofErr w:type="spellStart"/>
      <w:r w:rsidRPr="00DE2923">
        <w:rPr>
          <w:rFonts w:ascii="Times New Roman" w:hAnsi="Times New Roman" w:cs="Times New Roman"/>
          <w:sz w:val="24"/>
          <w:szCs w:val="24"/>
        </w:rPr>
        <w:t>la</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drogue</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Paris</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Éditions</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La</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Découverte</w:t>
      </w:r>
      <w:proofErr w:type="spellEnd"/>
      <w:r w:rsidRPr="00DE2923">
        <w:rPr>
          <w:rFonts w:ascii="Times New Roman" w:hAnsi="Times New Roman" w:cs="Times New Roman"/>
          <w:sz w:val="24"/>
          <w:szCs w:val="24"/>
        </w:rPr>
        <w:t>.</w:t>
      </w: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roofErr w:type="spellStart"/>
      <w:r w:rsidRPr="00DE2923">
        <w:rPr>
          <w:rFonts w:ascii="Times New Roman" w:hAnsi="Times New Roman" w:cs="Times New Roman"/>
          <w:sz w:val="24"/>
          <w:szCs w:val="24"/>
        </w:rPr>
        <w:t>Kopp</w:t>
      </w:r>
      <w:proofErr w:type="spellEnd"/>
      <w:r w:rsidRPr="00DE2923">
        <w:rPr>
          <w:rFonts w:ascii="Times New Roman" w:hAnsi="Times New Roman" w:cs="Times New Roman"/>
          <w:sz w:val="24"/>
          <w:szCs w:val="24"/>
        </w:rPr>
        <w:t xml:space="preserve">, P. (2015). </w:t>
      </w:r>
      <w:proofErr w:type="spellStart"/>
      <w:r w:rsidRPr="00DE2923">
        <w:rPr>
          <w:rFonts w:ascii="Times New Roman" w:hAnsi="Times New Roman" w:cs="Times New Roman"/>
          <w:sz w:val="24"/>
          <w:szCs w:val="24"/>
        </w:rPr>
        <w:t>Le</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côut</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social</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des</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drogues</w:t>
      </w:r>
      <w:proofErr w:type="spellEnd"/>
      <w:r w:rsidRPr="00DE2923">
        <w:rPr>
          <w:rFonts w:ascii="Times New Roman" w:hAnsi="Times New Roman" w:cs="Times New Roman"/>
          <w:sz w:val="24"/>
          <w:szCs w:val="24"/>
        </w:rPr>
        <w:t xml:space="preserve"> </w:t>
      </w:r>
      <w:proofErr w:type="spellStart"/>
      <w:r w:rsidRPr="00DE2923">
        <w:rPr>
          <w:rFonts w:ascii="Times New Roman" w:hAnsi="Times New Roman" w:cs="Times New Roman"/>
          <w:sz w:val="24"/>
          <w:szCs w:val="24"/>
        </w:rPr>
        <w:t>en</w:t>
      </w:r>
      <w:proofErr w:type="spellEnd"/>
      <w:r w:rsidRPr="00DE2923">
        <w:rPr>
          <w:rFonts w:ascii="Times New Roman" w:hAnsi="Times New Roman" w:cs="Times New Roman"/>
          <w:sz w:val="24"/>
          <w:szCs w:val="24"/>
        </w:rPr>
        <w:t xml:space="preserve"> France, OFDT.</w:t>
      </w: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
    <w:p w:rsidR="00DE2923" w:rsidRPr="00DE2923" w:rsidRDefault="00DE2923" w:rsidP="00DE2923">
      <w:pPr>
        <w:pStyle w:val="HTMLunaprijedoblikovano"/>
        <w:shd w:val="clear" w:color="auto" w:fill="FFFFFF"/>
        <w:jc w:val="both"/>
        <w:rPr>
          <w:rFonts w:ascii="Times New Roman" w:eastAsiaTheme="minorHAnsi" w:hAnsi="Times New Roman" w:cs="Times New Roman"/>
          <w:sz w:val="24"/>
          <w:szCs w:val="24"/>
          <w:lang w:val="en-GB" w:eastAsia="en-US"/>
        </w:rPr>
      </w:pPr>
      <w:proofErr w:type="gramStart"/>
      <w:r w:rsidRPr="00DE2923">
        <w:rPr>
          <w:rFonts w:ascii="Times New Roman" w:eastAsiaTheme="minorHAnsi" w:hAnsi="Times New Roman" w:cs="Times New Roman"/>
          <w:sz w:val="24"/>
          <w:szCs w:val="24"/>
          <w:lang w:val="en-GB" w:eastAsia="en-US"/>
        </w:rPr>
        <w:t xml:space="preserve">National Drug Intelligence </w:t>
      </w:r>
      <w:proofErr w:type="spellStart"/>
      <w:r w:rsidRPr="00DE2923">
        <w:rPr>
          <w:rFonts w:ascii="Times New Roman" w:eastAsiaTheme="minorHAnsi" w:hAnsi="Times New Roman" w:cs="Times New Roman"/>
          <w:sz w:val="24"/>
          <w:szCs w:val="24"/>
          <w:lang w:val="en-GB" w:eastAsia="en-US"/>
        </w:rPr>
        <w:t>Center</w:t>
      </w:r>
      <w:proofErr w:type="spellEnd"/>
      <w:r w:rsidRPr="00DE2923">
        <w:rPr>
          <w:rFonts w:ascii="Times New Roman" w:eastAsiaTheme="minorHAnsi" w:hAnsi="Times New Roman" w:cs="Times New Roman"/>
          <w:sz w:val="24"/>
          <w:szCs w:val="24"/>
          <w:lang w:val="en-GB" w:eastAsia="en-US"/>
        </w:rPr>
        <w:t xml:space="preserve"> (2011).</w:t>
      </w:r>
      <w:proofErr w:type="gramEnd"/>
      <w:r w:rsidRPr="00DE2923">
        <w:rPr>
          <w:rFonts w:ascii="Times New Roman" w:eastAsiaTheme="minorHAnsi" w:hAnsi="Times New Roman" w:cs="Times New Roman"/>
          <w:sz w:val="24"/>
          <w:szCs w:val="24"/>
          <w:lang w:val="en-GB" w:eastAsia="en-US"/>
        </w:rPr>
        <w:t xml:space="preserve"> </w:t>
      </w:r>
      <w:proofErr w:type="gramStart"/>
      <w:r w:rsidRPr="00DE2923">
        <w:rPr>
          <w:rFonts w:ascii="Times New Roman" w:eastAsiaTheme="minorHAnsi" w:hAnsi="Times New Roman" w:cs="Times New Roman"/>
          <w:sz w:val="24"/>
          <w:szCs w:val="24"/>
          <w:lang w:val="en-GB" w:eastAsia="en-US"/>
        </w:rPr>
        <w:t>The Economic Impact of Illicit Drug Use on American Society.</w:t>
      </w:r>
      <w:proofErr w:type="gramEnd"/>
      <w:r w:rsidRPr="00DE2923">
        <w:rPr>
          <w:rFonts w:ascii="Times New Roman" w:eastAsiaTheme="minorHAnsi" w:hAnsi="Times New Roman" w:cs="Times New Roman"/>
          <w:sz w:val="24"/>
          <w:szCs w:val="24"/>
          <w:lang w:val="en-GB" w:eastAsia="en-US"/>
        </w:rPr>
        <w:t xml:space="preserve"> Washington D.C.: United States Department of Justice.</w:t>
      </w:r>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
    <w:p w:rsidR="00DE2923" w:rsidRPr="00DE2923" w:rsidRDefault="00DE2923" w:rsidP="00DE2923">
      <w:pPr>
        <w:pStyle w:val="HTMLunaprijedoblikovano"/>
        <w:shd w:val="clear" w:color="auto" w:fill="FFFFFF"/>
        <w:jc w:val="both"/>
        <w:rPr>
          <w:rFonts w:ascii="Times New Roman" w:eastAsiaTheme="minorHAnsi" w:hAnsi="Times New Roman" w:cs="Times New Roman"/>
          <w:sz w:val="24"/>
          <w:szCs w:val="24"/>
          <w:lang w:val="en-GB" w:eastAsia="en-US"/>
        </w:rPr>
      </w:pPr>
      <w:r w:rsidRPr="00DE2923">
        <w:rPr>
          <w:rFonts w:ascii="Times New Roman" w:eastAsiaTheme="minorHAnsi" w:hAnsi="Times New Roman" w:cs="Times New Roman"/>
          <w:sz w:val="24"/>
          <w:szCs w:val="24"/>
          <w:lang w:val="fr-FR" w:eastAsia="en-US"/>
        </w:rPr>
        <w:t xml:space="preserve">Lievens, D., Laenen, F. V., Caulkins, J. &amp; De Ruyver, B. (2012). </w:t>
      </w:r>
      <w:r w:rsidRPr="00DE2923">
        <w:rPr>
          <w:rFonts w:ascii="Times New Roman" w:eastAsiaTheme="minorHAnsi" w:hAnsi="Times New Roman" w:cs="Times New Roman"/>
          <w:sz w:val="24"/>
          <w:szCs w:val="24"/>
          <w:lang w:val="en-GB" w:eastAsia="en-US"/>
        </w:rPr>
        <w:t xml:space="preserve">Drugs in Figures III - Study of public expenditures on drug control and drug problems, European criminal justice and policy: Governance of Security Research Paper Series,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Vol. 7 (Governance of Security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Research Paper Series), </w:t>
      </w:r>
      <w:proofErr w:type="spellStart"/>
      <w:r w:rsidRPr="00DE2923">
        <w:rPr>
          <w:rFonts w:ascii="Times New Roman" w:eastAsiaTheme="minorHAnsi" w:hAnsi="Times New Roman" w:cs="Times New Roman"/>
          <w:sz w:val="24"/>
          <w:szCs w:val="24"/>
          <w:lang w:val="en-GB" w:eastAsia="en-US"/>
        </w:rPr>
        <w:t>Maklu</w:t>
      </w:r>
      <w:proofErr w:type="spellEnd"/>
      <w:r w:rsidRPr="00DE2923">
        <w:rPr>
          <w:rFonts w:ascii="Times New Roman" w:eastAsiaTheme="minorHAnsi" w:hAnsi="Times New Roman" w:cs="Times New Roman"/>
          <w:sz w:val="24"/>
          <w:szCs w:val="24"/>
          <w:lang w:val="en-GB" w:eastAsia="en-US"/>
        </w:rPr>
        <w:t xml:space="preserve"> Publishers, </w:t>
      </w:r>
      <w:proofErr w:type="spellStart"/>
      <w:r w:rsidRPr="00DE2923">
        <w:rPr>
          <w:rFonts w:ascii="Times New Roman" w:eastAsiaTheme="minorHAnsi" w:hAnsi="Times New Roman" w:cs="Times New Roman"/>
          <w:sz w:val="24"/>
          <w:szCs w:val="24"/>
          <w:lang w:val="en-GB" w:eastAsia="en-US"/>
        </w:rPr>
        <w:t>Alperdoon</w:t>
      </w:r>
      <w:proofErr w:type="spellEnd"/>
    </w:p>
    <w:p w:rsidR="00DE2923" w:rsidRPr="00DE2923" w:rsidRDefault="00DE2923" w:rsidP="00DE2923">
      <w:pPr>
        <w:pStyle w:val="HTMLunaprijedoblikovano"/>
        <w:shd w:val="clear" w:color="auto" w:fill="FFFFFF"/>
        <w:jc w:val="both"/>
        <w:rPr>
          <w:rFonts w:ascii="Times New Roman" w:hAnsi="Times New Roman" w:cs="Times New Roman"/>
          <w:sz w:val="24"/>
          <w:szCs w:val="24"/>
        </w:rPr>
      </w:pPr>
    </w:p>
    <w:p w:rsidR="00DE2923" w:rsidRPr="00DE2923" w:rsidRDefault="00DE2923" w:rsidP="00DE2923">
      <w:pPr>
        <w:pStyle w:val="HTMLunaprijedoblikovano"/>
        <w:shd w:val="clear" w:color="auto" w:fill="FFFFFF"/>
        <w:jc w:val="both"/>
        <w:rPr>
          <w:rFonts w:ascii="Times New Roman" w:eastAsiaTheme="minorHAnsi" w:hAnsi="Times New Roman" w:cs="Times New Roman"/>
          <w:sz w:val="24"/>
          <w:szCs w:val="24"/>
          <w:lang w:val="en-GB" w:eastAsia="en-US"/>
        </w:rPr>
      </w:pPr>
      <w:proofErr w:type="gramStart"/>
      <w:r w:rsidRPr="00DE2923">
        <w:rPr>
          <w:rFonts w:ascii="Times New Roman" w:eastAsiaTheme="minorHAnsi" w:hAnsi="Times New Roman" w:cs="Times New Roman"/>
          <w:sz w:val="24"/>
          <w:szCs w:val="24"/>
          <w:lang w:val="en-GB" w:eastAsia="en-US"/>
        </w:rPr>
        <w:t xml:space="preserve">Single, E., Collins, D., Easton, B., Harwood, H., </w:t>
      </w:r>
      <w:proofErr w:type="spellStart"/>
      <w:r w:rsidRPr="00DE2923">
        <w:rPr>
          <w:rFonts w:ascii="Times New Roman" w:eastAsiaTheme="minorHAnsi" w:hAnsi="Times New Roman" w:cs="Times New Roman"/>
          <w:sz w:val="24"/>
          <w:szCs w:val="24"/>
          <w:lang w:val="en-GB" w:eastAsia="en-US"/>
        </w:rPr>
        <w:t>Lapsley</w:t>
      </w:r>
      <w:proofErr w:type="spellEnd"/>
      <w:r w:rsidRPr="00DE2923">
        <w:rPr>
          <w:rFonts w:ascii="Times New Roman" w:eastAsiaTheme="minorHAnsi" w:hAnsi="Times New Roman" w:cs="Times New Roman"/>
          <w:sz w:val="24"/>
          <w:szCs w:val="24"/>
          <w:lang w:val="en-GB" w:eastAsia="en-US"/>
        </w:rPr>
        <w:t>, H., Kopp, P. &amp; Wilson, E., (2003).</w:t>
      </w:r>
      <w:proofErr w:type="gramEnd"/>
      <w:r w:rsidRPr="00DE2923">
        <w:rPr>
          <w:rFonts w:ascii="Times New Roman" w:eastAsiaTheme="minorHAnsi" w:hAnsi="Times New Roman" w:cs="Times New Roman"/>
          <w:sz w:val="24"/>
          <w:szCs w:val="24"/>
          <w:lang w:val="en-GB" w:eastAsia="en-US"/>
        </w:rPr>
        <w:t xml:space="preserve"> </w:t>
      </w:r>
      <w:proofErr w:type="gramStart"/>
      <w:r w:rsidRPr="00DE2923">
        <w:rPr>
          <w:rFonts w:ascii="Times New Roman" w:eastAsiaTheme="minorHAnsi" w:hAnsi="Times New Roman" w:cs="Times New Roman"/>
          <w:sz w:val="24"/>
          <w:szCs w:val="24"/>
          <w:lang w:val="en-GB" w:eastAsia="en-US"/>
        </w:rPr>
        <w:t>International guidelines for estimating the costs of substance abuse, 2</w:t>
      </w:r>
      <w:r w:rsidRPr="00DE2923">
        <w:rPr>
          <w:rFonts w:ascii="Times New Roman" w:eastAsiaTheme="minorHAnsi" w:hAnsi="Times New Roman" w:cs="Times New Roman"/>
          <w:sz w:val="24"/>
          <w:szCs w:val="24"/>
          <w:vertAlign w:val="superscript"/>
          <w:lang w:val="en-GB" w:eastAsia="en-US"/>
        </w:rPr>
        <w:t>nd</w:t>
      </w:r>
      <w:r w:rsidRPr="00DE2923">
        <w:rPr>
          <w:rFonts w:ascii="Times New Roman" w:eastAsiaTheme="minorHAnsi" w:hAnsi="Times New Roman" w:cs="Times New Roman"/>
          <w:sz w:val="24"/>
          <w:szCs w:val="24"/>
          <w:lang w:val="en-GB" w:eastAsia="en-US"/>
        </w:rPr>
        <w:t xml:space="preserve"> edition, WHO, Geneva.</w:t>
      </w:r>
      <w:proofErr w:type="gramEnd"/>
    </w:p>
    <w:p w:rsidR="00DE2923" w:rsidRPr="00DE2923" w:rsidRDefault="00DE2923" w:rsidP="00DE2923">
      <w:pPr>
        <w:pStyle w:val="HTMLunaprijedoblikovano"/>
        <w:shd w:val="clear" w:color="auto" w:fill="FFFFFF"/>
        <w:jc w:val="both"/>
        <w:rPr>
          <w:rFonts w:ascii="Times New Roman" w:hAnsi="Times New Roman" w:cs="Times New Roman"/>
          <w:iCs/>
          <w:sz w:val="24"/>
          <w:szCs w:val="24"/>
          <w:lang w:val="en-GB"/>
        </w:rPr>
      </w:pPr>
    </w:p>
    <w:p w:rsidR="00DE2923" w:rsidRPr="00DE2923" w:rsidRDefault="00DE2923" w:rsidP="00DE2923">
      <w:pPr>
        <w:pStyle w:val="HTMLunaprijedoblikovano"/>
        <w:shd w:val="clear" w:color="auto" w:fill="FFFFFF"/>
        <w:jc w:val="both"/>
        <w:rPr>
          <w:rFonts w:ascii="Times New Roman" w:eastAsiaTheme="minorHAnsi" w:hAnsi="Times New Roman" w:cs="Times New Roman"/>
          <w:sz w:val="24"/>
          <w:szCs w:val="24"/>
          <w:lang w:val="en-GB" w:eastAsia="en-US"/>
        </w:rPr>
      </w:pPr>
      <w:proofErr w:type="gramStart"/>
      <w:r w:rsidRPr="00DE2923">
        <w:rPr>
          <w:rFonts w:ascii="Times New Roman" w:eastAsiaTheme="minorHAnsi" w:hAnsi="Times New Roman" w:cs="Times New Roman"/>
          <w:sz w:val="24"/>
          <w:szCs w:val="24"/>
          <w:lang w:val="en-GB" w:eastAsia="en-US"/>
        </w:rPr>
        <w:t>Single, E., (2009).</w:t>
      </w:r>
      <w:proofErr w:type="gramEnd"/>
      <w:r w:rsidRPr="00DE2923">
        <w:rPr>
          <w:rFonts w:ascii="Times New Roman" w:eastAsiaTheme="minorHAnsi" w:hAnsi="Times New Roman" w:cs="Times New Roman"/>
          <w:sz w:val="24"/>
          <w:szCs w:val="24"/>
          <w:lang w:val="en-GB" w:eastAsia="en-US"/>
        </w:rPr>
        <w:t xml:space="preserve"> Why we should still estimate the costs of substance abuse even if we needn't pay undue attention to the bottom line. </w:t>
      </w:r>
      <w:proofErr w:type="gramStart"/>
      <w:r w:rsidRPr="00DE2923">
        <w:rPr>
          <w:rFonts w:ascii="Times New Roman" w:eastAsiaTheme="minorHAnsi" w:hAnsi="Times New Roman" w:cs="Times New Roman"/>
          <w:sz w:val="24"/>
          <w:szCs w:val="24"/>
          <w:lang w:val="en-GB" w:eastAsia="en-US"/>
        </w:rPr>
        <w:t xml:space="preserve">Drug and Alcohol Review, </w:t>
      </w:r>
      <w:hyperlink r:id="rId18" w:history="1">
        <w:r w:rsidRPr="00DE2923">
          <w:rPr>
            <w:rFonts w:ascii="Times New Roman" w:eastAsiaTheme="minorHAnsi" w:hAnsi="Times New Roman" w:cs="Times New Roman"/>
            <w:sz w:val="24"/>
            <w:szCs w:val="24"/>
            <w:lang w:val="en-GB" w:eastAsia="en-US"/>
          </w:rPr>
          <w:t xml:space="preserve">Volume 28, Issue 2, </w:t>
        </w:r>
      </w:hyperlink>
      <w:r w:rsidRPr="00DE2923">
        <w:rPr>
          <w:rFonts w:ascii="Times New Roman" w:eastAsiaTheme="minorHAnsi" w:hAnsi="Times New Roman" w:cs="Times New Roman"/>
          <w:sz w:val="24"/>
          <w:szCs w:val="24"/>
          <w:lang w:val="en-GB" w:eastAsia="en-US"/>
        </w:rPr>
        <w:t>pages 117–121, March 2009.</w:t>
      </w:r>
      <w:proofErr w:type="gramEnd"/>
    </w:p>
    <w:p w:rsidR="0068172A" w:rsidRDefault="0068172A" w:rsidP="00793FAF">
      <w:pPr>
        <w:jc w:val="both"/>
        <w:rPr>
          <w:rFonts w:ascii="Times New Roman" w:hAnsi="Times New Roman"/>
          <w:color w:val="006621"/>
          <w:sz w:val="24"/>
          <w:szCs w:val="24"/>
          <w:shd w:val="clear" w:color="auto" w:fill="FFFFFF"/>
        </w:rPr>
      </w:pPr>
    </w:p>
    <w:p w:rsidR="00793FAF" w:rsidRPr="0068172A" w:rsidRDefault="00793FAF" w:rsidP="00793FAF">
      <w:pPr>
        <w:jc w:val="both"/>
        <w:rPr>
          <w:rFonts w:ascii="Times New Roman" w:hAnsi="Times New Roman"/>
          <w:i/>
          <w:sz w:val="24"/>
          <w:szCs w:val="24"/>
          <w:u w:val="single"/>
        </w:rPr>
      </w:pPr>
      <w:r w:rsidRPr="0068172A">
        <w:rPr>
          <w:rFonts w:ascii="Times New Roman" w:hAnsi="Times New Roman"/>
          <w:bCs/>
          <w:i/>
          <w:sz w:val="24"/>
          <w:szCs w:val="24"/>
          <w:u w:val="single"/>
        </w:rPr>
        <w:t>References</w:t>
      </w:r>
      <w:r w:rsidRPr="0068172A">
        <w:rPr>
          <w:rFonts w:ascii="Times New Roman" w:hAnsi="Times New Roman"/>
          <w:i/>
          <w:sz w:val="24"/>
          <w:szCs w:val="24"/>
          <w:u w:val="single"/>
        </w:rPr>
        <w:t xml:space="preserve"> (Laura)</w:t>
      </w:r>
    </w:p>
    <w:p w:rsidR="00793FAF" w:rsidRPr="0068172A" w:rsidRDefault="00793FAF" w:rsidP="00793FAF">
      <w:pPr>
        <w:jc w:val="both"/>
        <w:rPr>
          <w:rFonts w:ascii="Times New Roman" w:hAnsi="Times New Roman"/>
          <w:sz w:val="24"/>
          <w:szCs w:val="24"/>
        </w:rPr>
      </w:pPr>
      <w:r w:rsidRPr="0068172A">
        <w:rPr>
          <w:rFonts w:ascii="Times New Roman" w:hAnsi="Times New Roman"/>
          <w:sz w:val="24"/>
          <w:szCs w:val="24"/>
        </w:rPr>
        <w:t xml:space="preserve">1. BICEPS </w:t>
      </w:r>
      <w:r w:rsidRPr="002F23EC">
        <w:rPr>
          <w:rFonts w:ascii="Times New Roman" w:hAnsi="Times New Roman"/>
          <w:sz w:val="24"/>
          <w:szCs w:val="24"/>
        </w:rPr>
        <w:t>(</w:t>
      </w:r>
      <w:r w:rsidRPr="002F23EC">
        <w:rPr>
          <w:rFonts w:ascii="Times New Roman" w:hAnsi="Times New Roman"/>
          <w:bCs/>
          <w:sz w:val="24"/>
          <w:szCs w:val="24"/>
        </w:rPr>
        <w:t>2010</w:t>
      </w:r>
      <w:r w:rsidRPr="002F23EC">
        <w:rPr>
          <w:rFonts w:ascii="Times New Roman" w:hAnsi="Times New Roman"/>
          <w:sz w:val="24"/>
          <w:szCs w:val="24"/>
        </w:rPr>
        <w:t xml:space="preserve">). </w:t>
      </w:r>
      <w:r w:rsidRPr="002F23EC">
        <w:rPr>
          <w:rFonts w:ascii="Times New Roman" w:hAnsi="Times New Roman"/>
          <w:i/>
          <w:iCs/>
          <w:sz w:val="24"/>
          <w:szCs w:val="24"/>
        </w:rPr>
        <w:t xml:space="preserve">Budget and non-budget social costs of drug abuse in Latvia in 2008. </w:t>
      </w:r>
      <w:proofErr w:type="gramStart"/>
      <w:r w:rsidRPr="002F23EC">
        <w:rPr>
          <w:rFonts w:ascii="Times New Roman" w:hAnsi="Times New Roman"/>
          <w:sz w:val="24"/>
          <w:szCs w:val="24"/>
        </w:rPr>
        <w:t>Analytical report by BICEPS for Centre of Health Economics.</w:t>
      </w:r>
      <w:proofErr w:type="gramEnd"/>
      <w:r w:rsidRPr="002F23EC">
        <w:rPr>
          <w:rFonts w:ascii="Times New Roman" w:hAnsi="Times New Roman"/>
          <w:sz w:val="24"/>
          <w:szCs w:val="24"/>
        </w:rPr>
        <w:t xml:space="preserve"> Baltic international centre for economic policy </w:t>
      </w:r>
      <w:r w:rsidRPr="002F23EC">
        <w:rPr>
          <w:rFonts w:ascii="Times New Roman" w:hAnsi="Times New Roman"/>
          <w:bCs/>
          <w:sz w:val="24"/>
          <w:szCs w:val="24"/>
        </w:rPr>
        <w:t>studies</w:t>
      </w:r>
      <w:r w:rsidRPr="002F23EC">
        <w:rPr>
          <w:rFonts w:ascii="Times New Roman" w:hAnsi="Times New Roman"/>
          <w:sz w:val="24"/>
          <w:szCs w:val="24"/>
        </w:rPr>
        <w:t>,</w:t>
      </w:r>
      <w:r w:rsidRPr="0068172A">
        <w:rPr>
          <w:rFonts w:ascii="Times New Roman" w:hAnsi="Times New Roman"/>
          <w:sz w:val="24"/>
          <w:szCs w:val="24"/>
        </w:rPr>
        <w:t xml:space="preserve"> March. </w:t>
      </w:r>
    </w:p>
    <w:p w:rsidR="00793FAF" w:rsidRPr="0068172A" w:rsidRDefault="00793FAF" w:rsidP="00793FAF">
      <w:pPr>
        <w:jc w:val="both"/>
        <w:rPr>
          <w:rFonts w:ascii="Times New Roman" w:hAnsi="Times New Roman"/>
          <w:sz w:val="24"/>
          <w:szCs w:val="24"/>
        </w:rPr>
      </w:pPr>
      <w:r w:rsidRPr="0068172A">
        <w:rPr>
          <w:rFonts w:ascii="Times New Roman" w:hAnsi="Times New Roman"/>
          <w:sz w:val="24"/>
          <w:szCs w:val="24"/>
        </w:rPr>
        <w:t>Available at</w:t>
      </w:r>
      <w:hyperlink r:id="rId19" w:history="1">
        <w:r w:rsidRPr="0068172A">
          <w:rPr>
            <w:rStyle w:val="Hiperveza"/>
            <w:rFonts w:ascii="Times New Roman" w:hAnsi="Times New Roman"/>
            <w:color w:val="auto"/>
            <w:sz w:val="24"/>
            <w:szCs w:val="24"/>
          </w:rPr>
          <w:t xml:space="preserve"> http://vec.gov.lv/uploads/files/4d39483928d40.pdf</w:t>
        </w:r>
      </w:hyperlink>
    </w:p>
    <w:p w:rsidR="00793FAF" w:rsidRPr="0068172A" w:rsidRDefault="00793FAF" w:rsidP="00793FAF">
      <w:pPr>
        <w:jc w:val="both"/>
        <w:rPr>
          <w:rFonts w:ascii="Times New Roman" w:hAnsi="Times New Roman"/>
          <w:i/>
          <w:iCs/>
          <w:sz w:val="24"/>
          <w:szCs w:val="24"/>
        </w:rPr>
      </w:pPr>
      <w:r w:rsidRPr="0068172A">
        <w:rPr>
          <w:rFonts w:ascii="Times New Roman" w:hAnsi="Times New Roman"/>
          <w:iCs/>
          <w:sz w:val="24"/>
          <w:szCs w:val="24"/>
        </w:rPr>
        <w:t>2</w:t>
      </w:r>
      <w:r w:rsidRPr="0068172A">
        <w:rPr>
          <w:rFonts w:ascii="Times New Roman" w:hAnsi="Times New Roman"/>
          <w:b/>
          <w:i/>
          <w:iCs/>
          <w:sz w:val="24"/>
          <w:szCs w:val="24"/>
        </w:rPr>
        <w:t>.</w:t>
      </w:r>
      <w:r w:rsidRPr="0068172A">
        <w:rPr>
          <w:rFonts w:ascii="Times New Roman" w:hAnsi="Times New Roman"/>
          <w:i/>
          <w:iCs/>
          <w:sz w:val="24"/>
          <w:szCs w:val="24"/>
        </w:rPr>
        <w:t xml:space="preserve"> Communication from the Commission to the Council and the European</w:t>
      </w:r>
      <w:r w:rsidR="002F23EC">
        <w:rPr>
          <w:rFonts w:ascii="Times New Roman" w:hAnsi="Times New Roman"/>
          <w:i/>
          <w:iCs/>
          <w:sz w:val="24"/>
          <w:szCs w:val="24"/>
        </w:rPr>
        <w:t xml:space="preserve"> </w:t>
      </w:r>
      <w:r w:rsidRPr="0068172A">
        <w:rPr>
          <w:rFonts w:ascii="Times New Roman" w:hAnsi="Times New Roman"/>
          <w:i/>
          <w:iCs/>
          <w:sz w:val="24"/>
          <w:szCs w:val="24"/>
        </w:rPr>
        <w:t xml:space="preserve">Parliament on a European Union Action Plan to Combat Drugs (2000–2004) </w:t>
      </w:r>
    </w:p>
    <w:p w:rsidR="00793FAF" w:rsidRPr="0068172A" w:rsidRDefault="00793FAF" w:rsidP="0068172A">
      <w:pPr>
        <w:rPr>
          <w:rFonts w:ascii="Times New Roman" w:hAnsi="Times New Roman"/>
          <w:sz w:val="24"/>
          <w:szCs w:val="24"/>
        </w:rPr>
      </w:pPr>
      <w:r w:rsidRPr="0068172A">
        <w:rPr>
          <w:rFonts w:ascii="Times New Roman" w:hAnsi="Times New Roman"/>
          <w:sz w:val="24"/>
          <w:szCs w:val="24"/>
        </w:rPr>
        <w:t>Available at</w:t>
      </w:r>
      <w:hyperlink r:id="rId20" w:history="1">
        <w:r w:rsidRPr="0068172A">
          <w:rPr>
            <w:rStyle w:val="Hiperveza"/>
            <w:rFonts w:ascii="Times New Roman" w:hAnsi="Times New Roman"/>
            <w:color w:val="auto"/>
            <w:sz w:val="24"/>
            <w:szCs w:val="24"/>
          </w:rPr>
          <w:t xml:space="preserve"> http://eeas.europa.eu/drugs/docs/ap00_04_en.pdf</w:t>
        </w:r>
      </w:hyperlink>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3.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Brice, </w:t>
      </w:r>
      <w:proofErr w:type="spellStart"/>
      <w:r w:rsidRPr="0068172A">
        <w:rPr>
          <w:rFonts w:ascii="Times New Roman" w:hAnsi="Times New Roman"/>
          <w:sz w:val="24"/>
          <w:szCs w:val="24"/>
        </w:rPr>
        <w:t>Casselman</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Joris</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Pelc</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Isidor</w:t>
      </w:r>
      <w:proofErr w:type="spellEnd"/>
      <w:r w:rsidRPr="0068172A">
        <w:rPr>
          <w:rFonts w:ascii="Times New Roman" w:hAnsi="Times New Roman"/>
          <w:sz w:val="24"/>
          <w:szCs w:val="24"/>
        </w:rPr>
        <w:t xml:space="preserve">, </w:t>
      </w:r>
      <w:r w:rsidRPr="0068172A">
        <w:rPr>
          <w:rFonts w:ascii="Times New Roman" w:hAnsi="Times New Roman"/>
          <w:i/>
          <w:iCs/>
          <w:sz w:val="24"/>
          <w:szCs w:val="24"/>
        </w:rPr>
        <w:t xml:space="preserve">Drug Policy in Figures: Study of the Actors Involved, Cost Price Calculation and Population Reached </w:t>
      </w:r>
      <w:r w:rsidRPr="0068172A">
        <w:rPr>
          <w:rFonts w:ascii="Times New Roman" w:hAnsi="Times New Roman"/>
          <w:sz w:val="24"/>
          <w:szCs w:val="24"/>
        </w:rPr>
        <w:t xml:space="preserve">(Ghent, Academia Press, 2004). (Paris, </w:t>
      </w:r>
      <w:proofErr w:type="spellStart"/>
      <w:r w:rsidRPr="0068172A">
        <w:rPr>
          <w:rFonts w:ascii="Times New Roman" w:hAnsi="Times New Roman"/>
          <w:sz w:val="24"/>
          <w:szCs w:val="24"/>
        </w:rPr>
        <w:t>Observatoire</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français</w:t>
      </w:r>
      <w:proofErr w:type="spellEnd"/>
      <w:r w:rsidRPr="0068172A">
        <w:rPr>
          <w:rFonts w:ascii="Times New Roman" w:hAnsi="Times New Roman"/>
          <w:sz w:val="24"/>
          <w:szCs w:val="24"/>
        </w:rPr>
        <w:t xml:space="preserve"> des drogues </w:t>
      </w:r>
      <w:proofErr w:type="gramStart"/>
      <w:r w:rsidRPr="0068172A">
        <w:rPr>
          <w:rFonts w:ascii="Times New Roman" w:hAnsi="Times New Roman"/>
          <w:sz w:val="24"/>
          <w:szCs w:val="24"/>
        </w:rPr>
        <w:t>et</w:t>
      </w:r>
      <w:proofErr w:type="gramEnd"/>
      <w:r w:rsidRPr="0068172A">
        <w:rPr>
          <w:rFonts w:ascii="Times New Roman" w:hAnsi="Times New Roman"/>
          <w:sz w:val="24"/>
          <w:szCs w:val="24"/>
        </w:rPr>
        <w:t xml:space="preserve"> des </w:t>
      </w:r>
      <w:proofErr w:type="spellStart"/>
      <w:r w:rsidRPr="0068172A">
        <w:rPr>
          <w:rFonts w:ascii="Times New Roman" w:hAnsi="Times New Roman"/>
          <w:sz w:val="24"/>
          <w:szCs w:val="24"/>
        </w:rPr>
        <w:t>toxicomanies</w:t>
      </w:r>
      <w:proofErr w:type="spellEnd"/>
      <w:r w:rsidRPr="0068172A">
        <w:rPr>
          <w:rFonts w:ascii="Times New Roman" w:hAnsi="Times New Roman"/>
          <w:sz w:val="24"/>
          <w:szCs w:val="24"/>
        </w:rPr>
        <w:t>, 2006).</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4.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B and others, </w:t>
      </w:r>
      <w:r w:rsidRPr="0068172A">
        <w:rPr>
          <w:rFonts w:ascii="Times New Roman" w:hAnsi="Times New Roman"/>
          <w:i/>
          <w:iCs/>
          <w:sz w:val="24"/>
          <w:szCs w:val="24"/>
        </w:rPr>
        <w:t xml:space="preserve">Drug Policy in Figures II: Follow-up Research into the Actors, Public Spending and Reached Target Groups </w:t>
      </w:r>
      <w:r w:rsidRPr="0068172A">
        <w:rPr>
          <w:rFonts w:ascii="Times New Roman" w:hAnsi="Times New Roman"/>
          <w:sz w:val="24"/>
          <w:szCs w:val="24"/>
        </w:rPr>
        <w:t>(Ghent, Academia Press, 2007).</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5. De </w:t>
      </w:r>
      <w:proofErr w:type="spellStart"/>
      <w:r w:rsidRPr="0068172A">
        <w:rPr>
          <w:rFonts w:ascii="Times New Roman" w:hAnsi="Times New Roman"/>
          <w:sz w:val="24"/>
          <w:szCs w:val="24"/>
        </w:rPr>
        <w:t>Ruyver</w:t>
      </w:r>
      <w:proofErr w:type="spellEnd"/>
      <w:r w:rsidRPr="0068172A">
        <w:rPr>
          <w:rFonts w:ascii="Times New Roman" w:hAnsi="Times New Roman"/>
          <w:sz w:val="24"/>
          <w:szCs w:val="24"/>
        </w:rPr>
        <w:t xml:space="preserve">, B., Van </w:t>
      </w:r>
      <w:proofErr w:type="spellStart"/>
      <w:r w:rsidRPr="0068172A">
        <w:rPr>
          <w:rFonts w:ascii="Times New Roman" w:hAnsi="Times New Roman"/>
          <w:sz w:val="24"/>
          <w:szCs w:val="24"/>
        </w:rPr>
        <w:t>Malderen</w:t>
      </w:r>
      <w:proofErr w:type="spellEnd"/>
      <w:r w:rsidRPr="0068172A">
        <w:rPr>
          <w:rFonts w:ascii="Times New Roman" w:hAnsi="Times New Roman"/>
          <w:sz w:val="24"/>
          <w:szCs w:val="24"/>
        </w:rPr>
        <w:t xml:space="preserve">, S., Vander </w:t>
      </w:r>
      <w:proofErr w:type="spellStart"/>
      <w:r w:rsidRPr="0068172A">
        <w:rPr>
          <w:rFonts w:ascii="Times New Roman" w:hAnsi="Times New Roman"/>
          <w:sz w:val="24"/>
          <w:szCs w:val="24"/>
        </w:rPr>
        <w:t>Laenen</w:t>
      </w:r>
      <w:proofErr w:type="spellEnd"/>
      <w:r w:rsidRPr="0068172A">
        <w:rPr>
          <w:rFonts w:ascii="Times New Roman" w:hAnsi="Times New Roman"/>
          <w:sz w:val="24"/>
          <w:szCs w:val="24"/>
        </w:rPr>
        <w:t>, F. (2007), ‘</w:t>
      </w:r>
      <w:r w:rsidRPr="0068172A">
        <w:rPr>
          <w:rFonts w:ascii="Times New Roman" w:hAnsi="Times New Roman"/>
          <w:i/>
          <w:sz w:val="24"/>
          <w:szCs w:val="24"/>
        </w:rPr>
        <w:t>Study into public expenditure with regard to national drug policies. A feasible plan for the national focal points’</w:t>
      </w:r>
      <w:r w:rsidRPr="0068172A">
        <w:rPr>
          <w:rFonts w:ascii="Times New Roman" w:hAnsi="Times New Roman"/>
          <w:sz w:val="24"/>
          <w:szCs w:val="24"/>
        </w:rPr>
        <w:t>, report prepared for the EMCDDA, Lisbon.</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6. European Monitoring Centre for Drugs and Drug Addiction, EMCDDA 2008 Selected Issue: </w:t>
      </w:r>
      <w:r w:rsidRPr="0068172A">
        <w:rPr>
          <w:rFonts w:ascii="Times New Roman" w:hAnsi="Times New Roman"/>
          <w:i/>
          <w:sz w:val="24"/>
          <w:szCs w:val="24"/>
        </w:rPr>
        <w:t>Towards a Better Understanding of Drug-Related Public Expenditure in Europe</w:t>
      </w:r>
      <w:r w:rsidRPr="0068172A">
        <w:rPr>
          <w:rFonts w:ascii="Times New Roman" w:hAnsi="Times New Roman"/>
          <w:sz w:val="24"/>
          <w:szCs w:val="24"/>
        </w:rPr>
        <w:t xml:space="preserve"> (Luxembourg, Office for Official Publications of the European Communities, 2008).</w:t>
      </w:r>
    </w:p>
    <w:p w:rsidR="00793FAF" w:rsidRPr="0068172A" w:rsidRDefault="00793FAF" w:rsidP="00793FAF">
      <w:pPr>
        <w:autoSpaceDE w:val="0"/>
        <w:autoSpaceDN w:val="0"/>
        <w:adjustRightInd w:val="0"/>
        <w:jc w:val="both"/>
        <w:rPr>
          <w:rFonts w:ascii="Times New Roman" w:hAnsi="Times New Roman"/>
          <w:sz w:val="24"/>
          <w:szCs w:val="24"/>
          <w:lang w:val="fr-FR"/>
        </w:rPr>
      </w:pPr>
    </w:p>
    <w:p w:rsidR="00793FAF" w:rsidRPr="0068172A" w:rsidRDefault="00793FAF" w:rsidP="00793FAF">
      <w:pPr>
        <w:autoSpaceDE w:val="0"/>
        <w:autoSpaceDN w:val="0"/>
        <w:adjustRightInd w:val="0"/>
        <w:jc w:val="both"/>
        <w:rPr>
          <w:rFonts w:ascii="Times New Roman" w:hAnsi="Times New Roman"/>
          <w:sz w:val="24"/>
          <w:szCs w:val="24"/>
          <w:lang w:val="fr-FR"/>
        </w:rPr>
      </w:pPr>
      <w:r w:rsidRPr="0068172A">
        <w:rPr>
          <w:rFonts w:ascii="Times New Roman" w:hAnsi="Times New Roman"/>
          <w:sz w:val="24"/>
          <w:szCs w:val="24"/>
          <w:lang w:val="fr-FR"/>
        </w:rPr>
        <w:lastRenderedPageBreak/>
        <w:t xml:space="preserve">7. Kopp, Pierre and Palle, Christophe, </w:t>
      </w:r>
      <w:r w:rsidRPr="0068172A">
        <w:rPr>
          <w:rFonts w:ascii="Times New Roman" w:hAnsi="Times New Roman"/>
          <w:i/>
          <w:iCs/>
          <w:sz w:val="24"/>
          <w:szCs w:val="24"/>
          <w:lang w:val="fr-FR"/>
        </w:rPr>
        <w:t xml:space="preserve">Vers l’analyse du coût des drogues illegales: un essai de mesure du coût de la politique publique de la drogue et quelques réflexions sur la mesure des autres coûts </w:t>
      </w:r>
      <w:r w:rsidRPr="0068172A">
        <w:rPr>
          <w:rFonts w:ascii="Times New Roman" w:hAnsi="Times New Roman"/>
          <w:sz w:val="24"/>
          <w:szCs w:val="24"/>
          <w:lang w:val="fr-FR"/>
        </w:rPr>
        <w:t>(Paris, Observatoire français des drogues et des toxicomanies, 1998).</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8. Kopp, Pierre and </w:t>
      </w:r>
      <w:proofErr w:type="spellStart"/>
      <w:r w:rsidRPr="0068172A">
        <w:rPr>
          <w:rFonts w:ascii="Times New Roman" w:hAnsi="Times New Roman"/>
          <w:sz w:val="24"/>
          <w:szCs w:val="24"/>
        </w:rPr>
        <w:t>Fenoglio</w:t>
      </w:r>
      <w:proofErr w:type="spellEnd"/>
      <w:r w:rsidRPr="0068172A">
        <w:rPr>
          <w:rFonts w:ascii="Times New Roman" w:hAnsi="Times New Roman"/>
          <w:sz w:val="24"/>
          <w:szCs w:val="24"/>
        </w:rPr>
        <w:t xml:space="preserve">, Philippe, </w:t>
      </w:r>
      <w:r w:rsidRPr="0068172A">
        <w:rPr>
          <w:rFonts w:ascii="Times New Roman" w:hAnsi="Times New Roman"/>
          <w:i/>
          <w:iCs/>
          <w:sz w:val="24"/>
          <w:szCs w:val="24"/>
        </w:rPr>
        <w:t xml:space="preserve">Calculating the Social Cost of Illicit Drugs: Methods and Tools for Estimating the Social Cost of the Use of Psychotropic Substances </w:t>
      </w:r>
      <w:r w:rsidRPr="0068172A">
        <w:rPr>
          <w:rFonts w:ascii="Times New Roman" w:hAnsi="Times New Roman"/>
          <w:sz w:val="24"/>
          <w:szCs w:val="24"/>
        </w:rPr>
        <w:t>(Strasbourg, Council of Europe Publishing, 2001).</w:t>
      </w:r>
    </w:p>
    <w:p w:rsidR="00793FAF" w:rsidRPr="0068172A" w:rsidRDefault="00793FAF" w:rsidP="00793FAF">
      <w:pPr>
        <w:autoSpaceDE w:val="0"/>
        <w:autoSpaceDN w:val="0"/>
        <w:adjustRightInd w:val="0"/>
        <w:jc w:val="both"/>
        <w:rPr>
          <w:rFonts w:ascii="Times New Roman" w:hAnsi="Times New Roman"/>
          <w:i/>
          <w:iCs/>
          <w:sz w:val="24"/>
          <w:szCs w:val="24"/>
          <w:lang w:val="fr-FR"/>
        </w:rPr>
      </w:pPr>
      <w:r w:rsidRPr="0068172A">
        <w:rPr>
          <w:rFonts w:ascii="Times New Roman" w:hAnsi="Times New Roman"/>
          <w:sz w:val="24"/>
          <w:szCs w:val="24"/>
          <w:lang w:val="fr-FR"/>
        </w:rPr>
        <w:t xml:space="preserve">9. Kopp, Pierre and Fenoglio, Philippe, </w:t>
      </w:r>
      <w:r w:rsidRPr="0068172A">
        <w:rPr>
          <w:rFonts w:ascii="Times New Roman" w:hAnsi="Times New Roman"/>
          <w:i/>
          <w:iCs/>
          <w:sz w:val="24"/>
          <w:szCs w:val="24"/>
          <w:lang w:val="fr-FR"/>
        </w:rPr>
        <w:t>Le coût social des drogues en 2003: les dépenses publiques dans le cadre de la lutte contre les drogues en France en 2003</w:t>
      </w:r>
    </w:p>
    <w:p w:rsidR="00793FAF" w:rsidRPr="0068172A" w:rsidRDefault="00793FAF" w:rsidP="0068172A">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10. Kopp, Pierre and </w:t>
      </w:r>
      <w:proofErr w:type="spellStart"/>
      <w:r w:rsidRPr="0068172A">
        <w:rPr>
          <w:rFonts w:ascii="Times New Roman" w:hAnsi="Times New Roman"/>
          <w:sz w:val="24"/>
          <w:szCs w:val="24"/>
        </w:rPr>
        <w:t>Fenoglio</w:t>
      </w:r>
      <w:proofErr w:type="spellEnd"/>
      <w:r w:rsidRPr="0068172A">
        <w:rPr>
          <w:rFonts w:ascii="Times New Roman" w:hAnsi="Times New Roman"/>
          <w:sz w:val="24"/>
          <w:szCs w:val="24"/>
        </w:rPr>
        <w:t xml:space="preserve">, Philippe, </w:t>
      </w:r>
      <w:r w:rsidRPr="0068172A">
        <w:rPr>
          <w:rFonts w:ascii="Times New Roman" w:hAnsi="Times New Roman"/>
          <w:i/>
          <w:iCs/>
          <w:sz w:val="24"/>
          <w:szCs w:val="24"/>
        </w:rPr>
        <w:t xml:space="preserve">Public Spending on Drugs in the European Union During the 1990s </w:t>
      </w:r>
      <w:r w:rsidRPr="0068172A">
        <w:rPr>
          <w:rFonts w:ascii="Times New Roman" w:hAnsi="Times New Roman"/>
          <w:sz w:val="24"/>
          <w:szCs w:val="24"/>
        </w:rPr>
        <w:t>(Lisbon, European Monitoring Centre for Drugs and Drug Addiction, 2003).</w:t>
      </w:r>
    </w:p>
    <w:p w:rsidR="00793FAF" w:rsidRPr="0068172A" w:rsidRDefault="00793FAF" w:rsidP="0068172A">
      <w:pPr>
        <w:jc w:val="both"/>
        <w:rPr>
          <w:rFonts w:ascii="Times New Roman" w:hAnsi="Times New Roman"/>
          <w:sz w:val="24"/>
          <w:szCs w:val="24"/>
        </w:rPr>
      </w:pPr>
      <w:r w:rsidRPr="0068172A">
        <w:rPr>
          <w:rFonts w:ascii="Times New Roman" w:hAnsi="Times New Roman"/>
          <w:sz w:val="24"/>
          <w:szCs w:val="24"/>
        </w:rPr>
        <w:t xml:space="preserve">11. </w:t>
      </w:r>
      <w:proofErr w:type="spellStart"/>
      <w:r w:rsidRPr="0068172A">
        <w:rPr>
          <w:rFonts w:ascii="Times New Roman" w:hAnsi="Times New Roman"/>
          <w:bCs/>
          <w:sz w:val="24"/>
          <w:szCs w:val="24"/>
        </w:rPr>
        <w:t>Lievens</w:t>
      </w:r>
      <w:proofErr w:type="spellEnd"/>
      <w:r w:rsidRPr="0068172A">
        <w:rPr>
          <w:rFonts w:ascii="Times New Roman" w:hAnsi="Times New Roman"/>
          <w:sz w:val="24"/>
          <w:szCs w:val="24"/>
        </w:rPr>
        <w:t xml:space="preserve">, D., Vander </w:t>
      </w:r>
      <w:proofErr w:type="spellStart"/>
      <w:r w:rsidRPr="0068172A">
        <w:rPr>
          <w:rFonts w:ascii="Times New Roman" w:hAnsi="Times New Roman"/>
          <w:bCs/>
          <w:sz w:val="24"/>
          <w:szCs w:val="24"/>
        </w:rPr>
        <w:t>Laenen</w:t>
      </w:r>
      <w:proofErr w:type="spellEnd"/>
      <w:r w:rsidRPr="0068172A">
        <w:rPr>
          <w:rFonts w:ascii="Times New Roman" w:hAnsi="Times New Roman"/>
          <w:sz w:val="24"/>
          <w:szCs w:val="24"/>
        </w:rPr>
        <w:t xml:space="preserve">, F., </w:t>
      </w:r>
      <w:proofErr w:type="spellStart"/>
      <w:r w:rsidRPr="0068172A">
        <w:rPr>
          <w:rFonts w:ascii="Times New Roman" w:hAnsi="Times New Roman"/>
          <w:sz w:val="24"/>
          <w:szCs w:val="24"/>
        </w:rPr>
        <w:t>Caulkins</w:t>
      </w:r>
      <w:proofErr w:type="spellEnd"/>
      <w:r w:rsidRPr="0068172A">
        <w:rPr>
          <w:rFonts w:ascii="Times New Roman" w:hAnsi="Times New Roman"/>
          <w:sz w:val="24"/>
          <w:szCs w:val="24"/>
        </w:rPr>
        <w:t xml:space="preserve">, J., &amp; De </w:t>
      </w:r>
      <w:proofErr w:type="spellStart"/>
      <w:r w:rsidRPr="0068172A">
        <w:rPr>
          <w:rFonts w:ascii="Times New Roman" w:hAnsi="Times New Roman"/>
          <w:bCs/>
          <w:sz w:val="24"/>
          <w:szCs w:val="24"/>
        </w:rPr>
        <w:t>Ruyver</w:t>
      </w:r>
      <w:proofErr w:type="spellEnd"/>
      <w:r w:rsidRPr="0068172A">
        <w:rPr>
          <w:rFonts w:ascii="Times New Roman" w:hAnsi="Times New Roman"/>
          <w:sz w:val="24"/>
          <w:szCs w:val="24"/>
        </w:rPr>
        <w:t xml:space="preserve">, B. (2012).Drugs in figures III, Study of public </w:t>
      </w:r>
      <w:r w:rsidRPr="0068172A">
        <w:rPr>
          <w:rFonts w:ascii="Times New Roman" w:hAnsi="Times New Roman"/>
          <w:bCs/>
          <w:sz w:val="24"/>
          <w:szCs w:val="24"/>
        </w:rPr>
        <w:t>expenditures</w:t>
      </w:r>
      <w:r w:rsidRPr="0068172A">
        <w:rPr>
          <w:rFonts w:ascii="Times New Roman" w:hAnsi="Times New Roman"/>
          <w:sz w:val="24"/>
          <w:szCs w:val="24"/>
        </w:rPr>
        <w:t xml:space="preserve"> on drug control and drug problems. In M. Cools, B. De </w:t>
      </w:r>
      <w:proofErr w:type="spellStart"/>
      <w:r w:rsidRPr="0068172A">
        <w:rPr>
          <w:rFonts w:ascii="Times New Roman" w:hAnsi="Times New Roman"/>
          <w:bCs/>
          <w:sz w:val="24"/>
          <w:szCs w:val="24"/>
        </w:rPr>
        <w:t>Ruyver</w:t>
      </w:r>
      <w:proofErr w:type="spellEnd"/>
      <w:r w:rsidRPr="0068172A">
        <w:rPr>
          <w:rFonts w:ascii="Times New Roman" w:hAnsi="Times New Roman"/>
          <w:sz w:val="24"/>
          <w:szCs w:val="24"/>
        </w:rPr>
        <w:t xml:space="preserve">, &amp; M. Easton (Eds.), </w:t>
      </w:r>
      <w:r w:rsidRPr="0068172A">
        <w:rPr>
          <w:rFonts w:ascii="Times New Roman" w:hAnsi="Times New Roman"/>
          <w:i/>
          <w:iCs/>
          <w:sz w:val="24"/>
          <w:szCs w:val="24"/>
        </w:rPr>
        <w:t>European criminal justice and policy (</w:t>
      </w:r>
      <w:proofErr w:type="spellStart"/>
      <w:r w:rsidRPr="0068172A">
        <w:rPr>
          <w:rFonts w:ascii="Times New Roman" w:hAnsi="Times New Roman"/>
          <w:i/>
          <w:iCs/>
          <w:sz w:val="24"/>
          <w:szCs w:val="24"/>
        </w:rPr>
        <w:t>GofS</w:t>
      </w:r>
      <w:proofErr w:type="spellEnd"/>
      <w:r w:rsidRPr="0068172A">
        <w:rPr>
          <w:rFonts w:ascii="Times New Roman" w:hAnsi="Times New Roman"/>
          <w:i/>
          <w:iCs/>
          <w:sz w:val="24"/>
          <w:szCs w:val="24"/>
        </w:rPr>
        <w:t>) – Governance of Security Re-search Paper Series</w:t>
      </w:r>
      <w:r w:rsidRPr="0068172A">
        <w:rPr>
          <w:rFonts w:ascii="Times New Roman" w:hAnsi="Times New Roman"/>
          <w:sz w:val="24"/>
          <w:szCs w:val="24"/>
        </w:rPr>
        <w:t xml:space="preserve">. Antwerp, Belgium: </w:t>
      </w:r>
      <w:proofErr w:type="spellStart"/>
      <w:r w:rsidRPr="0068172A">
        <w:rPr>
          <w:rFonts w:ascii="Times New Roman" w:hAnsi="Times New Roman"/>
          <w:sz w:val="24"/>
          <w:szCs w:val="24"/>
        </w:rPr>
        <w:t>Maklu</w:t>
      </w:r>
      <w:proofErr w:type="spellEnd"/>
    </w:p>
    <w:p w:rsidR="00793FAF" w:rsidRPr="0068172A" w:rsidRDefault="00793FAF" w:rsidP="00793FAF">
      <w:pPr>
        <w:autoSpaceDE w:val="0"/>
        <w:autoSpaceDN w:val="0"/>
        <w:adjustRightInd w:val="0"/>
        <w:jc w:val="both"/>
        <w:rPr>
          <w:rFonts w:ascii="Times New Roman" w:hAnsi="Times New Roman"/>
          <w:sz w:val="24"/>
          <w:szCs w:val="24"/>
          <w:lang w:val="fr-FR"/>
        </w:rPr>
      </w:pPr>
      <w:r w:rsidRPr="0068172A">
        <w:rPr>
          <w:rFonts w:ascii="Times New Roman" w:hAnsi="Times New Roman"/>
          <w:sz w:val="24"/>
          <w:szCs w:val="24"/>
          <w:lang w:val="fr-FR"/>
        </w:rPr>
        <w:t xml:space="preserve">12. Origer, Alain, </w:t>
      </w:r>
      <w:r w:rsidRPr="0068172A">
        <w:rPr>
          <w:rFonts w:ascii="Times New Roman" w:hAnsi="Times New Roman"/>
          <w:i/>
          <w:iCs/>
          <w:sz w:val="24"/>
          <w:szCs w:val="24"/>
          <w:lang w:val="fr-FR"/>
        </w:rPr>
        <w:t>Le coût économique direct de la politique et des interventions publiques en matière d’usage illicite de drogues au Grand-Duché de Luxembourg</w:t>
      </w:r>
      <w:r w:rsidRPr="0068172A">
        <w:rPr>
          <w:rFonts w:ascii="Times New Roman" w:hAnsi="Times New Roman"/>
          <w:sz w:val="24"/>
          <w:szCs w:val="24"/>
          <w:lang w:val="fr-FR"/>
        </w:rPr>
        <w:t>, (Luxembourg, OEDT Focal Point Luxembourg, 2002).</w:t>
      </w:r>
    </w:p>
    <w:p w:rsidR="00793FAF" w:rsidRPr="0068172A" w:rsidRDefault="00793FAF" w:rsidP="00793FAF">
      <w:pPr>
        <w:jc w:val="both"/>
        <w:rPr>
          <w:rFonts w:ascii="Times New Roman" w:hAnsi="Times New Roman"/>
          <w:sz w:val="24"/>
          <w:szCs w:val="24"/>
        </w:rPr>
      </w:pPr>
      <w:r w:rsidRPr="0068172A">
        <w:rPr>
          <w:rFonts w:ascii="Times New Roman" w:hAnsi="Times New Roman"/>
          <w:sz w:val="24"/>
          <w:szCs w:val="24"/>
          <w:lang w:val="fr-FR"/>
        </w:rPr>
        <w:t xml:space="preserve">13. </w:t>
      </w:r>
      <w:proofErr w:type="spellStart"/>
      <w:r w:rsidRPr="0068172A">
        <w:rPr>
          <w:rFonts w:ascii="Times New Roman" w:hAnsi="Times New Roman"/>
          <w:sz w:val="24"/>
          <w:szCs w:val="24"/>
        </w:rPr>
        <w:t>Origer</w:t>
      </w:r>
      <w:proofErr w:type="spellEnd"/>
      <w:r w:rsidRPr="0068172A">
        <w:rPr>
          <w:rFonts w:ascii="Times New Roman" w:hAnsi="Times New Roman"/>
          <w:sz w:val="24"/>
          <w:szCs w:val="24"/>
        </w:rPr>
        <w:t xml:space="preserve">, A. (2009). </w:t>
      </w:r>
      <w:r w:rsidRPr="0068172A">
        <w:rPr>
          <w:rFonts w:ascii="Times New Roman" w:hAnsi="Times New Roman"/>
          <w:i/>
          <w:iCs/>
          <w:sz w:val="24"/>
          <w:szCs w:val="24"/>
        </w:rPr>
        <w:t xml:space="preserve">2009 National Report (2008 data) to the EMCDDA by the </w:t>
      </w:r>
      <w:proofErr w:type="spellStart"/>
      <w:r w:rsidRPr="0068172A">
        <w:rPr>
          <w:rFonts w:ascii="Times New Roman" w:hAnsi="Times New Roman"/>
          <w:i/>
          <w:iCs/>
          <w:sz w:val="24"/>
          <w:szCs w:val="24"/>
        </w:rPr>
        <w:t>Reitox</w:t>
      </w:r>
      <w:proofErr w:type="spellEnd"/>
      <w:r w:rsidRPr="0068172A">
        <w:rPr>
          <w:rFonts w:ascii="Times New Roman" w:hAnsi="Times New Roman"/>
          <w:i/>
          <w:iCs/>
          <w:sz w:val="24"/>
          <w:szCs w:val="24"/>
        </w:rPr>
        <w:t xml:space="preserve"> National Focal Point "Grand Duchy of Luxembourg": New development, trends and in-depth information on selected issues</w:t>
      </w:r>
      <w:r w:rsidRPr="0068172A">
        <w:rPr>
          <w:rFonts w:ascii="Times New Roman" w:hAnsi="Times New Roman"/>
          <w:sz w:val="24"/>
          <w:szCs w:val="24"/>
        </w:rPr>
        <w:t xml:space="preserve">. </w:t>
      </w:r>
    </w:p>
    <w:p w:rsidR="00793FAF" w:rsidRPr="0068172A" w:rsidRDefault="00793FAF" w:rsidP="0068172A">
      <w:pPr>
        <w:jc w:val="both"/>
        <w:rPr>
          <w:rFonts w:ascii="Times New Roman" w:hAnsi="Times New Roman"/>
          <w:sz w:val="24"/>
          <w:szCs w:val="24"/>
        </w:rPr>
      </w:pPr>
      <w:r w:rsidRPr="0068172A">
        <w:rPr>
          <w:rFonts w:ascii="Times New Roman" w:hAnsi="Times New Roman"/>
          <w:sz w:val="24"/>
          <w:szCs w:val="24"/>
        </w:rPr>
        <w:t xml:space="preserve">Available at </w:t>
      </w:r>
      <w:hyperlink r:id="rId21" w:history="1">
        <w:r w:rsidRPr="0068172A">
          <w:rPr>
            <w:rStyle w:val="Hiperveza"/>
            <w:rFonts w:ascii="Times New Roman" w:hAnsi="Times New Roman"/>
            <w:color w:val="auto"/>
            <w:sz w:val="24"/>
            <w:szCs w:val="24"/>
          </w:rPr>
          <w:t>http://www.emcdda.europa.eu/attachements.cfm/att_142760_EN_L</w:t>
        </w:r>
      </w:hyperlink>
      <w:hyperlink r:id="rId22" w:history="1">
        <w:r w:rsidRPr="0068172A">
          <w:rPr>
            <w:rStyle w:val="Hiperveza"/>
            <w:rFonts w:ascii="Times New Roman" w:hAnsi="Times New Roman"/>
            <w:color w:val="auto"/>
            <w:sz w:val="24"/>
            <w:szCs w:val="24"/>
          </w:rPr>
          <w:t>U-NR2009.pdf</w:t>
        </w:r>
      </w:hyperlink>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14. </w:t>
      </w:r>
      <w:proofErr w:type="spellStart"/>
      <w:r w:rsidRPr="0068172A">
        <w:rPr>
          <w:rFonts w:ascii="Times New Roman" w:hAnsi="Times New Roman"/>
          <w:sz w:val="24"/>
          <w:szCs w:val="24"/>
        </w:rPr>
        <w:t>Postma</w:t>
      </w:r>
      <w:proofErr w:type="spellEnd"/>
      <w:r w:rsidRPr="0068172A">
        <w:rPr>
          <w:rFonts w:ascii="Times New Roman" w:hAnsi="Times New Roman"/>
          <w:sz w:val="24"/>
          <w:szCs w:val="24"/>
        </w:rPr>
        <w:t xml:space="preserve">, Maarten J., </w:t>
      </w:r>
      <w:r w:rsidRPr="0068172A">
        <w:rPr>
          <w:rFonts w:ascii="Times New Roman" w:hAnsi="Times New Roman"/>
          <w:i/>
          <w:iCs/>
          <w:sz w:val="24"/>
          <w:szCs w:val="24"/>
        </w:rPr>
        <w:t xml:space="preserve">Public Expenditure on Drugs in the European Union 2000-2004 </w:t>
      </w:r>
      <w:r w:rsidRPr="0068172A">
        <w:rPr>
          <w:rFonts w:ascii="Times New Roman" w:hAnsi="Times New Roman"/>
          <w:sz w:val="24"/>
          <w:szCs w:val="24"/>
        </w:rPr>
        <w:t>(Lisbon, European Monitoring Centre for Drugs and Drug Addiction, 2004).</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15.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Mats, “Estimating drug policy expenditures in Sweden, 2002”,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xml:space="preserve">, Peter Reuter, Mats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eds. (Lisbon, European Monitoring Centre for Drugs and Drug Addiction, 2004), pp. 74-90.</w:t>
      </w:r>
    </w:p>
    <w:p w:rsidR="00793FAF" w:rsidRPr="0068172A" w:rsidRDefault="00793FAF" w:rsidP="0068172A">
      <w:pPr>
        <w:jc w:val="both"/>
        <w:rPr>
          <w:rFonts w:ascii="Times New Roman" w:hAnsi="Times New Roman"/>
          <w:sz w:val="24"/>
          <w:szCs w:val="24"/>
        </w:rPr>
      </w:pPr>
      <w:r w:rsidRPr="0068172A">
        <w:rPr>
          <w:rFonts w:ascii="Times New Roman" w:hAnsi="Times New Roman"/>
          <w:sz w:val="24"/>
          <w:szCs w:val="24"/>
        </w:rPr>
        <w:t xml:space="preserve">16. </w:t>
      </w:r>
      <w:proofErr w:type="spellStart"/>
      <w:r w:rsidRPr="0068172A">
        <w:rPr>
          <w:rFonts w:ascii="Times New Roman" w:hAnsi="Times New Roman"/>
          <w:sz w:val="24"/>
          <w:szCs w:val="24"/>
        </w:rPr>
        <w:t>Ramsted</w:t>
      </w:r>
      <w:proofErr w:type="spellEnd"/>
      <w:r w:rsidRPr="0068172A">
        <w:rPr>
          <w:rFonts w:ascii="Times New Roman" w:hAnsi="Times New Roman"/>
          <w:sz w:val="24"/>
          <w:szCs w:val="24"/>
        </w:rPr>
        <w:t xml:space="preserve">, M. (2006). What drug policies cost: Drug policy spending in Sweden: Work in progress. </w:t>
      </w:r>
      <w:r w:rsidRPr="0068172A">
        <w:rPr>
          <w:rFonts w:ascii="Times New Roman" w:hAnsi="Times New Roman"/>
          <w:i/>
          <w:iCs/>
          <w:sz w:val="24"/>
          <w:szCs w:val="24"/>
        </w:rPr>
        <w:t>Addiction, 101</w:t>
      </w:r>
      <w:r w:rsidRPr="0068172A">
        <w:rPr>
          <w:rFonts w:ascii="Times New Roman" w:hAnsi="Times New Roman"/>
          <w:sz w:val="24"/>
          <w:szCs w:val="24"/>
        </w:rPr>
        <w:t>(</w:t>
      </w:r>
      <w:r w:rsidRPr="0068172A">
        <w:rPr>
          <w:rFonts w:ascii="Times New Roman" w:hAnsi="Times New Roman"/>
          <w:b/>
          <w:bCs/>
          <w:sz w:val="24"/>
          <w:szCs w:val="24"/>
        </w:rPr>
        <w:t>3</w:t>
      </w:r>
      <w:r w:rsidRPr="0068172A">
        <w:rPr>
          <w:rFonts w:ascii="Times New Roman" w:hAnsi="Times New Roman"/>
          <w:sz w:val="24"/>
          <w:szCs w:val="24"/>
        </w:rPr>
        <w:t>), 330–338.</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17. Reuter, Peter,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Mats and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eds., </w:t>
      </w:r>
      <w:r w:rsidRPr="0068172A">
        <w:rPr>
          <w:rFonts w:ascii="Times New Roman" w:hAnsi="Times New Roman"/>
          <w:i/>
          <w:iCs/>
          <w:sz w:val="24"/>
          <w:szCs w:val="24"/>
        </w:rPr>
        <w:t xml:space="preserve">Developing a Framework for Estimating Government Drug Policy Expenditures </w:t>
      </w:r>
      <w:r w:rsidRPr="0068172A">
        <w:rPr>
          <w:rFonts w:ascii="Times New Roman" w:hAnsi="Times New Roman"/>
          <w:sz w:val="24"/>
          <w:szCs w:val="24"/>
        </w:rPr>
        <w:t>(Lisbon, European Monitoring Centre for Drugs and Drug Addiction, 2004).</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t xml:space="preserve">18. Reuter, P. (2006), ‘What drug policies cost. </w:t>
      </w:r>
      <w:proofErr w:type="gramStart"/>
      <w:r w:rsidRPr="0068172A">
        <w:rPr>
          <w:rFonts w:ascii="Times New Roman" w:hAnsi="Times New Roman"/>
          <w:sz w:val="24"/>
          <w:szCs w:val="24"/>
        </w:rPr>
        <w:t xml:space="preserve">Estimating government drug policy expenditures’, </w:t>
      </w:r>
      <w:r w:rsidRPr="0068172A">
        <w:rPr>
          <w:rFonts w:ascii="Times New Roman" w:hAnsi="Times New Roman"/>
          <w:i/>
          <w:iCs/>
          <w:sz w:val="24"/>
          <w:szCs w:val="24"/>
        </w:rPr>
        <w:t>Addiction</w:t>
      </w:r>
      <w:r w:rsidRPr="0068172A">
        <w:rPr>
          <w:rFonts w:ascii="Times New Roman" w:hAnsi="Times New Roman"/>
          <w:sz w:val="24"/>
          <w:szCs w:val="24"/>
        </w:rPr>
        <w:t>, 101, pp. 315–322.</w:t>
      </w:r>
      <w:proofErr w:type="gramEnd"/>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rPr>
        <w:lastRenderedPageBreak/>
        <w:t xml:space="preserve">19.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“Drug policy expenditures in the Netherlands, 2003”,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xml:space="preserve">, Peter Reuter, Mats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eds. (Lisbon, European Monitoring Centre for Drugs and Drug Addiction, 2004), pp. 37-73.</w:t>
      </w:r>
    </w:p>
    <w:p w:rsidR="00793FAF" w:rsidRPr="0068172A" w:rsidRDefault="00793FAF" w:rsidP="00793FAF">
      <w:pPr>
        <w:autoSpaceDE w:val="0"/>
        <w:autoSpaceDN w:val="0"/>
        <w:adjustRightInd w:val="0"/>
        <w:jc w:val="both"/>
        <w:rPr>
          <w:rFonts w:ascii="Times New Roman" w:hAnsi="Times New Roman"/>
          <w:sz w:val="24"/>
          <w:szCs w:val="24"/>
        </w:rPr>
      </w:pPr>
      <w:r w:rsidRPr="0068172A">
        <w:rPr>
          <w:rFonts w:ascii="Times New Roman" w:hAnsi="Times New Roman"/>
          <w:sz w:val="24"/>
          <w:szCs w:val="24"/>
          <w:lang w:val="fr-FR"/>
        </w:rPr>
        <w:t xml:space="preserve">20. Vander </w:t>
      </w:r>
      <w:r w:rsidRPr="0068172A">
        <w:rPr>
          <w:rFonts w:ascii="Times New Roman" w:hAnsi="Times New Roman"/>
          <w:bCs/>
          <w:sz w:val="24"/>
          <w:szCs w:val="24"/>
          <w:lang w:val="fr-FR"/>
        </w:rPr>
        <w:t>Laenen</w:t>
      </w:r>
      <w:r w:rsidRPr="0068172A">
        <w:rPr>
          <w:rFonts w:ascii="Times New Roman" w:hAnsi="Times New Roman"/>
          <w:sz w:val="24"/>
          <w:szCs w:val="24"/>
          <w:lang w:val="fr-FR"/>
        </w:rPr>
        <w:t xml:space="preserve"> F., </w:t>
      </w:r>
      <w:r w:rsidRPr="0068172A">
        <w:rPr>
          <w:rFonts w:ascii="Times New Roman" w:hAnsi="Times New Roman"/>
          <w:bCs/>
          <w:sz w:val="24"/>
          <w:szCs w:val="24"/>
          <w:lang w:val="fr-FR"/>
        </w:rPr>
        <w:t>Vandam</w:t>
      </w:r>
      <w:r w:rsidRPr="0068172A">
        <w:rPr>
          <w:rFonts w:ascii="Times New Roman" w:hAnsi="Times New Roman"/>
          <w:sz w:val="24"/>
          <w:szCs w:val="24"/>
          <w:lang w:val="fr-FR"/>
        </w:rPr>
        <w:t xml:space="preserve">, L., De </w:t>
      </w:r>
      <w:r w:rsidRPr="0068172A">
        <w:rPr>
          <w:rFonts w:ascii="Times New Roman" w:hAnsi="Times New Roman"/>
          <w:bCs/>
          <w:sz w:val="24"/>
          <w:szCs w:val="24"/>
          <w:lang w:val="fr-FR"/>
        </w:rPr>
        <w:t>Ruyver</w:t>
      </w:r>
      <w:r w:rsidRPr="0068172A">
        <w:rPr>
          <w:rFonts w:ascii="Times New Roman" w:hAnsi="Times New Roman"/>
          <w:sz w:val="24"/>
          <w:szCs w:val="24"/>
          <w:lang w:val="fr-FR"/>
        </w:rPr>
        <w:t xml:space="preserve">, B., &amp; </w:t>
      </w:r>
      <w:r w:rsidRPr="0068172A">
        <w:rPr>
          <w:rFonts w:ascii="Times New Roman" w:hAnsi="Times New Roman"/>
          <w:bCs/>
          <w:sz w:val="24"/>
          <w:szCs w:val="24"/>
          <w:lang w:val="fr-FR"/>
        </w:rPr>
        <w:t>Lievens</w:t>
      </w:r>
      <w:r w:rsidRPr="0068172A">
        <w:rPr>
          <w:rFonts w:ascii="Times New Roman" w:hAnsi="Times New Roman"/>
          <w:sz w:val="24"/>
          <w:szCs w:val="24"/>
          <w:lang w:val="fr-FR"/>
        </w:rPr>
        <w:t>, D. (</w:t>
      </w:r>
      <w:r w:rsidRPr="0068172A">
        <w:rPr>
          <w:rFonts w:ascii="Times New Roman" w:hAnsi="Times New Roman"/>
          <w:bCs/>
          <w:sz w:val="24"/>
          <w:szCs w:val="24"/>
          <w:lang w:val="fr-FR"/>
        </w:rPr>
        <w:t>2011</w:t>
      </w:r>
      <w:r w:rsidRPr="0068172A">
        <w:rPr>
          <w:rFonts w:ascii="Times New Roman" w:hAnsi="Times New Roman"/>
          <w:sz w:val="24"/>
          <w:szCs w:val="24"/>
          <w:lang w:val="fr-FR"/>
        </w:rPr>
        <w:t xml:space="preserve">). </w:t>
      </w:r>
      <w:r w:rsidRPr="0068172A">
        <w:rPr>
          <w:rFonts w:ascii="Times New Roman" w:hAnsi="Times New Roman"/>
          <w:bCs/>
          <w:sz w:val="24"/>
          <w:szCs w:val="24"/>
        </w:rPr>
        <w:t>Studies</w:t>
      </w:r>
      <w:r w:rsidRPr="0068172A">
        <w:rPr>
          <w:rFonts w:ascii="Times New Roman" w:hAnsi="Times New Roman"/>
          <w:sz w:val="24"/>
          <w:szCs w:val="24"/>
        </w:rPr>
        <w:t xml:space="preserve"> of public drug expenditure in Europe: possibilities and limitations, published in </w:t>
      </w:r>
      <w:r w:rsidRPr="0068172A">
        <w:rPr>
          <w:rFonts w:ascii="Times New Roman" w:hAnsi="Times New Roman"/>
          <w:i/>
          <w:iCs/>
          <w:sz w:val="24"/>
          <w:szCs w:val="24"/>
        </w:rPr>
        <w:t>UNODC, Bulletin of narcotics: Measurement issues in drug policy analysis</w:t>
      </w:r>
      <w:r w:rsidRPr="0068172A">
        <w:rPr>
          <w:rFonts w:ascii="Times New Roman" w:hAnsi="Times New Roman"/>
          <w:sz w:val="24"/>
          <w:szCs w:val="24"/>
        </w:rPr>
        <w:t xml:space="preserve">. </w:t>
      </w:r>
      <w:proofErr w:type="gramStart"/>
      <w:r w:rsidRPr="0068172A">
        <w:rPr>
          <w:rFonts w:ascii="Times New Roman" w:hAnsi="Times New Roman"/>
          <w:sz w:val="24"/>
          <w:szCs w:val="24"/>
        </w:rPr>
        <w:t>Volume LX, Vienna, United Nations Office on Drugs and Crime; New York, United Nations.</w:t>
      </w:r>
      <w:proofErr w:type="gramEnd"/>
    </w:p>
    <w:p w:rsidR="00793FAF" w:rsidRPr="00DE2923" w:rsidRDefault="00793FAF" w:rsidP="00DE2923">
      <w:pPr>
        <w:jc w:val="both"/>
        <w:rPr>
          <w:rFonts w:ascii="Times New Roman" w:hAnsi="Times New Roman"/>
          <w:color w:val="006621"/>
          <w:sz w:val="24"/>
          <w:szCs w:val="24"/>
          <w:shd w:val="clear" w:color="auto" w:fill="FFFFFF"/>
        </w:rPr>
      </w:pPr>
    </w:p>
    <w:sectPr w:rsidR="00793FAF" w:rsidRPr="00DE2923" w:rsidSect="00B54D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81" w:rsidRDefault="001E1781" w:rsidP="00750EE9">
      <w:pPr>
        <w:spacing w:after="0" w:line="240" w:lineRule="auto"/>
      </w:pPr>
      <w:r>
        <w:separator/>
      </w:r>
    </w:p>
  </w:endnote>
  <w:endnote w:type="continuationSeparator" w:id="0">
    <w:p w:rsidR="001E1781" w:rsidRDefault="001E1781" w:rsidP="0075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81" w:rsidRDefault="001E1781" w:rsidP="00750EE9">
      <w:pPr>
        <w:spacing w:after="0" w:line="240" w:lineRule="auto"/>
      </w:pPr>
      <w:r>
        <w:separator/>
      </w:r>
    </w:p>
  </w:footnote>
  <w:footnote w:type="continuationSeparator" w:id="0">
    <w:p w:rsidR="001E1781" w:rsidRDefault="001E1781" w:rsidP="00750EE9">
      <w:pPr>
        <w:spacing w:after="0" w:line="240" w:lineRule="auto"/>
      </w:pPr>
      <w:r>
        <w:continuationSeparator/>
      </w:r>
    </w:p>
  </w:footnote>
  <w:footnote w:id="1">
    <w:p w:rsidR="007B12C9" w:rsidRPr="00C84CFC" w:rsidRDefault="007B12C9" w:rsidP="00750EE9">
      <w:pPr>
        <w:autoSpaceDE w:val="0"/>
        <w:autoSpaceDN w:val="0"/>
        <w:adjustRightInd w:val="0"/>
        <w:jc w:val="both"/>
        <w:rPr>
          <w:sz w:val="18"/>
          <w:szCs w:val="18"/>
        </w:rPr>
      </w:pPr>
      <w:r>
        <w:rPr>
          <w:rStyle w:val="Referencafusnote"/>
        </w:rPr>
        <w:footnoteRef/>
      </w:r>
      <w:r>
        <w:t xml:space="preserve"> </w:t>
      </w:r>
      <w:r w:rsidRPr="00C84CFC">
        <w:rPr>
          <w:sz w:val="18"/>
          <w:szCs w:val="18"/>
        </w:rPr>
        <w:t xml:space="preserve">Total public expenditure (or total general government expenditure) is expressed in national currency (in millions) in national accounts and includes government expenditure — for example at local, regional and central levels of government, as well as social security funding — under different </w:t>
      </w:r>
      <w:proofErr w:type="spellStart"/>
      <w:r w:rsidRPr="00C84CFC">
        <w:rPr>
          <w:sz w:val="18"/>
          <w:szCs w:val="18"/>
        </w:rPr>
        <w:t>eadings</w:t>
      </w:r>
      <w:proofErr w:type="spellEnd"/>
      <w:r w:rsidRPr="00C84CFC">
        <w:rPr>
          <w:sz w:val="18"/>
          <w:szCs w:val="18"/>
        </w:rPr>
        <w:t xml:space="preserve"> (such as welfare, health, education, etc.). National accounts are compiled in accordance with the European System of Accounts (ESA 1995) adopted in the form of a Council Regulation dated 25 June 1996 ((EC) No 2223/96) and published in the Official Journal L 310 of 30 November 1996. A consolidated version is available at the following address: http://circa.europa.eu/irc/dsis/nfaccount/info/data/esa95/esa95-new.htm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B78FD"/>
    <w:multiLevelType w:val="multilevel"/>
    <w:tmpl w:val="C10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321F22"/>
    <w:multiLevelType w:val="multilevel"/>
    <w:tmpl w:val="078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1CEE"/>
    <w:rsid w:val="000223A4"/>
    <w:rsid w:val="000359E2"/>
    <w:rsid w:val="001A6567"/>
    <w:rsid w:val="001E1781"/>
    <w:rsid w:val="00287451"/>
    <w:rsid w:val="002B3D4B"/>
    <w:rsid w:val="002E0120"/>
    <w:rsid w:val="002F23EC"/>
    <w:rsid w:val="003A7661"/>
    <w:rsid w:val="005E0564"/>
    <w:rsid w:val="0068172A"/>
    <w:rsid w:val="006B7D16"/>
    <w:rsid w:val="00711219"/>
    <w:rsid w:val="00750EE9"/>
    <w:rsid w:val="00791CF5"/>
    <w:rsid w:val="00793FAF"/>
    <w:rsid w:val="007B12C9"/>
    <w:rsid w:val="0089211D"/>
    <w:rsid w:val="008D2675"/>
    <w:rsid w:val="00921B0B"/>
    <w:rsid w:val="00A83852"/>
    <w:rsid w:val="00B54DCB"/>
    <w:rsid w:val="00C77AE3"/>
    <w:rsid w:val="00DB24D6"/>
    <w:rsid w:val="00DE2923"/>
    <w:rsid w:val="00EF1CEE"/>
    <w:rsid w:val="00FC42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E"/>
    <w:rPr>
      <w:rFonts w:ascii="Calibri" w:eastAsia="Calibri" w:hAnsi="Calibri" w:cs="Times New Roman"/>
      <w:lang w:val="en-GB"/>
    </w:rPr>
  </w:style>
  <w:style w:type="paragraph" w:styleId="Naslov2">
    <w:name w:val="heading 2"/>
    <w:basedOn w:val="Normal"/>
    <w:next w:val="Normal"/>
    <w:link w:val="Naslov2Cha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EF1CEE"/>
  </w:style>
  <w:style w:type="paragraph" w:styleId="Standard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unaprijedoblikovano">
    <w:name w:val="HTML Preformatted"/>
    <w:basedOn w:val="Normal"/>
    <w:link w:val="HTMLunaprijedoblikovanoCha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rsid w:val="00EF1CEE"/>
    <w:rPr>
      <w:rFonts w:ascii="Courier New" w:eastAsia="Times New Roman" w:hAnsi="Courier New" w:cs="Courier New"/>
      <w:sz w:val="20"/>
      <w:szCs w:val="20"/>
      <w:lang w:eastAsia="hr-HR"/>
    </w:rPr>
  </w:style>
  <w:style w:type="character" w:customStyle="1" w:styleId="Naslov2Char">
    <w:name w:val="Naslov 2 Char"/>
    <w:basedOn w:val="Zadanifontodlomka"/>
    <w:link w:val="Naslov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Tekstfusnote">
    <w:name w:val="footnote text"/>
    <w:aliases w:val="Voetnoottekst Char"/>
    <w:basedOn w:val="Normal"/>
    <w:link w:val="TekstfusnoteChar"/>
    <w:rsid w:val="00FC4219"/>
    <w:pPr>
      <w:spacing w:after="0" w:line="240" w:lineRule="auto"/>
    </w:pPr>
    <w:rPr>
      <w:rFonts w:ascii="Arial" w:hAnsi="Arial"/>
      <w:sz w:val="20"/>
      <w:szCs w:val="20"/>
    </w:rPr>
  </w:style>
  <w:style w:type="character" w:customStyle="1" w:styleId="TekstfusnoteChar">
    <w:name w:val="Tekst fusnote Char"/>
    <w:aliases w:val="Voetnoottekst Char Char"/>
    <w:basedOn w:val="Zadanifontodlomka"/>
    <w:link w:val="Tekstfusnote"/>
    <w:rsid w:val="00FC4219"/>
    <w:rPr>
      <w:rFonts w:ascii="Arial" w:eastAsia="Calibri" w:hAnsi="Arial" w:cs="Times New Roman"/>
      <w:sz w:val="20"/>
      <w:szCs w:val="20"/>
      <w:lang w:val="en-GB"/>
    </w:rPr>
  </w:style>
  <w:style w:type="character" w:styleId="Istaknuto">
    <w:name w:val="Emphasis"/>
    <w:basedOn w:val="Zadanifontodlomka"/>
    <w:qFormat/>
    <w:rsid w:val="00FC4219"/>
    <w:rPr>
      <w:i/>
      <w:iCs/>
    </w:rPr>
  </w:style>
  <w:style w:type="character" w:styleId="Hiperveza">
    <w:name w:val="Hyperlink"/>
    <w:basedOn w:val="Zadanifontodlomka"/>
    <w:uiPriority w:val="99"/>
    <w:unhideWhenUsed/>
    <w:rsid w:val="00FC4219"/>
    <w:rPr>
      <w:color w:val="0000FF"/>
      <w:u w:val="single"/>
    </w:rPr>
  </w:style>
  <w:style w:type="table" w:styleId="Reetkatablice">
    <w:name w:val="Table Grid"/>
    <w:basedOn w:val="Obinatablica"/>
    <w:rsid w:val="0089211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erencafusnote">
    <w:name w:val="footnote reference"/>
    <w:basedOn w:val="Zadanifontodlomka"/>
    <w:semiHidden/>
    <w:rsid w:val="00750EE9"/>
    <w:rPr>
      <w:vertAlign w:val="superscript"/>
    </w:rPr>
  </w:style>
  <w:style w:type="character" w:customStyle="1" w:styleId="shorttext">
    <w:name w:val="short_text"/>
    <w:basedOn w:val="Zadanifontodlomka"/>
    <w:rsid w:val="00750EE9"/>
  </w:style>
  <w:style w:type="character" w:customStyle="1" w:styleId="hps">
    <w:name w:val="hps"/>
    <w:basedOn w:val="Zadanifontodlomka"/>
    <w:rsid w:val="00750EE9"/>
  </w:style>
</w:styles>
</file>

<file path=word/webSettings.xml><?xml version="1.0" encoding="utf-8"?>
<w:webSettings xmlns:r="http://schemas.openxmlformats.org/officeDocument/2006/relationships" xmlns:w="http://schemas.openxmlformats.org/wordprocessingml/2006/main">
  <w:divs>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ho.int/gho/data/node.main-euro.A1221?lang=en&amp;showonly=RSUD" TargetMode="External"/><Relationship Id="rId13" Type="http://schemas.openxmlformats.org/officeDocument/2006/relationships/hyperlink" Target="http://apps.who.int/gho/data/node.main-euro.A1333?lang=en&amp;showonly=RSUD" TargetMode="External"/><Relationship Id="rId18" Type="http://schemas.openxmlformats.org/officeDocument/2006/relationships/hyperlink" Target="http://onlinelibrary.wiley.com/doi/10.1111/dar.2009.28.issue-2/issuetoc" TargetMode="External"/><Relationship Id="rId3" Type="http://schemas.openxmlformats.org/officeDocument/2006/relationships/settings" Target="settings.xml"/><Relationship Id="rId21" Type="http://schemas.openxmlformats.org/officeDocument/2006/relationships/hyperlink" Target="http://www.emcdda.europa.eu/attachements.cfm/att_142760_EN_LU-NR2009.pdf" TargetMode="External"/><Relationship Id="rId7" Type="http://schemas.openxmlformats.org/officeDocument/2006/relationships/hyperlink" Target="http://apps.who.int/gho/data/node.main-euro.A1211?lang=en&amp;showonly=RSUD" TargetMode="External"/><Relationship Id="rId12" Type="http://schemas.openxmlformats.org/officeDocument/2006/relationships/hyperlink" Target="http://apps.who.int/gho/data/node.main-euro.A1319?lang=en&amp;showonly=RSUD" TargetMode="External"/><Relationship Id="rId17" Type="http://schemas.openxmlformats.org/officeDocument/2006/relationships/hyperlink" Target="http://www.sicad.pt/PT/Intervencao/Materiais/Paginas/default.aspx" TargetMode="External"/><Relationship Id="rId2" Type="http://schemas.openxmlformats.org/officeDocument/2006/relationships/styles" Target="styles.xml"/><Relationship Id="rId16" Type="http://schemas.openxmlformats.org/officeDocument/2006/relationships/hyperlink" Target="http://en.ofdt.fr/BDD/publications/docs/nr2012si2.pdf" TargetMode="External"/><Relationship Id="rId20" Type="http://schemas.openxmlformats.org/officeDocument/2006/relationships/hyperlink" Target="%20http://eeas.europa.eu/drugs/docs/ap00_04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gho/data/node.main-euro.A1280?lang=en&amp;showonly=RSU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ilar.hr/images/stories/dokumenti/drustvena_istrazivanja/125/di125_02svaljek.pdf" TargetMode="External"/><Relationship Id="rId23" Type="http://schemas.openxmlformats.org/officeDocument/2006/relationships/fontTable" Target="fontTable.xml"/><Relationship Id="rId10" Type="http://schemas.openxmlformats.org/officeDocument/2006/relationships/hyperlink" Target="http://apps.who.int/gho/data/node.main-euro.A1233?lang=en&amp;showonly=RSUD" TargetMode="External"/><Relationship Id="rId19" Type="http://schemas.openxmlformats.org/officeDocument/2006/relationships/hyperlink" Target="http://vec.gov.lv/uploads/files/4d39483928d40.pdf" TargetMode="External"/><Relationship Id="rId4" Type="http://schemas.openxmlformats.org/officeDocument/2006/relationships/webSettings" Target="webSettings.xml"/><Relationship Id="rId9" Type="http://schemas.openxmlformats.org/officeDocument/2006/relationships/hyperlink" Target="http://apps.who.int/gho/data/node.main-euro.A1229?lang=en&amp;showonly=RSUD" TargetMode="External"/><Relationship Id="rId14" Type="http://schemas.openxmlformats.org/officeDocument/2006/relationships/hyperlink" Target="http://www.sciencedirect.com/science/article/pii/S074054721300038X" TargetMode="External"/><Relationship Id="rId22" Type="http://schemas.openxmlformats.org/officeDocument/2006/relationships/hyperlink" Target="http://www.emcdda.europa.eu/attachements.cfm/att_142760_EN_LU-NR2009.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12972</Words>
  <Characters>73942</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2015-11-10T14:31:00Z</dcterms:created>
  <dcterms:modified xsi:type="dcterms:W3CDTF">2015-11-10T14:31:00Z</dcterms:modified>
</cp:coreProperties>
</file>