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BD" w:rsidRDefault="000F00BD">
      <w:pPr>
        <w:spacing w:after="0" w:line="240" w:lineRule="auto"/>
        <w:rPr>
          <w:rStyle w:val="Aucun"/>
          <w:rFonts w:ascii="Arial" w:eastAsia="Arial" w:hAnsi="Arial" w:cs="Arial"/>
          <w:b/>
          <w:bCs/>
          <w:sz w:val="28"/>
          <w:szCs w:val="28"/>
        </w:rPr>
      </w:pPr>
      <w:bookmarkStart w:id="0" w:name="_GoBack"/>
      <w:bookmarkEnd w:id="0"/>
    </w:p>
    <w:p w:rsidR="000F00BD" w:rsidRDefault="00783A3A">
      <w:pPr>
        <w:spacing w:after="0" w:line="240" w:lineRule="auto"/>
        <w:jc w:val="center"/>
        <w:rPr>
          <w:rStyle w:val="Aucun"/>
          <w:rFonts w:ascii="Arial" w:eastAsia="Arial" w:hAnsi="Arial" w:cs="Arial"/>
          <w:b/>
          <w:bCs/>
          <w:sz w:val="28"/>
          <w:szCs w:val="28"/>
        </w:rPr>
      </w:pPr>
      <w:r>
        <w:rPr>
          <w:rStyle w:val="Aucun"/>
          <w:rFonts w:ascii="Arial" w:hAnsi="Arial"/>
          <w:b/>
          <w:bCs/>
          <w:sz w:val="28"/>
          <w:szCs w:val="28"/>
        </w:rPr>
        <w:t>BRIEFING</w:t>
      </w:r>
    </w:p>
    <w:p w:rsidR="000F00BD" w:rsidRDefault="000F00BD">
      <w:pPr>
        <w:spacing w:after="0" w:line="240" w:lineRule="auto"/>
        <w:jc w:val="center"/>
        <w:rPr>
          <w:rStyle w:val="Aucun"/>
          <w:rFonts w:ascii="Arial" w:eastAsia="Arial" w:hAnsi="Arial" w:cs="Arial"/>
          <w:b/>
          <w:bCs/>
          <w:sz w:val="28"/>
          <w:szCs w:val="28"/>
        </w:rPr>
      </w:pPr>
    </w:p>
    <w:p w:rsidR="00355E19" w:rsidRDefault="00783A3A">
      <w:pPr>
        <w:spacing w:after="0" w:line="240" w:lineRule="auto"/>
        <w:jc w:val="center"/>
        <w:rPr>
          <w:rStyle w:val="Aucun"/>
          <w:rFonts w:ascii="Arial" w:hAnsi="Arial"/>
          <w:b/>
          <w:bCs/>
          <w:sz w:val="28"/>
          <w:szCs w:val="28"/>
        </w:rPr>
      </w:pPr>
      <w:r>
        <w:rPr>
          <w:rStyle w:val="Aucun"/>
          <w:rFonts w:ascii="Arial" w:hAnsi="Arial"/>
          <w:b/>
          <w:bCs/>
          <w:sz w:val="28"/>
          <w:szCs w:val="28"/>
        </w:rPr>
        <w:t>2</w:t>
      </w:r>
      <w:r w:rsidRPr="00355E19">
        <w:rPr>
          <w:rStyle w:val="Aucun"/>
          <w:rFonts w:ascii="Arial" w:hAnsi="Arial"/>
          <w:b/>
          <w:bCs/>
          <w:sz w:val="28"/>
          <w:szCs w:val="28"/>
          <w:vertAlign w:val="superscript"/>
        </w:rPr>
        <w:t>nd</w:t>
      </w:r>
      <w:r>
        <w:rPr>
          <w:rStyle w:val="Aucun"/>
          <w:rFonts w:ascii="Arial" w:hAnsi="Arial"/>
          <w:b/>
          <w:bCs/>
          <w:sz w:val="28"/>
          <w:szCs w:val="28"/>
        </w:rPr>
        <w:t xml:space="preserve"> Indonesia-EU Working Group </w:t>
      </w:r>
    </w:p>
    <w:p w:rsidR="000F00BD" w:rsidRDefault="00783A3A">
      <w:pPr>
        <w:spacing w:after="0" w:line="240" w:lineRule="auto"/>
        <w:jc w:val="center"/>
        <w:rPr>
          <w:rStyle w:val="Aucun"/>
          <w:rFonts w:ascii="Arial" w:eastAsia="Arial" w:hAnsi="Arial" w:cs="Arial"/>
          <w:b/>
          <w:bCs/>
          <w:sz w:val="28"/>
          <w:szCs w:val="28"/>
        </w:rPr>
      </w:pPr>
      <w:r>
        <w:rPr>
          <w:rStyle w:val="Aucun"/>
          <w:rFonts w:ascii="Arial" w:hAnsi="Arial"/>
          <w:b/>
          <w:bCs/>
          <w:sz w:val="28"/>
          <w:szCs w:val="28"/>
        </w:rPr>
        <w:t>on Environment and Climate Change</w:t>
      </w:r>
    </w:p>
    <w:p w:rsidR="000F00BD" w:rsidRDefault="000F00BD">
      <w:pPr>
        <w:spacing w:after="0" w:line="240" w:lineRule="auto"/>
        <w:jc w:val="center"/>
        <w:rPr>
          <w:rStyle w:val="Aucun"/>
          <w:rFonts w:ascii="Arial" w:eastAsia="Arial" w:hAnsi="Arial" w:cs="Arial"/>
          <w:b/>
          <w:bCs/>
          <w:sz w:val="28"/>
          <w:szCs w:val="28"/>
        </w:rPr>
      </w:pPr>
    </w:p>
    <w:p w:rsidR="000F00BD" w:rsidRDefault="00783A3A">
      <w:pPr>
        <w:spacing w:after="0" w:line="240" w:lineRule="auto"/>
        <w:jc w:val="center"/>
        <w:rPr>
          <w:rStyle w:val="Aucun"/>
          <w:rFonts w:ascii="Arial" w:eastAsia="Arial" w:hAnsi="Arial" w:cs="Arial"/>
          <w:b/>
          <w:bCs/>
          <w:sz w:val="28"/>
          <w:szCs w:val="28"/>
        </w:rPr>
      </w:pPr>
      <w:r>
        <w:rPr>
          <w:rStyle w:val="Aucun"/>
          <w:rFonts w:ascii="Arial" w:hAnsi="Arial"/>
          <w:b/>
          <w:bCs/>
          <w:sz w:val="28"/>
          <w:szCs w:val="28"/>
        </w:rPr>
        <w:t>Palm oil</w:t>
      </w:r>
    </w:p>
    <w:p w:rsidR="000F00BD" w:rsidRDefault="000F00BD">
      <w:pPr>
        <w:spacing w:after="0" w:line="240" w:lineRule="auto"/>
        <w:jc w:val="center"/>
        <w:rPr>
          <w:rStyle w:val="Aucun"/>
          <w:rFonts w:ascii="Arial" w:eastAsia="Arial" w:hAnsi="Arial" w:cs="Arial"/>
          <w:b/>
          <w:bCs/>
          <w:sz w:val="28"/>
          <w:szCs w:val="28"/>
        </w:rPr>
      </w:pPr>
    </w:p>
    <w:p w:rsidR="000F00BD" w:rsidRDefault="000F00BD">
      <w:pPr>
        <w:spacing w:after="0" w:line="240" w:lineRule="auto"/>
        <w:rPr>
          <w:rStyle w:val="Aucun"/>
          <w:rFonts w:ascii="Arial" w:eastAsia="Arial" w:hAnsi="Arial" w:cs="Arial"/>
          <w:sz w:val="28"/>
          <w:szCs w:val="28"/>
        </w:rPr>
      </w:pPr>
    </w:p>
    <w:p w:rsidR="000F00BD" w:rsidRDefault="00783A3A">
      <w:pPr>
        <w:numPr>
          <w:ilvl w:val="0"/>
          <w:numId w:val="2"/>
        </w:numPr>
        <w:spacing w:after="0" w:line="240" w:lineRule="auto"/>
        <w:rPr>
          <w:rStyle w:val="Aucun"/>
          <w:rFonts w:ascii="Arial" w:eastAsia="Arial" w:hAnsi="Arial" w:cs="Arial"/>
          <w:b/>
          <w:bCs/>
          <w:sz w:val="28"/>
          <w:szCs w:val="28"/>
          <w:u w:val="single"/>
        </w:rPr>
      </w:pPr>
      <w:r>
        <w:rPr>
          <w:rStyle w:val="Aucun"/>
          <w:rFonts w:ascii="Arial" w:hAnsi="Arial"/>
          <w:b/>
          <w:bCs/>
          <w:sz w:val="28"/>
          <w:szCs w:val="28"/>
          <w:u w:val="single"/>
        </w:rPr>
        <w:t>Speaking points</w:t>
      </w:r>
      <w:r>
        <w:rPr>
          <w:rFonts w:ascii="Arial" w:hAnsi="Arial"/>
          <w:b/>
          <w:bCs/>
          <w:sz w:val="28"/>
          <w:szCs w:val="28"/>
        </w:rPr>
        <w:t xml:space="preserve"> </w:t>
      </w:r>
      <w:r>
        <w:rPr>
          <w:rFonts w:ascii="Arial Unicode MS" w:eastAsia="Arial Unicode MS" w:hAnsi="Arial Unicode MS" w:cs="Arial Unicode MS"/>
          <w:sz w:val="28"/>
          <w:szCs w:val="28"/>
        </w:rPr>
        <w:br/>
      </w:r>
    </w:p>
    <w:p w:rsidR="000F00BD" w:rsidRDefault="00783A3A" w:rsidP="00355E19">
      <w:pPr>
        <w:numPr>
          <w:ilvl w:val="0"/>
          <w:numId w:val="4"/>
        </w:numPr>
        <w:spacing w:after="0" w:line="240" w:lineRule="auto"/>
        <w:ind w:left="360"/>
        <w:jc w:val="both"/>
        <w:outlineLvl w:val="0"/>
        <w:rPr>
          <w:rFonts w:ascii="Arial" w:eastAsia="Arial" w:hAnsi="Arial" w:cs="Arial"/>
          <w:sz w:val="28"/>
          <w:szCs w:val="28"/>
        </w:rPr>
      </w:pPr>
      <w:r>
        <w:rPr>
          <w:rFonts w:ascii="Arial" w:hAnsi="Arial"/>
          <w:sz w:val="28"/>
          <w:szCs w:val="28"/>
        </w:rPr>
        <w:t>The EU thanks Indonesia for its engagement on the issue of palm oil</w:t>
      </w:r>
      <w:r w:rsidRPr="00355E19">
        <w:rPr>
          <w:rFonts w:ascii="Arial" w:hAnsi="Arial"/>
          <w:sz w:val="28"/>
          <w:szCs w:val="28"/>
          <w:lang w:val="en-GB"/>
        </w:rPr>
        <w:t xml:space="preserve"> sustainability</w:t>
      </w:r>
      <w:r>
        <w:rPr>
          <w:rFonts w:ascii="Arial" w:hAnsi="Arial"/>
          <w:sz w:val="28"/>
          <w:szCs w:val="28"/>
        </w:rPr>
        <w:t>, which we also see as a</w:t>
      </w:r>
      <w:r w:rsidRPr="00355E19">
        <w:rPr>
          <w:rFonts w:ascii="Arial" w:hAnsi="Arial"/>
          <w:sz w:val="28"/>
          <w:szCs w:val="28"/>
          <w:lang w:val="en-GB"/>
        </w:rPr>
        <w:t xml:space="preserve"> major opportunity to address drivers of deforestation and environmental degradation.</w:t>
      </w:r>
    </w:p>
    <w:p w:rsidR="000F00BD" w:rsidRDefault="000F00BD" w:rsidP="00355E19">
      <w:pPr>
        <w:spacing w:after="0" w:line="240" w:lineRule="auto"/>
        <w:ind w:left="360"/>
        <w:jc w:val="both"/>
        <w:outlineLvl w:val="0"/>
        <w:rPr>
          <w:rStyle w:val="Aucun"/>
          <w:rFonts w:ascii="Arial" w:eastAsia="Arial" w:hAnsi="Arial" w:cs="Arial"/>
          <w:sz w:val="28"/>
          <w:szCs w:val="28"/>
        </w:rPr>
      </w:pPr>
    </w:p>
    <w:p w:rsidR="000F00BD" w:rsidRDefault="00783A3A" w:rsidP="00355E19">
      <w:pPr>
        <w:numPr>
          <w:ilvl w:val="0"/>
          <w:numId w:val="4"/>
        </w:numPr>
        <w:spacing w:after="0" w:line="240" w:lineRule="auto"/>
        <w:ind w:left="360"/>
        <w:jc w:val="both"/>
        <w:outlineLvl w:val="0"/>
        <w:rPr>
          <w:rFonts w:ascii="Arial" w:eastAsia="Arial" w:hAnsi="Arial" w:cs="Arial"/>
          <w:sz w:val="28"/>
          <w:szCs w:val="28"/>
        </w:rPr>
      </w:pPr>
      <w:r>
        <w:rPr>
          <w:rFonts w:ascii="Arial" w:hAnsi="Arial"/>
          <w:sz w:val="28"/>
          <w:szCs w:val="28"/>
        </w:rPr>
        <w:t xml:space="preserve">The EU is mindful of the environmental and social impacts of palm oil production, such as deforestation and biodiversity loss, greenhouse gas emissions, and indigenous rights issues. Addressing the challenges of deforestation remains indeed an important matter for the EU, including as part of the implementation of the 2030 Agenda and the SDGs, as well as the Paris Agreement. But we are also aware of the opportunities that palm oil presents in producing countries as a significant </w:t>
      </w:r>
      <w:r w:rsidRPr="00355E19">
        <w:rPr>
          <w:rFonts w:ascii="Arial" w:hAnsi="Arial"/>
          <w:sz w:val="28"/>
          <w:szCs w:val="28"/>
          <w:lang w:val="en-GB"/>
        </w:rPr>
        <w:t xml:space="preserve">development </w:t>
      </w:r>
      <w:r w:rsidR="002D770E" w:rsidRPr="008F618F">
        <w:rPr>
          <w:rFonts w:ascii="Arial" w:hAnsi="Arial"/>
          <w:sz w:val="28"/>
          <w:szCs w:val="28"/>
          <w:lang w:val="en-GB"/>
        </w:rPr>
        <w:t>opportunity</w:t>
      </w:r>
      <w:r>
        <w:rPr>
          <w:rFonts w:ascii="Arial" w:hAnsi="Arial"/>
          <w:sz w:val="28"/>
          <w:szCs w:val="28"/>
        </w:rPr>
        <w:t xml:space="preserve">, including for rural communities and smallholders. </w:t>
      </w:r>
    </w:p>
    <w:p w:rsidR="000F00BD" w:rsidRDefault="000F00BD" w:rsidP="00355E19">
      <w:pPr>
        <w:spacing w:after="0" w:line="240" w:lineRule="auto"/>
        <w:jc w:val="both"/>
        <w:outlineLvl w:val="0"/>
        <w:rPr>
          <w:rStyle w:val="Aucun"/>
          <w:rFonts w:ascii="Arial" w:eastAsia="Arial" w:hAnsi="Arial" w:cs="Arial"/>
          <w:sz w:val="28"/>
          <w:szCs w:val="28"/>
        </w:rPr>
      </w:pPr>
    </w:p>
    <w:p w:rsidR="000F00BD" w:rsidRDefault="00783A3A" w:rsidP="00355E19">
      <w:pPr>
        <w:numPr>
          <w:ilvl w:val="0"/>
          <w:numId w:val="4"/>
        </w:numPr>
        <w:spacing w:after="0" w:line="240" w:lineRule="auto"/>
        <w:ind w:left="360"/>
        <w:jc w:val="both"/>
        <w:outlineLvl w:val="0"/>
        <w:rPr>
          <w:rFonts w:ascii="Arial" w:eastAsia="Arial" w:hAnsi="Arial" w:cs="Arial"/>
          <w:sz w:val="28"/>
          <w:szCs w:val="28"/>
        </w:rPr>
      </w:pPr>
      <w:r>
        <w:rPr>
          <w:rFonts w:ascii="Arial" w:hAnsi="Arial"/>
          <w:sz w:val="28"/>
          <w:szCs w:val="28"/>
        </w:rPr>
        <w:t xml:space="preserve">As you may have seen from the Commission's response released last September to the European Parliament resolution on palm oil, we </w:t>
      </w:r>
      <w:r w:rsidRPr="00355E19">
        <w:rPr>
          <w:rFonts w:ascii="Arial" w:hAnsi="Arial"/>
          <w:sz w:val="28"/>
          <w:szCs w:val="28"/>
          <w:lang w:val="en-GB"/>
        </w:rPr>
        <w:t>defend</w:t>
      </w:r>
      <w:r>
        <w:rPr>
          <w:rFonts w:ascii="Arial" w:hAnsi="Arial"/>
          <w:sz w:val="28"/>
          <w:szCs w:val="28"/>
        </w:rPr>
        <w:t xml:space="preserve"> balanced position</w:t>
      </w:r>
      <w:r w:rsidRPr="00355E19">
        <w:rPr>
          <w:rFonts w:ascii="Arial" w:hAnsi="Arial"/>
          <w:sz w:val="28"/>
          <w:szCs w:val="28"/>
          <w:lang w:val="en-GB"/>
        </w:rPr>
        <w:t>s</w:t>
      </w:r>
      <w:r>
        <w:rPr>
          <w:rFonts w:ascii="Arial" w:hAnsi="Arial"/>
          <w:sz w:val="28"/>
          <w:szCs w:val="28"/>
        </w:rPr>
        <w:t xml:space="preserve"> on the matter. The Commission believes that it is essential to cooperate and support the efforts of producer countries to minimise deforestation and achieve sustainable production of this commodity.</w:t>
      </w:r>
    </w:p>
    <w:p w:rsidR="000F00BD" w:rsidRDefault="000F00BD" w:rsidP="00355E19">
      <w:pPr>
        <w:spacing w:after="0" w:line="240" w:lineRule="auto"/>
        <w:ind w:left="360"/>
        <w:jc w:val="both"/>
        <w:outlineLvl w:val="0"/>
        <w:rPr>
          <w:rStyle w:val="Aucun"/>
          <w:rFonts w:ascii="Arial" w:eastAsia="Arial" w:hAnsi="Arial" w:cs="Arial"/>
          <w:sz w:val="28"/>
          <w:szCs w:val="28"/>
        </w:rPr>
      </w:pPr>
    </w:p>
    <w:p w:rsidR="000F00BD" w:rsidRDefault="00783A3A" w:rsidP="00355E19">
      <w:pPr>
        <w:numPr>
          <w:ilvl w:val="0"/>
          <w:numId w:val="4"/>
        </w:numPr>
        <w:spacing w:after="0" w:line="240" w:lineRule="auto"/>
        <w:ind w:left="360"/>
        <w:jc w:val="both"/>
        <w:outlineLvl w:val="0"/>
        <w:rPr>
          <w:rFonts w:ascii="Arial" w:eastAsia="Arial" w:hAnsi="Arial" w:cs="Arial"/>
          <w:sz w:val="28"/>
          <w:szCs w:val="28"/>
        </w:rPr>
      </w:pPr>
      <w:r>
        <w:rPr>
          <w:rFonts w:ascii="Arial" w:hAnsi="Arial"/>
          <w:sz w:val="28"/>
          <w:szCs w:val="28"/>
        </w:rPr>
        <w:t xml:space="preserve">We are interested in the efforts made by the Indonesian government to strengthen your national palm oil certification scheme, and we welcome your engagement </w:t>
      </w:r>
      <w:r w:rsidRPr="00FD4E84">
        <w:rPr>
          <w:rFonts w:ascii="Arial" w:hAnsi="Arial" w:cs="Arial"/>
          <w:sz w:val="28"/>
          <w:szCs w:val="28"/>
        </w:rPr>
        <w:t>to export 100 % sustainable palm oil by 2020. We look forward to continuing</w:t>
      </w:r>
      <w:r>
        <w:rPr>
          <w:rFonts w:ascii="Arial" w:hAnsi="Arial"/>
          <w:sz w:val="28"/>
          <w:szCs w:val="28"/>
        </w:rPr>
        <w:t xml:space="preserve"> exchanges on perspectives and feasibility of ISPO becoming mandatory to all producers, including </w:t>
      </w:r>
      <w:r w:rsidRPr="00355E19">
        <w:rPr>
          <w:rFonts w:ascii="Arial" w:hAnsi="Arial"/>
          <w:sz w:val="28"/>
          <w:szCs w:val="28"/>
          <w:lang w:val="en-GB"/>
        </w:rPr>
        <w:t xml:space="preserve">through </w:t>
      </w:r>
      <w:r>
        <w:rPr>
          <w:rFonts w:ascii="Arial" w:hAnsi="Arial"/>
          <w:sz w:val="28"/>
          <w:szCs w:val="28"/>
        </w:rPr>
        <w:t xml:space="preserve">group-certification options, and regarding access to information for independent monitoring of implementation of the scheme. We look forward to </w:t>
      </w:r>
      <w:r w:rsidRPr="00355E19">
        <w:rPr>
          <w:rFonts w:ascii="Arial" w:hAnsi="Arial"/>
          <w:sz w:val="28"/>
          <w:szCs w:val="28"/>
          <w:lang w:val="en-GB"/>
        </w:rPr>
        <w:t>the</w:t>
      </w:r>
      <w:r w:rsidR="008F618F">
        <w:rPr>
          <w:rFonts w:ascii="Arial" w:hAnsi="Arial"/>
          <w:sz w:val="28"/>
          <w:szCs w:val="28"/>
          <w:lang w:val="en-GB"/>
        </w:rPr>
        <w:t xml:space="preserve"> </w:t>
      </w:r>
      <w:r w:rsidR="00FD4E84">
        <w:rPr>
          <w:rFonts w:ascii="Arial" w:hAnsi="Arial"/>
          <w:sz w:val="28"/>
          <w:szCs w:val="28"/>
          <w:lang w:val="en-GB"/>
        </w:rPr>
        <w:t xml:space="preserve">future </w:t>
      </w:r>
      <w:r>
        <w:rPr>
          <w:rFonts w:ascii="Arial" w:hAnsi="Arial"/>
          <w:sz w:val="28"/>
          <w:szCs w:val="28"/>
        </w:rPr>
        <w:t>Presidential Decree on ISPO</w:t>
      </w:r>
      <w:r w:rsidRPr="00355E19">
        <w:rPr>
          <w:rFonts w:ascii="Arial" w:hAnsi="Arial"/>
          <w:sz w:val="28"/>
          <w:szCs w:val="28"/>
          <w:lang w:val="en-GB"/>
        </w:rPr>
        <w:t xml:space="preserve">, and </w:t>
      </w:r>
      <w:r w:rsidR="00FD4E84">
        <w:rPr>
          <w:rFonts w:ascii="Arial" w:hAnsi="Arial"/>
          <w:sz w:val="28"/>
          <w:szCs w:val="28"/>
          <w:lang w:val="en-GB"/>
        </w:rPr>
        <w:t xml:space="preserve">subsequent </w:t>
      </w:r>
      <w:r w:rsidRPr="00355E19">
        <w:rPr>
          <w:rFonts w:ascii="Arial" w:hAnsi="Arial"/>
          <w:sz w:val="28"/>
          <w:szCs w:val="28"/>
          <w:lang w:val="en-GB"/>
        </w:rPr>
        <w:t>implementing decrees.</w:t>
      </w:r>
    </w:p>
    <w:p w:rsidR="000F00BD" w:rsidRDefault="000F00BD" w:rsidP="00355E19">
      <w:pPr>
        <w:spacing w:after="0" w:line="240" w:lineRule="auto"/>
        <w:ind w:left="360"/>
        <w:jc w:val="both"/>
        <w:outlineLvl w:val="0"/>
        <w:rPr>
          <w:rStyle w:val="Aucun"/>
          <w:rFonts w:ascii="Arial" w:eastAsia="Arial" w:hAnsi="Arial" w:cs="Arial"/>
          <w:sz w:val="28"/>
          <w:szCs w:val="28"/>
        </w:rPr>
      </w:pPr>
    </w:p>
    <w:p w:rsidR="000F00BD" w:rsidRDefault="00783A3A" w:rsidP="00355E19">
      <w:pPr>
        <w:numPr>
          <w:ilvl w:val="0"/>
          <w:numId w:val="4"/>
        </w:numPr>
        <w:spacing w:after="0" w:line="240" w:lineRule="auto"/>
        <w:ind w:left="360"/>
        <w:jc w:val="both"/>
        <w:outlineLvl w:val="0"/>
        <w:rPr>
          <w:rFonts w:ascii="Arial" w:eastAsia="Arial" w:hAnsi="Arial" w:cs="Arial"/>
          <w:sz w:val="28"/>
          <w:szCs w:val="28"/>
        </w:rPr>
      </w:pPr>
      <w:r>
        <w:rPr>
          <w:rFonts w:ascii="Arial" w:hAnsi="Arial"/>
          <w:sz w:val="28"/>
          <w:szCs w:val="28"/>
        </w:rPr>
        <w:t xml:space="preserve">We are also grateful to Indonesia for its contribution a few months ago to our study on the environmental and social impacts of palm oil consumption. While this report was carried out by an independent </w:t>
      </w:r>
      <w:r>
        <w:rPr>
          <w:rFonts w:ascii="Arial" w:hAnsi="Arial"/>
          <w:sz w:val="28"/>
          <w:szCs w:val="28"/>
        </w:rPr>
        <w:lastRenderedPageBreak/>
        <w:t>consultant and does not in itself engage the views of the Commission, a number of conclusions were drawn as to Indonesia's palm oil production system</w:t>
      </w:r>
      <w:r w:rsidRPr="00355E19">
        <w:rPr>
          <w:rFonts w:ascii="Arial" w:hAnsi="Arial"/>
          <w:sz w:val="28"/>
          <w:szCs w:val="28"/>
          <w:lang w:val="en-GB"/>
        </w:rPr>
        <w:t>, as well as on the relative strengths and weaknesses of various certification schemes</w:t>
      </w:r>
      <w:r>
        <w:rPr>
          <w:rFonts w:ascii="Arial" w:hAnsi="Arial"/>
          <w:sz w:val="28"/>
          <w:szCs w:val="28"/>
        </w:rPr>
        <w:t xml:space="preserve">. The final report of the study was published a few days ago </w:t>
      </w:r>
      <w:r>
        <w:rPr>
          <w:rStyle w:val="Aucun"/>
          <w:rFonts w:ascii="Arial" w:hAnsi="Arial"/>
          <w:sz w:val="28"/>
          <w:szCs w:val="28"/>
          <w:shd w:val="clear" w:color="auto" w:fill="FFFF00"/>
        </w:rPr>
        <w:t>[to be checked based on final publication date]</w:t>
      </w:r>
      <w:r>
        <w:rPr>
          <w:rFonts w:ascii="Arial" w:hAnsi="Arial"/>
          <w:sz w:val="28"/>
          <w:szCs w:val="28"/>
        </w:rPr>
        <w:t xml:space="preserve">, and we look forward to exchanging with you on how this study can help </w:t>
      </w:r>
      <w:r w:rsidRPr="00355E19">
        <w:rPr>
          <w:rFonts w:ascii="Arial" w:hAnsi="Arial"/>
          <w:sz w:val="28"/>
          <w:szCs w:val="28"/>
          <w:lang w:val="en-GB"/>
        </w:rPr>
        <w:t>Indonesia</w:t>
      </w:r>
      <w:r>
        <w:rPr>
          <w:rFonts w:ascii="Arial" w:hAnsi="Arial"/>
          <w:sz w:val="28"/>
          <w:szCs w:val="28"/>
        </w:rPr>
        <w:t xml:space="preserve"> </w:t>
      </w:r>
      <w:r w:rsidRPr="00355E19">
        <w:rPr>
          <w:rFonts w:ascii="Arial" w:hAnsi="Arial"/>
          <w:sz w:val="28"/>
          <w:szCs w:val="28"/>
          <w:lang w:val="en-GB"/>
        </w:rPr>
        <w:t xml:space="preserve"> and relevant stakeholders </w:t>
      </w:r>
      <w:r>
        <w:rPr>
          <w:rFonts w:ascii="Arial" w:hAnsi="Arial"/>
          <w:sz w:val="28"/>
          <w:szCs w:val="28"/>
        </w:rPr>
        <w:t>continuing to strengthen ISPO</w:t>
      </w:r>
      <w:r w:rsidRPr="00355E19">
        <w:rPr>
          <w:rFonts w:ascii="Arial" w:hAnsi="Arial"/>
          <w:sz w:val="28"/>
          <w:szCs w:val="28"/>
          <w:lang w:val="en-GB"/>
        </w:rPr>
        <w:t xml:space="preserve">, and harness synergies </w:t>
      </w:r>
      <w:r w:rsidR="00FD4E84">
        <w:rPr>
          <w:rFonts w:ascii="Arial" w:hAnsi="Arial"/>
          <w:sz w:val="28"/>
          <w:szCs w:val="28"/>
          <w:lang w:val="en-GB"/>
        </w:rPr>
        <w:t xml:space="preserve">and potential convergence </w:t>
      </w:r>
      <w:r w:rsidRPr="00355E19">
        <w:rPr>
          <w:rFonts w:ascii="Arial" w:hAnsi="Arial"/>
          <w:sz w:val="28"/>
          <w:szCs w:val="28"/>
          <w:lang w:val="en-GB"/>
        </w:rPr>
        <w:t>with other existing schemes</w:t>
      </w:r>
      <w:r w:rsidR="00FD4E84">
        <w:rPr>
          <w:rFonts w:ascii="Arial" w:hAnsi="Arial"/>
          <w:sz w:val="28"/>
          <w:szCs w:val="28"/>
          <w:lang w:val="en-GB"/>
        </w:rPr>
        <w:t>, such as RSPO.</w:t>
      </w:r>
    </w:p>
    <w:p w:rsidR="000F00BD" w:rsidRDefault="000F00BD" w:rsidP="00355E19">
      <w:pPr>
        <w:spacing w:after="0" w:line="240" w:lineRule="auto"/>
        <w:ind w:left="360"/>
        <w:jc w:val="both"/>
        <w:outlineLvl w:val="0"/>
        <w:rPr>
          <w:rStyle w:val="Aucun"/>
          <w:rFonts w:ascii="Arial" w:eastAsia="Arial" w:hAnsi="Arial" w:cs="Arial"/>
          <w:sz w:val="28"/>
          <w:szCs w:val="28"/>
        </w:rPr>
      </w:pPr>
    </w:p>
    <w:p w:rsidR="000F00BD" w:rsidRPr="00355E19" w:rsidRDefault="00783A3A" w:rsidP="00355E19">
      <w:pPr>
        <w:numPr>
          <w:ilvl w:val="0"/>
          <w:numId w:val="4"/>
        </w:numPr>
        <w:spacing w:after="0" w:line="240" w:lineRule="auto"/>
        <w:ind w:left="360"/>
        <w:jc w:val="both"/>
        <w:outlineLvl w:val="0"/>
        <w:rPr>
          <w:rFonts w:ascii="Arial" w:eastAsia="Arial" w:hAnsi="Arial" w:cs="Arial"/>
          <w:sz w:val="28"/>
          <w:szCs w:val="28"/>
        </w:rPr>
      </w:pPr>
      <w:r>
        <w:rPr>
          <w:rFonts w:ascii="Arial" w:hAnsi="Arial"/>
          <w:sz w:val="28"/>
          <w:szCs w:val="28"/>
        </w:rPr>
        <w:t xml:space="preserve">At the same time, the EU is aware that deforestation has multiple causes, including but not limited to oil palm cultivation. We have just released a feasibility study </w:t>
      </w:r>
      <w:r>
        <w:rPr>
          <w:rStyle w:val="Aucun"/>
          <w:rFonts w:ascii="Arial" w:hAnsi="Arial"/>
          <w:sz w:val="28"/>
          <w:szCs w:val="28"/>
          <w:shd w:val="clear" w:color="auto" w:fill="FFFF00"/>
        </w:rPr>
        <w:t>[to be checked based on final publication date]</w:t>
      </w:r>
      <w:r>
        <w:rPr>
          <w:rFonts w:ascii="Arial" w:hAnsi="Arial"/>
          <w:sz w:val="28"/>
          <w:szCs w:val="28"/>
        </w:rPr>
        <w:t xml:space="preserve"> on how the EU could step up its engagement to address deforestation, looking at all drivers of the problem. We are in this context contemplating the possibility of launching an EU initiative on deforestation, looking in particular at avenues for engaging more closely with producing countries on how to ensure sustainable production and consumption of agricultural commodities, including palm oil. I trust that, should such an initiative materialize, it would provide us with additional opportunities to engage in discussions with Indonesia.</w:t>
      </w:r>
    </w:p>
    <w:p w:rsidR="002D770E" w:rsidRDefault="002D770E" w:rsidP="00355E19">
      <w:pPr>
        <w:spacing w:after="0" w:line="240" w:lineRule="auto"/>
        <w:ind w:left="360"/>
        <w:jc w:val="both"/>
        <w:outlineLvl w:val="0"/>
        <w:rPr>
          <w:rFonts w:ascii="Arial" w:eastAsia="Arial" w:hAnsi="Arial" w:cs="Arial"/>
          <w:sz w:val="28"/>
          <w:szCs w:val="28"/>
        </w:rPr>
      </w:pPr>
    </w:p>
    <w:p w:rsidR="000F00BD" w:rsidRPr="00355E19" w:rsidRDefault="00783A3A" w:rsidP="00355E19">
      <w:pPr>
        <w:numPr>
          <w:ilvl w:val="0"/>
          <w:numId w:val="4"/>
        </w:numPr>
        <w:spacing w:after="0" w:line="240" w:lineRule="auto"/>
        <w:ind w:left="360"/>
        <w:jc w:val="both"/>
        <w:outlineLvl w:val="0"/>
        <w:rPr>
          <w:rFonts w:ascii="Arial" w:eastAsia="Arial" w:hAnsi="Arial" w:cs="Arial"/>
          <w:sz w:val="28"/>
          <w:szCs w:val="28"/>
          <w:lang w:val="en-GB"/>
        </w:rPr>
      </w:pPr>
      <w:r w:rsidRPr="00355E19">
        <w:rPr>
          <w:rFonts w:ascii="Arial" w:hAnsi="Arial"/>
          <w:sz w:val="28"/>
          <w:szCs w:val="28"/>
          <w:lang w:val="en-GB"/>
        </w:rPr>
        <w:t xml:space="preserve">We are however concerned that the new ISPO governance </w:t>
      </w:r>
      <w:r w:rsidR="00FD4E84">
        <w:rPr>
          <w:rFonts w:ascii="Arial" w:hAnsi="Arial"/>
          <w:sz w:val="28"/>
          <w:szCs w:val="28"/>
          <w:lang w:val="en-GB"/>
        </w:rPr>
        <w:t>system</w:t>
      </w:r>
      <w:r w:rsidRPr="00355E19">
        <w:rPr>
          <w:rFonts w:ascii="Arial" w:hAnsi="Arial"/>
          <w:sz w:val="28"/>
          <w:szCs w:val="28"/>
          <w:lang w:val="en-GB"/>
        </w:rPr>
        <w:t xml:space="preserve"> under the </w:t>
      </w:r>
      <w:r w:rsidR="00FD4E84">
        <w:rPr>
          <w:rFonts w:ascii="Arial" w:hAnsi="Arial"/>
          <w:sz w:val="28"/>
          <w:szCs w:val="28"/>
          <w:lang w:val="en-GB"/>
        </w:rPr>
        <w:t xml:space="preserve">draft </w:t>
      </w:r>
      <w:r w:rsidRPr="00355E19">
        <w:rPr>
          <w:rFonts w:ascii="Arial" w:hAnsi="Arial"/>
          <w:sz w:val="28"/>
          <w:szCs w:val="28"/>
          <w:lang w:val="en-GB"/>
        </w:rPr>
        <w:t>Presidential Decree would leave a minimal role to the Ministry of Environment</w:t>
      </w:r>
      <w:r w:rsidR="00FD4E84">
        <w:rPr>
          <w:rFonts w:ascii="Arial" w:hAnsi="Arial"/>
          <w:sz w:val="28"/>
          <w:szCs w:val="28"/>
          <w:lang w:val="en-GB"/>
        </w:rPr>
        <w:t xml:space="preserve"> and Forestry</w:t>
      </w:r>
      <w:r w:rsidRPr="00355E19">
        <w:rPr>
          <w:rFonts w:ascii="Arial" w:hAnsi="Arial"/>
          <w:sz w:val="28"/>
          <w:szCs w:val="28"/>
          <w:lang w:val="en-GB"/>
        </w:rPr>
        <w:t xml:space="preserve">, whereas we expected it to </w:t>
      </w:r>
      <w:r w:rsidR="00FD4E84">
        <w:rPr>
          <w:rFonts w:ascii="Arial" w:hAnsi="Arial"/>
          <w:sz w:val="28"/>
          <w:szCs w:val="28"/>
          <w:lang w:val="en-GB"/>
        </w:rPr>
        <w:t>play</w:t>
      </w:r>
      <w:r w:rsidRPr="00355E19">
        <w:rPr>
          <w:rFonts w:ascii="Arial" w:hAnsi="Arial"/>
          <w:sz w:val="28"/>
          <w:szCs w:val="28"/>
          <w:lang w:val="en-GB"/>
        </w:rPr>
        <w:t xml:space="preserve"> a leading role in the operational definition, monitoring and minimizing </w:t>
      </w:r>
      <w:r w:rsidR="00FD4E84">
        <w:rPr>
          <w:rFonts w:ascii="Arial" w:hAnsi="Arial"/>
          <w:sz w:val="28"/>
          <w:szCs w:val="28"/>
          <w:lang w:val="en-GB"/>
        </w:rPr>
        <w:t xml:space="preserve">of </w:t>
      </w:r>
      <w:r w:rsidRPr="00355E19">
        <w:rPr>
          <w:rFonts w:ascii="Arial" w:hAnsi="Arial"/>
          <w:sz w:val="28"/>
          <w:szCs w:val="28"/>
          <w:lang w:val="en-GB"/>
        </w:rPr>
        <w:t xml:space="preserve">environmental impacts, in line with its role and commitments under </w:t>
      </w:r>
      <w:r w:rsidR="00FD4E84">
        <w:rPr>
          <w:rFonts w:ascii="Arial" w:hAnsi="Arial"/>
          <w:sz w:val="28"/>
          <w:szCs w:val="28"/>
          <w:lang w:val="en-GB"/>
        </w:rPr>
        <w:t xml:space="preserve">relevant </w:t>
      </w:r>
      <w:r w:rsidRPr="00355E19">
        <w:rPr>
          <w:rFonts w:ascii="Arial" w:hAnsi="Arial"/>
          <w:sz w:val="28"/>
          <w:szCs w:val="28"/>
          <w:lang w:val="en-GB"/>
        </w:rPr>
        <w:t>Multilateral Environmental Agreements, such as REDD+ or Aichi targets.</w:t>
      </w:r>
    </w:p>
    <w:p w:rsidR="000F00BD" w:rsidRDefault="000F00BD" w:rsidP="00355E19">
      <w:pPr>
        <w:spacing w:after="0" w:line="240" w:lineRule="auto"/>
        <w:ind w:left="360"/>
        <w:jc w:val="both"/>
        <w:outlineLvl w:val="0"/>
        <w:rPr>
          <w:rStyle w:val="Aucun"/>
          <w:rFonts w:ascii="Arial" w:eastAsia="Arial" w:hAnsi="Arial" w:cs="Arial"/>
          <w:sz w:val="28"/>
          <w:szCs w:val="28"/>
        </w:rPr>
      </w:pPr>
    </w:p>
    <w:p w:rsidR="000F00BD" w:rsidRPr="00355E19" w:rsidRDefault="00FD4E84" w:rsidP="00355E19">
      <w:pPr>
        <w:numPr>
          <w:ilvl w:val="0"/>
          <w:numId w:val="4"/>
        </w:numPr>
        <w:spacing w:after="0" w:line="240" w:lineRule="auto"/>
        <w:ind w:left="360"/>
        <w:jc w:val="both"/>
        <w:outlineLvl w:val="0"/>
        <w:rPr>
          <w:rFonts w:ascii="Arial" w:hAnsi="Arial" w:cs="Arial"/>
          <w:sz w:val="28"/>
          <w:szCs w:val="28"/>
        </w:rPr>
      </w:pPr>
      <w:r w:rsidRPr="00355E19">
        <w:rPr>
          <w:rFonts w:ascii="Arial" w:hAnsi="Arial" w:cs="Arial"/>
          <w:sz w:val="28"/>
          <w:szCs w:val="28"/>
        </w:rPr>
        <w:t xml:space="preserve">Looking at the next steps, </w:t>
      </w:r>
      <w:r w:rsidR="00355E19" w:rsidRPr="00355E19">
        <w:rPr>
          <w:rFonts w:ascii="Arial" w:hAnsi="Arial" w:cs="Arial"/>
          <w:sz w:val="28"/>
          <w:szCs w:val="28"/>
        </w:rPr>
        <w:t>we would be interested in looking into</w:t>
      </w:r>
      <w:r w:rsidRPr="00355E19">
        <w:rPr>
          <w:rFonts w:ascii="Arial" w:hAnsi="Arial" w:cs="Arial"/>
          <w:sz w:val="28"/>
          <w:szCs w:val="28"/>
        </w:rPr>
        <w:t xml:space="preserve"> areas of </w:t>
      </w:r>
      <w:r w:rsidR="00355E19" w:rsidRPr="00355E19">
        <w:rPr>
          <w:rFonts w:ascii="Arial" w:hAnsi="Arial" w:cs="Arial"/>
          <w:sz w:val="28"/>
          <w:szCs w:val="28"/>
        </w:rPr>
        <w:t xml:space="preserve">potential </w:t>
      </w:r>
      <w:r w:rsidR="00EC328B" w:rsidRPr="00355E19">
        <w:rPr>
          <w:rFonts w:ascii="Arial" w:hAnsi="Arial" w:cs="Arial"/>
          <w:sz w:val="28"/>
          <w:szCs w:val="28"/>
        </w:rPr>
        <w:t xml:space="preserve">EU-Indonesia </w:t>
      </w:r>
      <w:r w:rsidRPr="00355E19">
        <w:rPr>
          <w:rFonts w:ascii="Arial" w:hAnsi="Arial" w:cs="Arial"/>
          <w:sz w:val="28"/>
          <w:szCs w:val="28"/>
        </w:rPr>
        <w:t>strengthened collaboration on palm oil sustainability</w:t>
      </w:r>
      <w:r w:rsidR="00355E19" w:rsidRPr="00355E19">
        <w:rPr>
          <w:rFonts w:ascii="Arial" w:hAnsi="Arial" w:cs="Arial"/>
          <w:sz w:val="28"/>
          <w:szCs w:val="28"/>
        </w:rPr>
        <w:t>. Building on the on-going EU funded Policy Support Facility project "Defining and tracking deforestation-free palm oil", we would be ready to explore avenues for potential follow-up project to try and step up our collaboration on sustainable production of palm oil.</w:t>
      </w:r>
    </w:p>
    <w:p w:rsidR="000F00BD" w:rsidRDefault="000F00BD">
      <w:pPr>
        <w:spacing w:after="0" w:line="240" w:lineRule="auto"/>
        <w:jc w:val="both"/>
        <w:outlineLvl w:val="0"/>
        <w:rPr>
          <w:rStyle w:val="Aucun"/>
          <w:rFonts w:ascii="Arial" w:eastAsia="Arial" w:hAnsi="Arial" w:cs="Arial"/>
          <w:sz w:val="28"/>
          <w:szCs w:val="28"/>
        </w:rPr>
      </w:pPr>
    </w:p>
    <w:p w:rsidR="000F00BD" w:rsidRDefault="000F00BD">
      <w:pPr>
        <w:spacing w:after="0" w:line="240" w:lineRule="auto"/>
        <w:outlineLvl w:val="0"/>
        <w:rPr>
          <w:rStyle w:val="Aucun"/>
          <w:rFonts w:ascii="Arial" w:eastAsia="Arial" w:hAnsi="Arial" w:cs="Arial"/>
          <w:sz w:val="28"/>
          <w:szCs w:val="28"/>
        </w:rPr>
      </w:pPr>
    </w:p>
    <w:p w:rsidR="000F00BD" w:rsidRDefault="00783A3A">
      <w:pPr>
        <w:spacing w:after="0" w:line="240" w:lineRule="auto"/>
        <w:outlineLvl w:val="0"/>
        <w:rPr>
          <w:rStyle w:val="Aucun"/>
          <w:rFonts w:ascii="Arial" w:eastAsia="Arial" w:hAnsi="Arial" w:cs="Arial"/>
          <w:b/>
          <w:bCs/>
          <w:sz w:val="28"/>
          <w:szCs w:val="28"/>
        </w:rPr>
      </w:pPr>
      <w:r>
        <w:rPr>
          <w:rStyle w:val="Aucun"/>
          <w:rFonts w:ascii="Arial" w:hAnsi="Arial"/>
          <w:b/>
          <w:bCs/>
          <w:sz w:val="28"/>
          <w:szCs w:val="28"/>
        </w:rPr>
        <w:t xml:space="preserve">III. </w:t>
      </w:r>
      <w:r>
        <w:rPr>
          <w:rStyle w:val="Aucun"/>
          <w:rFonts w:ascii="Arial" w:hAnsi="Arial"/>
          <w:b/>
          <w:bCs/>
          <w:sz w:val="28"/>
          <w:szCs w:val="28"/>
          <w:u w:val="single"/>
        </w:rPr>
        <w:t>Defensives</w:t>
      </w:r>
      <w:r>
        <w:rPr>
          <w:rStyle w:val="Aucun"/>
          <w:rFonts w:ascii="Arial" w:hAnsi="Arial"/>
          <w:b/>
          <w:bCs/>
          <w:sz w:val="28"/>
          <w:szCs w:val="28"/>
        </w:rPr>
        <w:t xml:space="preserve"> </w:t>
      </w:r>
    </w:p>
    <w:p w:rsidR="000F00BD" w:rsidRDefault="000F00BD">
      <w:pPr>
        <w:spacing w:after="0" w:line="240" w:lineRule="auto"/>
        <w:outlineLvl w:val="0"/>
        <w:rPr>
          <w:rStyle w:val="Aucun"/>
          <w:rFonts w:ascii="Arial" w:eastAsia="Arial" w:hAnsi="Arial" w:cs="Arial"/>
          <w:b/>
          <w:bCs/>
          <w:sz w:val="28"/>
          <w:szCs w:val="28"/>
        </w:rPr>
      </w:pPr>
    </w:p>
    <w:p w:rsidR="000F00BD" w:rsidRDefault="00783A3A">
      <w:pPr>
        <w:spacing w:after="120"/>
        <w:jc w:val="both"/>
        <w:rPr>
          <w:rStyle w:val="Aucun"/>
          <w:rFonts w:ascii="Arial" w:eastAsia="Arial" w:hAnsi="Arial" w:cs="Arial"/>
          <w:b/>
          <w:bCs/>
          <w:i/>
          <w:iCs/>
          <w:sz w:val="28"/>
          <w:szCs w:val="28"/>
        </w:rPr>
      </w:pPr>
      <w:r>
        <w:rPr>
          <w:rStyle w:val="Aucun"/>
          <w:rFonts w:ascii="Arial" w:hAnsi="Arial"/>
          <w:b/>
          <w:bCs/>
          <w:i/>
          <w:iCs/>
          <w:sz w:val="28"/>
          <w:szCs w:val="28"/>
        </w:rPr>
        <w:t xml:space="preserve">The Commission has proposed under the recast of the Renewable Energy Directive (RED) that the share of food-based biodiesel in the EU’s renewable target be almost halved by 2030, and that member </w:t>
      </w:r>
      <w:r>
        <w:rPr>
          <w:rStyle w:val="Aucun"/>
          <w:rFonts w:ascii="Arial" w:hAnsi="Arial"/>
          <w:b/>
          <w:bCs/>
          <w:i/>
          <w:iCs/>
          <w:sz w:val="28"/>
          <w:szCs w:val="28"/>
        </w:rPr>
        <w:lastRenderedPageBreak/>
        <w:t xml:space="preserve">states can arbitrarily lower the use of biodiesel from oil crops because of indirect land use change. Such measures are deliberately in favour of European rapeseed producers.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EU support for biofuels as per the current RED has provided and continues to provide huge opportunities for the palm oil industry.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The Commission proposal on the revision of the RED includes a phase-down over time of ALL conventional biofuels (not just biodiesel, and not just palm oil) and the possibility for MSs to go lower on oil crops. This is because oil crops have by far the highest indirect land use change (ILUC) emissions, as recognised already under the ILUC Directive. But there is no distinction made between different oil crops (of which rapeseed is one), and there is nothing in the proposal which targets crude palm oil specifically.</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The Commission's proposal also seeks to incentivise waste and residue use in biofuel production, and the palm oil industry would benefit from that as palm oil mill effluents and empty palm fruit bunches (both residues from processing palm oil) are included in the list of products to count as advanced biofuels in the RED revision proposal.</w:t>
      </w:r>
    </w:p>
    <w:p w:rsidR="000F00BD" w:rsidRDefault="000F00BD">
      <w:pPr>
        <w:spacing w:after="0" w:line="240" w:lineRule="auto"/>
        <w:jc w:val="both"/>
        <w:outlineLvl w:val="0"/>
        <w:rPr>
          <w:rStyle w:val="Aucun"/>
          <w:rFonts w:ascii="Arial" w:eastAsia="Arial" w:hAnsi="Arial" w:cs="Arial"/>
          <w:b/>
          <w:bCs/>
          <w:i/>
          <w:iCs/>
          <w:sz w:val="28"/>
          <w:szCs w:val="28"/>
        </w:rPr>
      </w:pPr>
    </w:p>
    <w:p w:rsidR="000F00BD" w:rsidRDefault="00783A3A">
      <w:pPr>
        <w:spacing w:after="120"/>
        <w:jc w:val="both"/>
        <w:rPr>
          <w:rStyle w:val="Aucun"/>
          <w:i/>
          <w:iCs/>
          <w:color w:val="1F497D"/>
          <w:u w:color="1F497D"/>
        </w:rPr>
      </w:pPr>
      <w:r>
        <w:rPr>
          <w:rStyle w:val="Aucun"/>
          <w:rFonts w:ascii="Arial" w:hAnsi="Arial"/>
          <w:b/>
          <w:bCs/>
          <w:i/>
          <w:iCs/>
          <w:sz w:val="28"/>
          <w:szCs w:val="28"/>
        </w:rPr>
        <w:t>Does the EP vote imply that the European Union is planning to impose a ban on imports of palm oil?</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The vote by the European Parliament does not mean that the EU has adopted a final decision. So far the EP has voted but the position will now be subject to discussions with the Council and the Commission (the so-called 'trilogue'), whereby the Commission has an important technical and brokering role.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To be clear, the EP has not voted in favour of a ban of palm oil-based biodiesel. Instead it has voted in favour of excluding biofuels produced from palm oil from being accounted towards the EU Renewable Energy targets as of 2021. This would by no means limit the amount of biofuels from palm oil that can be produced or imported and consumed in the EU. </w:t>
      </w:r>
    </w:p>
    <w:p w:rsidR="000F00BD" w:rsidRDefault="000F00BD">
      <w:pPr>
        <w:spacing w:after="120"/>
        <w:jc w:val="both"/>
        <w:rPr>
          <w:rStyle w:val="Aucun"/>
          <w:rFonts w:ascii="Arial" w:eastAsia="Arial" w:hAnsi="Arial" w:cs="Arial"/>
          <w:i/>
          <w:iCs/>
          <w:u w:val="single"/>
        </w:rPr>
      </w:pPr>
    </w:p>
    <w:p w:rsidR="000F00BD" w:rsidRDefault="00783A3A">
      <w:pPr>
        <w:spacing w:after="120"/>
        <w:jc w:val="both"/>
        <w:rPr>
          <w:rStyle w:val="Aucun"/>
          <w:i/>
          <w:iCs/>
          <w:color w:val="1F497D"/>
          <w:u w:color="1F497D"/>
        </w:rPr>
      </w:pPr>
      <w:r>
        <w:rPr>
          <w:rStyle w:val="Aucun"/>
          <w:rFonts w:ascii="Arial" w:hAnsi="Arial"/>
          <w:b/>
          <w:bCs/>
          <w:i/>
          <w:iCs/>
          <w:sz w:val="28"/>
          <w:szCs w:val="28"/>
        </w:rPr>
        <w:t xml:space="preserve">What is the Commission aiming to achieve in the trilogue?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The Commission will examine closely into the proposals adopted by the European Parliament and the Council. The overall objectives pursued by the Commission remain those put forward in its proposal of November 2016.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lastRenderedPageBreak/>
        <w:t xml:space="preserve">With specific regard to biofuels, the Commission's proposal foresees the introduction of a 7% cap (to be gradually reduced to 3,8% by 2030) on the contribution of all crop-based (i.e. including but not limited to palm-based) biofuels to reaching the EU renewable energy targets.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However, MS should have the possibility to distinguish between different types of conventional biofuels taking into account indirect land use change, for instance by setting a lower limit for biodiesel produced from oil crops. </w:t>
      </w:r>
    </w:p>
    <w:p w:rsidR="000F00BD" w:rsidRDefault="000F00BD">
      <w:pPr>
        <w:spacing w:after="120"/>
        <w:jc w:val="both"/>
        <w:rPr>
          <w:rStyle w:val="Aucun"/>
          <w:rFonts w:ascii="Arial" w:eastAsia="Arial" w:hAnsi="Arial" w:cs="Arial"/>
          <w:b/>
          <w:bCs/>
          <w:i/>
          <w:iCs/>
          <w:sz w:val="28"/>
          <w:szCs w:val="28"/>
        </w:rPr>
      </w:pPr>
    </w:p>
    <w:p w:rsidR="000F00BD" w:rsidRDefault="00783A3A">
      <w:pPr>
        <w:spacing w:after="120"/>
        <w:jc w:val="both"/>
        <w:rPr>
          <w:rStyle w:val="Aucun"/>
          <w:rFonts w:ascii="Arial" w:eastAsia="Arial" w:hAnsi="Arial" w:cs="Arial"/>
          <w:b/>
          <w:bCs/>
          <w:i/>
          <w:iCs/>
          <w:sz w:val="28"/>
          <w:szCs w:val="28"/>
        </w:rPr>
      </w:pPr>
      <w:r>
        <w:rPr>
          <w:rStyle w:val="Aucun"/>
          <w:rFonts w:ascii="Arial" w:hAnsi="Arial"/>
          <w:b/>
          <w:bCs/>
          <w:i/>
          <w:iCs/>
          <w:sz w:val="28"/>
          <w:szCs w:val="28"/>
        </w:rPr>
        <w:t xml:space="preserve">What effects would the proposal voted by the EP have on palm oil imports from Indonesia?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It is important to understand that the text voted by the EP does neither limit imports of palm oil or palm oil-based biodiesel nor represents a ban for the consumption or use of palm oil oil-based biodiesel.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The EU target for renewable energy constitutes an objective the EU aims to achieve collectively but in principle Member States decide themselves which types of renewable energy they want to promote. Excluding palm oil from counting towards this objective would mean that this target will need to be achieved by other means. However, this does not stop the MS to continue promoting biodiesel from palm oil if they wish to. Compliance with the sustainability criteria for biofuels and state aid rules would remain the only condition for applying public support.</w:t>
      </w:r>
    </w:p>
    <w:p w:rsidR="000F00BD" w:rsidRDefault="000F00BD">
      <w:pPr>
        <w:spacing w:after="120"/>
        <w:jc w:val="both"/>
        <w:rPr>
          <w:rStyle w:val="Aucun"/>
          <w:rFonts w:ascii="Arial" w:eastAsia="Arial" w:hAnsi="Arial" w:cs="Arial"/>
          <w:b/>
          <w:bCs/>
          <w:i/>
          <w:iCs/>
          <w:sz w:val="28"/>
          <w:szCs w:val="28"/>
        </w:rPr>
      </w:pPr>
    </w:p>
    <w:p w:rsidR="000F00BD" w:rsidRDefault="00783A3A">
      <w:pPr>
        <w:spacing w:after="120"/>
        <w:jc w:val="both"/>
        <w:rPr>
          <w:rStyle w:val="Aucun"/>
          <w:rFonts w:ascii="Arial" w:eastAsia="Arial" w:hAnsi="Arial" w:cs="Arial"/>
          <w:sz w:val="28"/>
          <w:szCs w:val="28"/>
        </w:rPr>
      </w:pPr>
      <w:r>
        <w:rPr>
          <w:rStyle w:val="Aucun"/>
          <w:rFonts w:ascii="Arial" w:hAnsi="Arial"/>
          <w:b/>
          <w:bCs/>
          <w:i/>
          <w:iCs/>
          <w:sz w:val="28"/>
          <w:szCs w:val="28"/>
        </w:rPr>
        <w:t>Will RED II be WTO compatible?</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The proposal for the REDII issued by the Commission in November 2016 is fully compatible with the EU WTO obligations as it does not include provisions discriminating imports or affecting trade.  The Commission remains committed to ensure that EU law is consistent with the WTO rules.</w:t>
      </w:r>
    </w:p>
    <w:p w:rsidR="000F00BD" w:rsidRDefault="000F00BD">
      <w:pPr>
        <w:spacing w:line="240" w:lineRule="auto"/>
        <w:ind w:left="720"/>
        <w:jc w:val="both"/>
        <w:rPr>
          <w:rStyle w:val="Aucun"/>
          <w:rFonts w:ascii="Arial" w:eastAsia="Arial" w:hAnsi="Arial" w:cs="Arial"/>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Will the EU facilitate palm oil imports under the EU-Indonesia FTA? Or are you intending to restrict them based on sustainability criteria?</w:t>
      </w:r>
    </w:p>
    <w:p w:rsidR="000F00BD" w:rsidRDefault="00783A3A">
      <w:pPr>
        <w:numPr>
          <w:ilvl w:val="0"/>
          <w:numId w:val="7"/>
        </w:numPr>
        <w:spacing w:after="0" w:line="240" w:lineRule="auto"/>
        <w:jc w:val="both"/>
        <w:rPr>
          <w:rFonts w:ascii="Arial" w:eastAsia="Arial" w:hAnsi="Arial" w:cs="Arial"/>
          <w:sz w:val="28"/>
          <w:szCs w:val="28"/>
        </w:rPr>
      </w:pPr>
      <w:r>
        <w:rPr>
          <w:rFonts w:ascii="Arial" w:hAnsi="Arial"/>
          <w:sz w:val="28"/>
          <w:szCs w:val="28"/>
        </w:rPr>
        <w:t>We note that palm oil is of particular relevance to Indonesia. Palm oil, like any other product will be part of the negotiation. The EU stands ready to achieve an ambitious outcome.</w:t>
      </w:r>
    </w:p>
    <w:p w:rsidR="000F00BD" w:rsidRDefault="00783A3A">
      <w:pPr>
        <w:numPr>
          <w:ilvl w:val="0"/>
          <w:numId w:val="7"/>
        </w:numPr>
        <w:spacing w:after="0" w:line="240" w:lineRule="auto"/>
        <w:jc w:val="both"/>
        <w:rPr>
          <w:rFonts w:ascii="Arial" w:eastAsia="Arial" w:hAnsi="Arial" w:cs="Arial"/>
          <w:sz w:val="28"/>
          <w:szCs w:val="28"/>
        </w:rPr>
      </w:pPr>
      <w:r>
        <w:rPr>
          <w:rFonts w:ascii="Arial" w:hAnsi="Arial"/>
          <w:sz w:val="28"/>
          <w:szCs w:val="28"/>
        </w:rPr>
        <w:lastRenderedPageBreak/>
        <w:t xml:space="preserve">The EU is committed to making trade contribute to sustainable development. In the negotiations with Indonesia the EU is pursuing an ambitious and comprehensive chapter on Trade and Sustainable Development, addressing labour and environmental issues of relevance in a trade context. </w:t>
      </w:r>
    </w:p>
    <w:p w:rsidR="000F00BD" w:rsidRDefault="00783A3A">
      <w:pPr>
        <w:numPr>
          <w:ilvl w:val="0"/>
          <w:numId w:val="7"/>
        </w:numPr>
        <w:spacing w:after="0" w:line="240" w:lineRule="auto"/>
        <w:jc w:val="both"/>
        <w:rPr>
          <w:rFonts w:ascii="Arial" w:eastAsia="Arial" w:hAnsi="Arial" w:cs="Arial"/>
          <w:sz w:val="28"/>
          <w:szCs w:val="28"/>
        </w:rPr>
      </w:pPr>
      <w:r>
        <w:rPr>
          <w:rFonts w:ascii="Arial" w:hAnsi="Arial"/>
          <w:sz w:val="28"/>
          <w:szCs w:val="28"/>
        </w:rPr>
        <w:t>We want to have in the FTA a good framework to address the root causes of concerns on the sustainability impacts of palm oil production - e.g. ensure sustainable management of forests, protection of biodiversity, sound working conditions, responsible business practices.</w:t>
      </w:r>
    </w:p>
    <w:p w:rsidR="000F00BD" w:rsidRDefault="00783A3A">
      <w:pPr>
        <w:numPr>
          <w:ilvl w:val="0"/>
          <w:numId w:val="7"/>
        </w:numPr>
        <w:spacing w:after="0" w:line="240" w:lineRule="auto"/>
        <w:jc w:val="both"/>
        <w:rPr>
          <w:rFonts w:ascii="Arial" w:eastAsia="Arial" w:hAnsi="Arial" w:cs="Arial"/>
          <w:sz w:val="28"/>
          <w:szCs w:val="28"/>
        </w:rPr>
      </w:pPr>
      <w:r>
        <w:rPr>
          <w:rFonts w:ascii="Arial" w:hAnsi="Arial"/>
          <w:sz w:val="28"/>
          <w:szCs w:val="28"/>
        </w:rPr>
        <w:t>The EU also follows closely the work undertaken by Indonesia towards enhancing the sustainability of palm oil, including with regard to the Indonesian objective of achieving 100% sustainable palm oil value chains by 2020.</w:t>
      </w:r>
    </w:p>
    <w:p w:rsidR="000F00BD" w:rsidRDefault="000F00BD">
      <w:pPr>
        <w:spacing w:after="0" w:line="240" w:lineRule="auto"/>
        <w:jc w:val="both"/>
        <w:outlineLvl w:val="0"/>
        <w:rPr>
          <w:rStyle w:val="Aucun"/>
          <w:rFonts w:ascii="Arial" w:eastAsia="Arial" w:hAnsi="Arial" w:cs="Arial"/>
          <w:b/>
          <w:bCs/>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The palm oil study recently released by the European Commission is too critical on ISPO and Indonesia's legislation and production system.</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The Commission carried out a study on the environmental impacts of palm oil production, as well as on certification schemes and legislation in place in producing countries, including Indonesia. We believe indeed that, considering on-going debates on palm oil in Europe, it was important to provide an objective assessment of the situation to inform discussions. Whilst this study provides useful information on palm oil, the report remains analytical and does not provide policy recommendations.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At the same time, the study - recently released on the Commission's website - ago </w:t>
      </w:r>
      <w:r>
        <w:rPr>
          <w:rStyle w:val="Aucun"/>
          <w:rFonts w:ascii="Arial" w:hAnsi="Arial"/>
          <w:sz w:val="28"/>
          <w:szCs w:val="28"/>
          <w:shd w:val="clear" w:color="auto" w:fill="FFFF00"/>
        </w:rPr>
        <w:t>[to be checked based on final publication date]</w:t>
      </w:r>
      <w:r>
        <w:rPr>
          <w:rFonts w:ascii="Arial" w:hAnsi="Arial"/>
          <w:sz w:val="28"/>
          <w:szCs w:val="28"/>
        </w:rPr>
        <w:t xml:space="preserve"> was carried out by an independent consultant and does not represent the official views of the Commission. The contributions provided by the Indonesian authorities to our consultants during the drafting of the report were very useful in that regard.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We trust that the final report provides a robust analysis of the strengths and weaknesses of the main palm oil certification schemes, including ISPO, and that the study can now serve as a basis for future exchanges and consolidation of these schemes. We would in particular be interested in hearing about on-going work by Indonesia to address existing gaps (e.g. regarding enforcement of the peatland moratorium, lack of independent accreditation of certification bodies, lack of transparency regarding documents on audits and complaints – not publicly available, forest clearance permitted under certain conditions).</w:t>
      </w:r>
    </w:p>
    <w:p w:rsidR="000F00BD" w:rsidRDefault="000F00BD">
      <w:pPr>
        <w:spacing w:after="0" w:line="240" w:lineRule="auto"/>
        <w:jc w:val="both"/>
        <w:outlineLvl w:val="0"/>
        <w:rPr>
          <w:rStyle w:val="Aucun"/>
          <w:rFonts w:ascii="Arial" w:eastAsia="Arial" w:hAnsi="Arial" w:cs="Arial"/>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lastRenderedPageBreak/>
        <w:t>EU imports of palm oil are decreasing. This is due to campaigns criticising palm oil in the EU, as shown by declarations of the French Minister of Environment Nicolas Hulot last July. How will the EU address this situation?</w:t>
      </w:r>
    </w:p>
    <w:p w:rsidR="000F00BD" w:rsidRDefault="00783A3A">
      <w:pPr>
        <w:numPr>
          <w:ilvl w:val="0"/>
          <w:numId w:val="9"/>
        </w:numPr>
        <w:spacing w:after="0" w:line="240" w:lineRule="auto"/>
        <w:jc w:val="both"/>
        <w:rPr>
          <w:rFonts w:ascii="Arial" w:eastAsia="Arial" w:hAnsi="Arial" w:cs="Arial"/>
          <w:sz w:val="28"/>
          <w:szCs w:val="28"/>
        </w:rPr>
      </w:pPr>
      <w:r>
        <w:rPr>
          <w:rFonts w:ascii="Arial" w:hAnsi="Arial"/>
          <w:sz w:val="28"/>
          <w:szCs w:val="28"/>
        </w:rPr>
        <w:t xml:space="preserve">We acknowledge Indonesia's objective to ensure that palm oil is treated in a non-discriminatory manner. The latest statistics for the exports of palm oil from Indonesia towards the EU have seen a </w:t>
      </w:r>
      <w:r w:rsidR="002D770E">
        <w:rPr>
          <w:rFonts w:ascii="Arial" w:hAnsi="Arial"/>
          <w:sz w:val="28"/>
          <w:szCs w:val="28"/>
        </w:rPr>
        <w:t>45</w:t>
      </w:r>
      <w:r>
        <w:rPr>
          <w:rFonts w:ascii="Arial" w:hAnsi="Arial"/>
          <w:sz w:val="28"/>
          <w:szCs w:val="28"/>
        </w:rPr>
        <w:t xml:space="preserve">% increase </w:t>
      </w:r>
      <w:r w:rsidR="002D770E">
        <w:rPr>
          <w:rFonts w:ascii="Arial" w:hAnsi="Arial"/>
          <w:sz w:val="28"/>
          <w:szCs w:val="28"/>
        </w:rPr>
        <w:t xml:space="preserve">in value </w:t>
      </w:r>
      <w:r>
        <w:rPr>
          <w:rFonts w:ascii="Arial" w:hAnsi="Arial"/>
          <w:sz w:val="28"/>
          <w:szCs w:val="28"/>
        </w:rPr>
        <w:t xml:space="preserve">between January and </w:t>
      </w:r>
      <w:r w:rsidR="002D770E">
        <w:rPr>
          <w:rFonts w:ascii="Arial" w:hAnsi="Arial"/>
          <w:sz w:val="28"/>
          <w:szCs w:val="28"/>
        </w:rPr>
        <w:t>November</w:t>
      </w:r>
      <w:r>
        <w:rPr>
          <w:rFonts w:ascii="Arial" w:hAnsi="Arial"/>
          <w:sz w:val="28"/>
          <w:szCs w:val="28"/>
        </w:rPr>
        <w:t xml:space="preserve"> 2017 over the same period in 2016. This illustrates well that the EU market remains open to your country’s exports of this product. In addition, the EU import duties on palm oil are considerably lower than those of other major export markets for Indonesian palm oil (such as India).</w:t>
      </w:r>
    </w:p>
    <w:p w:rsidR="000F00BD" w:rsidRDefault="00783A3A">
      <w:pPr>
        <w:numPr>
          <w:ilvl w:val="0"/>
          <w:numId w:val="9"/>
        </w:numPr>
        <w:spacing w:after="0" w:line="240" w:lineRule="auto"/>
        <w:jc w:val="both"/>
        <w:outlineLvl w:val="0"/>
        <w:rPr>
          <w:rFonts w:ascii="Arial" w:eastAsia="Arial" w:hAnsi="Arial" w:cs="Arial"/>
          <w:b/>
          <w:bCs/>
          <w:i/>
          <w:iCs/>
          <w:sz w:val="28"/>
          <w:szCs w:val="28"/>
        </w:rPr>
      </w:pPr>
      <w:r>
        <w:rPr>
          <w:rStyle w:val="Aucun"/>
          <w:rFonts w:ascii="Arial" w:hAnsi="Arial"/>
          <w:sz w:val="28"/>
          <w:szCs w:val="28"/>
        </w:rPr>
        <w:t>At the same time, trade (and thus potential import restriction) is an EU competence, which means in practice that individual EU Member States are not in a position to adopt national trade restrictions on palm oil.</w:t>
      </w:r>
    </w:p>
    <w:p w:rsidR="000F00BD" w:rsidRDefault="00783A3A">
      <w:pPr>
        <w:numPr>
          <w:ilvl w:val="0"/>
          <w:numId w:val="10"/>
        </w:numPr>
        <w:spacing w:after="0" w:line="240" w:lineRule="auto"/>
        <w:jc w:val="both"/>
        <w:outlineLvl w:val="0"/>
        <w:rPr>
          <w:rFonts w:ascii="Arial" w:eastAsia="Arial" w:hAnsi="Arial" w:cs="Arial"/>
          <w:sz w:val="28"/>
          <w:szCs w:val="28"/>
        </w:rPr>
      </w:pPr>
      <w:r>
        <w:rPr>
          <w:rFonts w:ascii="Arial" w:hAnsi="Arial"/>
          <w:sz w:val="28"/>
          <w:szCs w:val="28"/>
        </w:rPr>
        <w:t>"Palm oil free" campaigns and labelling by various EU producers or brands are fully voluntary, and there is no legislation in the EU barring a company or a consumer from labelling a product “palm oil free” for marketing purposes, if this claim is indeed accurate. For instance, European wheat producers are not satisfied with the rise of "gluten free" products, but that is a reality that they have to deal with. The best means for producer countries to react to such campaigns is therefore to engage with the critics, which several companies have done by strengthening their supply chains and buying sustainable palm oil.</w:t>
      </w:r>
    </w:p>
    <w:p w:rsidR="000F00BD" w:rsidRPr="00355E19" w:rsidRDefault="000F00BD">
      <w:pPr>
        <w:spacing w:after="0" w:line="240" w:lineRule="auto"/>
        <w:jc w:val="both"/>
        <w:outlineLvl w:val="0"/>
        <w:rPr>
          <w:rStyle w:val="Aucun"/>
          <w:rFonts w:ascii="Arial" w:eastAsia="Arial" w:hAnsi="Arial" w:cs="Arial"/>
          <w:b/>
          <w:bCs/>
          <w:i/>
          <w:iCs/>
          <w:sz w:val="28"/>
          <w:szCs w:val="28"/>
          <w:lang w:val="en-GB"/>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The European Parliament resolution on palm oil and deforestation is disproportionately negative against palm oil. Will it lead to import restrictions on the EU side?</w:t>
      </w:r>
    </w:p>
    <w:p w:rsidR="000F00BD" w:rsidRDefault="00783A3A">
      <w:pPr>
        <w:numPr>
          <w:ilvl w:val="0"/>
          <w:numId w:val="4"/>
        </w:numPr>
        <w:spacing w:after="0" w:line="240" w:lineRule="auto"/>
        <w:jc w:val="both"/>
        <w:outlineLvl w:val="0"/>
        <w:rPr>
          <w:rFonts w:ascii="Arial" w:eastAsia="Arial" w:hAnsi="Arial" w:cs="Arial"/>
          <w:b/>
          <w:bCs/>
          <w:i/>
          <w:iCs/>
          <w:sz w:val="28"/>
          <w:szCs w:val="28"/>
        </w:rPr>
      </w:pPr>
      <w:r>
        <w:rPr>
          <w:rStyle w:val="Aucun"/>
          <w:rFonts w:ascii="Arial" w:hAnsi="Arial"/>
          <w:sz w:val="28"/>
          <w:szCs w:val="28"/>
        </w:rPr>
        <w:t xml:space="preserve">The resolution of the European Parliament on palm oil represents a useful contribution to the broader debate on palm oil and deforestation, which we believe should also fully involve producer countries. The resolution reflects the views and concerns put forward by various parts of the EU public opinion as part of our democratic process. This resolution is nonetheless not part of a legislative initiative and is not binding on the Commission. </w:t>
      </w:r>
    </w:p>
    <w:p w:rsidR="000F00BD" w:rsidRDefault="000F00BD">
      <w:pPr>
        <w:spacing w:after="0" w:line="240" w:lineRule="auto"/>
        <w:jc w:val="both"/>
        <w:outlineLvl w:val="0"/>
        <w:rPr>
          <w:rStyle w:val="Aucun"/>
          <w:rFonts w:ascii="Arial" w:eastAsia="Arial" w:hAnsi="Arial" w:cs="Arial"/>
          <w:b/>
          <w:bCs/>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Will the EU endorse the European Parliament's call for a single certification scheme for palm oil which ignores ISPO, the national sustainable palm oil scheme of Indonesia?</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The EU is aware of the large number of certification schemes and sustainability standards for palm oil (ISPO being one of these), which can sometimes appear as complex to end consumers. The </w:t>
      </w:r>
      <w:r>
        <w:rPr>
          <w:rFonts w:ascii="Arial" w:hAnsi="Arial"/>
          <w:sz w:val="28"/>
          <w:szCs w:val="28"/>
        </w:rPr>
        <w:lastRenderedPageBreak/>
        <w:t>EU recognizes also the efforts made by Indonesia to strengthen its national certification scheme, ISPO.</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As indicated in the Commission's response to the EP resolution on palm oil, we do not see the need for developing a single certification scheme for palm oil. National certification schemes have in some cases been developed to address the specificities of the palm oil sector at national level. We are rather keen on building on existing schemes, and continuing to work jointly with palm oil producer countries to see how existing certification schemes can best be strengthened.</w:t>
      </w:r>
    </w:p>
    <w:p w:rsidR="000F00BD" w:rsidRDefault="000F00BD">
      <w:pPr>
        <w:spacing w:after="0" w:line="240" w:lineRule="auto"/>
        <w:jc w:val="both"/>
        <w:outlineLvl w:val="0"/>
        <w:rPr>
          <w:rStyle w:val="Aucun"/>
          <w:rFonts w:ascii="Arial" w:eastAsia="Arial" w:hAnsi="Arial" w:cs="Arial"/>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The European Parliament's resolution singles out palm oil while a Commission study from 2013 recognizes that palm oil is not the main driver of deforestation. Adopting import restrictions on palm oil would be unfair and would not address the main drivers of deforestation.</w:t>
      </w:r>
    </w:p>
    <w:p w:rsidR="000F00BD" w:rsidRDefault="00783A3A">
      <w:pPr>
        <w:numPr>
          <w:ilvl w:val="0"/>
          <w:numId w:val="10"/>
        </w:numPr>
        <w:spacing w:after="0" w:line="240" w:lineRule="auto"/>
        <w:jc w:val="both"/>
        <w:outlineLvl w:val="0"/>
        <w:rPr>
          <w:rFonts w:ascii="Arial" w:eastAsia="Arial" w:hAnsi="Arial" w:cs="Arial"/>
          <w:sz w:val="28"/>
          <w:szCs w:val="28"/>
        </w:rPr>
      </w:pPr>
      <w:r>
        <w:rPr>
          <w:rFonts w:ascii="Arial" w:hAnsi="Arial"/>
          <w:sz w:val="28"/>
          <w:szCs w:val="28"/>
        </w:rPr>
        <w:t xml:space="preserve">The EU is fully aware that a range of agriculture commodities is associated with deforestation, and the Commission is reflecting comprehensively on the challenges of deforestation with no intention to single out palm oil. Studies show nonetheless that palm oil is one of the drivers playing a role in the broader issue of deforestation (coming after soy and beef), and palm oil was therefore looked at in the framework of recently published studies by the European Commission. </w:t>
      </w:r>
    </w:p>
    <w:p w:rsidR="000F00BD" w:rsidRDefault="000F00BD">
      <w:pPr>
        <w:spacing w:after="0" w:line="240" w:lineRule="auto"/>
        <w:jc w:val="both"/>
        <w:outlineLvl w:val="0"/>
        <w:rPr>
          <w:rStyle w:val="Aucun"/>
          <w:rFonts w:ascii="Arial" w:eastAsia="Arial" w:hAnsi="Arial" w:cs="Arial"/>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 xml:space="preserve">Will the EU endorse the Indonesian Sustainable Palm Oil?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The EU follows with interest the work by the Indonesian government and stakeholders towards enhancing the sustainability of palm oil production. The commitment by the Indonesian government to render ISPO mandatory for all producers by the end of 2019 is an encouraging sign from our perspective.</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While there is no legal basis for the EU to endorse ISPO, we remain interested in exchanging views with Indonesia on action taken to strengthen ISPO and ensure its robust implementation and enforcement.  </w:t>
      </w:r>
    </w:p>
    <w:p w:rsidR="000F00BD" w:rsidRDefault="000F00BD">
      <w:pPr>
        <w:spacing w:after="0" w:line="240" w:lineRule="auto"/>
        <w:outlineLvl w:val="0"/>
        <w:rPr>
          <w:rStyle w:val="Aucun"/>
          <w:rFonts w:ascii="Arial" w:eastAsia="Arial" w:hAnsi="Arial" w:cs="Arial"/>
          <w:b/>
          <w:bCs/>
          <w:i/>
          <w:iCs/>
          <w:sz w:val="28"/>
          <w:szCs w:val="28"/>
        </w:rPr>
      </w:pPr>
    </w:p>
    <w:p w:rsidR="000F00BD" w:rsidRDefault="000F00BD">
      <w:pPr>
        <w:spacing w:after="0" w:line="240" w:lineRule="auto"/>
        <w:outlineLvl w:val="0"/>
        <w:rPr>
          <w:rStyle w:val="Aucun"/>
          <w:rFonts w:ascii="Arial" w:eastAsia="Arial" w:hAnsi="Arial" w:cs="Arial"/>
          <w:b/>
          <w:bCs/>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EU requirements to inform consumers about the presence of palm oil in food are discriminatory. Will you change them?</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The EU legislation aims at informing consumers about the food they purchase and requires the indication of the vegetable oil/fat content on the product's label.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It applies to all oils (olive, palm, sunflower, rapeseed etc.), without distinction, and does not discriminate against palm oil. </w:t>
      </w:r>
    </w:p>
    <w:p w:rsidR="000F00BD" w:rsidRDefault="000F00BD">
      <w:pPr>
        <w:spacing w:after="0" w:line="240" w:lineRule="auto"/>
        <w:jc w:val="both"/>
        <w:outlineLvl w:val="0"/>
        <w:rPr>
          <w:rStyle w:val="Aucun"/>
          <w:rFonts w:ascii="Arial" w:eastAsia="Arial" w:hAnsi="Arial" w:cs="Arial"/>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lastRenderedPageBreak/>
        <w:t>Does the Commission intend to prohibit the use of palm oil in foods? This would have no scientific basis.</w:t>
      </w:r>
    </w:p>
    <w:p w:rsidR="000F00BD" w:rsidRDefault="00783A3A">
      <w:pPr>
        <w:numPr>
          <w:ilvl w:val="0"/>
          <w:numId w:val="12"/>
        </w:numPr>
        <w:spacing w:after="120" w:line="240" w:lineRule="auto"/>
        <w:jc w:val="both"/>
        <w:rPr>
          <w:rFonts w:ascii="Arial" w:eastAsia="Arial" w:hAnsi="Arial" w:cs="Arial"/>
          <w:sz w:val="28"/>
          <w:szCs w:val="28"/>
        </w:rPr>
      </w:pPr>
      <w:r>
        <w:rPr>
          <w:rFonts w:ascii="Arial" w:hAnsi="Arial"/>
          <w:sz w:val="28"/>
          <w:szCs w:val="28"/>
        </w:rPr>
        <w:t>The Commission has no such intention at this stage. It may however take appropriate regulatory measures to limit the presence of dangerous substances in food products.</w:t>
      </w:r>
    </w:p>
    <w:p w:rsidR="000F00BD" w:rsidRDefault="00783A3A">
      <w:pPr>
        <w:numPr>
          <w:ilvl w:val="0"/>
          <w:numId w:val="14"/>
        </w:numPr>
        <w:spacing w:after="0" w:line="240" w:lineRule="auto"/>
        <w:jc w:val="both"/>
        <w:outlineLvl w:val="0"/>
        <w:rPr>
          <w:rFonts w:ascii="Arial" w:eastAsia="Arial" w:hAnsi="Arial" w:cs="Arial"/>
          <w:sz w:val="28"/>
          <w:szCs w:val="28"/>
        </w:rPr>
      </w:pPr>
      <w:r>
        <w:rPr>
          <w:rFonts w:ascii="Arial" w:hAnsi="Arial"/>
          <w:sz w:val="28"/>
          <w:szCs w:val="28"/>
        </w:rPr>
        <w:t xml:space="preserve">The Commission is for example closely following scientific studies on the presence of contaminants (such as glycidyl esters and 3-monochloropropanediol (3-MCPD)) in all vegetable oils, including palm oil, and will assess on this basis the need to set limits to protect human health. </w:t>
      </w:r>
    </w:p>
    <w:p w:rsidR="000F00BD" w:rsidRDefault="000F00BD">
      <w:pPr>
        <w:spacing w:after="0" w:line="240" w:lineRule="auto"/>
        <w:jc w:val="both"/>
        <w:outlineLvl w:val="0"/>
        <w:rPr>
          <w:rStyle w:val="Aucun"/>
          <w:rFonts w:ascii="Arial" w:eastAsia="Arial" w:hAnsi="Arial" w:cs="Arial"/>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Peatlands are heavily threatened in Europe, and there is evidence that peatland destruction is still on-going in a number of EU Member States. Europe should look at its domestic situation before criticizing peatland destruction in Indonesia.</w:t>
      </w:r>
    </w:p>
    <w:p w:rsidR="000F00BD" w:rsidRDefault="00783A3A">
      <w:pPr>
        <w:numPr>
          <w:ilvl w:val="0"/>
          <w:numId w:val="14"/>
        </w:numPr>
        <w:spacing w:after="0" w:line="240" w:lineRule="auto"/>
        <w:jc w:val="both"/>
        <w:outlineLvl w:val="0"/>
        <w:rPr>
          <w:rFonts w:ascii="Arial" w:eastAsia="Arial" w:hAnsi="Arial" w:cs="Arial"/>
          <w:sz w:val="28"/>
          <w:szCs w:val="28"/>
        </w:rPr>
      </w:pPr>
      <w:r>
        <w:rPr>
          <w:rFonts w:ascii="Arial" w:hAnsi="Arial"/>
          <w:sz w:val="28"/>
          <w:szCs w:val="28"/>
        </w:rPr>
        <w:t xml:space="preserve">Peatland habitats are indeed precious natural habitats, which are generally protected in Europe under the EU Habitats Directive. The Commission monitors closely implementation of the Directive by EU Member States, and has, when necessary, launched infringement procedures towards EU Member States insufficiently protecting peatlands. </w:t>
      </w:r>
    </w:p>
    <w:p w:rsidR="000F00BD" w:rsidRDefault="00783A3A">
      <w:pPr>
        <w:numPr>
          <w:ilvl w:val="0"/>
          <w:numId w:val="14"/>
        </w:numPr>
        <w:spacing w:after="0" w:line="240" w:lineRule="auto"/>
        <w:jc w:val="both"/>
        <w:outlineLvl w:val="0"/>
        <w:rPr>
          <w:rFonts w:ascii="Arial" w:eastAsia="Arial" w:hAnsi="Arial" w:cs="Arial"/>
          <w:sz w:val="28"/>
          <w:szCs w:val="28"/>
        </w:rPr>
      </w:pPr>
      <w:r>
        <w:rPr>
          <w:rFonts w:ascii="Arial" w:hAnsi="Arial"/>
          <w:sz w:val="28"/>
          <w:szCs w:val="28"/>
        </w:rPr>
        <w:t>At the same time, such a defensive approach on peatlands in Europe does not provide much added-value when it comes to looking at avenues for ensuring sustainable palm oil production. We would instead invite Indonesia to engage in a constructive dialogue and look at future cooperation with the EU to reassure palm oil consumers.</w:t>
      </w:r>
    </w:p>
    <w:p w:rsidR="000F00BD" w:rsidRDefault="000F00BD">
      <w:pPr>
        <w:spacing w:after="0" w:line="240" w:lineRule="auto"/>
        <w:jc w:val="both"/>
        <w:outlineLvl w:val="0"/>
        <w:rPr>
          <w:rStyle w:val="Aucun"/>
          <w:rFonts w:ascii="Arial" w:eastAsia="Arial" w:hAnsi="Arial" w:cs="Arial"/>
          <w:b/>
          <w:bCs/>
          <w:i/>
          <w:iCs/>
          <w:sz w:val="28"/>
          <w:szCs w:val="28"/>
          <w:u w:val="single"/>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Why does the EU focus so much on tropical deforestation, when deforestation is equally problematic in Europe, with unsustainable forest management happening in several EU Member States, such as Romania, Poland, Sweden and Finland?</w:t>
      </w:r>
    </w:p>
    <w:p w:rsidR="000F00BD" w:rsidRDefault="000F00BD">
      <w:pPr>
        <w:spacing w:after="0" w:line="240" w:lineRule="auto"/>
        <w:jc w:val="both"/>
        <w:outlineLvl w:val="0"/>
        <w:rPr>
          <w:rStyle w:val="Aucun"/>
          <w:rFonts w:ascii="Arial" w:eastAsia="Arial" w:hAnsi="Arial" w:cs="Arial"/>
          <w:b/>
          <w:bCs/>
          <w:i/>
          <w:iCs/>
          <w:sz w:val="28"/>
          <w:szCs w:val="28"/>
          <w:u w:val="single"/>
        </w:rPr>
      </w:pPr>
    </w:p>
    <w:p w:rsidR="000F00BD" w:rsidRDefault="00783A3A">
      <w:pPr>
        <w:numPr>
          <w:ilvl w:val="0"/>
          <w:numId w:val="14"/>
        </w:numPr>
        <w:spacing w:after="0" w:line="240" w:lineRule="auto"/>
        <w:jc w:val="both"/>
        <w:outlineLvl w:val="0"/>
        <w:rPr>
          <w:rFonts w:ascii="Arial" w:eastAsia="Arial" w:hAnsi="Arial" w:cs="Arial"/>
          <w:b/>
          <w:bCs/>
          <w:sz w:val="28"/>
          <w:szCs w:val="28"/>
        </w:rPr>
      </w:pPr>
      <w:r>
        <w:rPr>
          <w:rStyle w:val="Aucun"/>
          <w:rFonts w:ascii="Arial" w:hAnsi="Arial"/>
          <w:sz w:val="28"/>
          <w:szCs w:val="28"/>
        </w:rPr>
        <w:t>Scientific evidence shows clearly that, over the last decades, deforestation happened mainly in the tropics, with Southeast Asia appearing as one of the deforestation hotspots. According to FAO, while loss of natural forests remains an alarming problem in many tropical regions, Europe shows positive trends in its forest cover. Europe has in that regard gained about 0.4 Mha of forest annually from 2010 to 2015.</w:t>
      </w:r>
      <w:r>
        <w:rPr>
          <w:rStyle w:val="Aucun"/>
          <w:rFonts w:ascii="Arial" w:hAnsi="Arial"/>
          <w:sz w:val="24"/>
          <w:szCs w:val="24"/>
        </w:rPr>
        <w:t xml:space="preserve"> </w:t>
      </w:r>
    </w:p>
    <w:p w:rsidR="000F00BD" w:rsidRDefault="00783A3A">
      <w:pPr>
        <w:numPr>
          <w:ilvl w:val="0"/>
          <w:numId w:val="14"/>
        </w:numPr>
        <w:spacing w:after="0" w:line="240" w:lineRule="auto"/>
        <w:jc w:val="both"/>
        <w:outlineLvl w:val="0"/>
        <w:rPr>
          <w:rFonts w:ascii="Arial" w:eastAsia="Arial" w:hAnsi="Arial" w:cs="Arial"/>
          <w:b/>
          <w:bCs/>
          <w:sz w:val="28"/>
          <w:szCs w:val="28"/>
        </w:rPr>
      </w:pPr>
      <w:r>
        <w:rPr>
          <w:rStyle w:val="Aucun"/>
          <w:rFonts w:ascii="Arial" w:hAnsi="Arial"/>
          <w:sz w:val="28"/>
          <w:szCs w:val="28"/>
        </w:rPr>
        <w:t xml:space="preserve">At the same time, we remain vigilant about ensuring that forest management is sustainable in the EU, including through our EU Forest Strategy and the Common Agriculture Policy which provides significant funding to support sustainable forest management in EU </w:t>
      </w:r>
      <w:r>
        <w:rPr>
          <w:rStyle w:val="Aucun"/>
          <w:rFonts w:ascii="Arial" w:hAnsi="Arial"/>
          <w:sz w:val="28"/>
          <w:szCs w:val="28"/>
        </w:rPr>
        <w:lastRenderedPageBreak/>
        <w:t>member States. We have also adopted and implemented robust legislation, such as the EU Timber Regulation, under which the European Commission monitors closely that any timber placed on the EU market is of legal origin, with infringement measures adopted towards non-compliant EU Member States as necessary.</w:t>
      </w:r>
      <w:r>
        <w:rPr>
          <w:rStyle w:val="Aucun"/>
          <w:rFonts w:ascii="Arial" w:hAnsi="Arial"/>
          <w:sz w:val="24"/>
          <w:szCs w:val="24"/>
        </w:rPr>
        <w:t xml:space="preserve"> </w:t>
      </w:r>
    </w:p>
    <w:p w:rsidR="000F00BD" w:rsidRDefault="000F00BD">
      <w:pPr>
        <w:spacing w:after="0" w:line="240" w:lineRule="auto"/>
        <w:ind w:left="360"/>
        <w:jc w:val="both"/>
        <w:outlineLvl w:val="0"/>
        <w:rPr>
          <w:rStyle w:val="Aucun"/>
          <w:rFonts w:ascii="Arial" w:eastAsia="Arial" w:hAnsi="Arial" w:cs="Arial"/>
          <w:b/>
          <w:bCs/>
          <w:sz w:val="28"/>
          <w:szCs w:val="28"/>
        </w:rPr>
      </w:pPr>
    </w:p>
    <w:p w:rsidR="000F00BD" w:rsidRDefault="000F00BD">
      <w:pPr>
        <w:spacing w:after="0" w:line="240" w:lineRule="auto"/>
        <w:ind w:left="360"/>
        <w:jc w:val="both"/>
        <w:outlineLvl w:val="0"/>
        <w:rPr>
          <w:rStyle w:val="Aucun"/>
          <w:rFonts w:ascii="Arial" w:eastAsia="Arial" w:hAnsi="Arial" w:cs="Arial"/>
          <w:sz w:val="28"/>
          <w:szCs w:val="28"/>
        </w:rPr>
      </w:pPr>
    </w:p>
    <w:p w:rsidR="000F00BD" w:rsidRDefault="000F00BD">
      <w:pPr>
        <w:spacing w:after="0" w:line="240" w:lineRule="auto"/>
        <w:ind w:left="360"/>
        <w:jc w:val="both"/>
        <w:outlineLvl w:val="0"/>
        <w:rPr>
          <w:rStyle w:val="Aucun"/>
          <w:rFonts w:ascii="Arial" w:eastAsia="Arial" w:hAnsi="Arial" w:cs="Arial"/>
          <w:b/>
          <w:bCs/>
          <w:i/>
          <w:iCs/>
          <w:sz w:val="28"/>
          <w:szCs w:val="28"/>
        </w:rPr>
      </w:pPr>
    </w:p>
    <w:p w:rsidR="000F00BD" w:rsidRDefault="00783A3A">
      <w:pPr>
        <w:spacing w:after="0" w:line="240" w:lineRule="auto"/>
        <w:outlineLvl w:val="0"/>
        <w:rPr>
          <w:rStyle w:val="Aucun"/>
          <w:rFonts w:ascii="Arial" w:eastAsia="Arial" w:hAnsi="Arial" w:cs="Arial"/>
          <w:b/>
          <w:bCs/>
          <w:sz w:val="28"/>
          <w:szCs w:val="28"/>
          <w:u w:val="single"/>
        </w:rPr>
      </w:pPr>
      <w:r>
        <w:rPr>
          <w:rStyle w:val="Aucun"/>
          <w:rFonts w:ascii="Arial" w:hAnsi="Arial"/>
          <w:b/>
          <w:bCs/>
          <w:sz w:val="28"/>
          <w:szCs w:val="28"/>
        </w:rPr>
        <w:t xml:space="preserve">IV. </w:t>
      </w:r>
      <w:r>
        <w:rPr>
          <w:rStyle w:val="Aucun"/>
          <w:rFonts w:ascii="Arial" w:hAnsi="Arial"/>
          <w:b/>
          <w:bCs/>
          <w:sz w:val="28"/>
          <w:szCs w:val="28"/>
          <w:u w:val="single"/>
        </w:rPr>
        <w:t>Background</w:t>
      </w:r>
    </w:p>
    <w:p w:rsidR="000F00BD" w:rsidRDefault="000F00BD">
      <w:pPr>
        <w:spacing w:after="0" w:line="240" w:lineRule="auto"/>
        <w:outlineLvl w:val="0"/>
        <w:rPr>
          <w:rStyle w:val="Aucun"/>
          <w:rFonts w:ascii="Arial" w:eastAsia="Arial" w:hAnsi="Arial" w:cs="Arial"/>
          <w:sz w:val="28"/>
          <w:szCs w:val="28"/>
        </w:rPr>
      </w:pPr>
    </w:p>
    <w:p w:rsidR="000F00BD" w:rsidRDefault="000F00BD">
      <w:pPr>
        <w:spacing w:after="0" w:line="240" w:lineRule="auto"/>
        <w:jc w:val="both"/>
        <w:rPr>
          <w:rStyle w:val="Aucun"/>
          <w:rFonts w:ascii="Arial" w:eastAsia="Arial" w:hAnsi="Arial" w:cs="Arial"/>
          <w:b/>
          <w:bCs/>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Palm oil and Indonesia</w:t>
      </w:r>
    </w:p>
    <w:p w:rsidR="000F00BD" w:rsidRDefault="000F00BD">
      <w:pPr>
        <w:spacing w:after="0" w:line="240" w:lineRule="auto"/>
        <w:jc w:val="both"/>
        <w:rPr>
          <w:rStyle w:val="Aucun"/>
          <w:rFonts w:ascii="Arial" w:eastAsia="Arial" w:hAnsi="Arial" w:cs="Arial"/>
          <w:i/>
          <w:iCs/>
        </w:rPr>
      </w:pP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Palm oil is a key economic sector for Indonesia: it represents 14% of its total exports to the EU, is a key employment sector and the main source of income for millions of smallholders. Indonesia is the world's largest producer, accounting for more than 50% of the global output of palm oil (32.5 million tonnes, 2015); it is also a major exporter of crude palm oil (26.4 million tonnes, 2015) and its derivatives – as well as the second consumer of palm oil worldwide. The palm oil industry generates 4 million direct and 12 million indirect jobs in Indonesia. The EU is the second largest export market for palm oil (after India, ahead of China). After a relative stagnation between 2013 and 2016, EU total imports of palm oil (excluding biofuels) over the first 8 months of 2017 are up by 24% in value and 9% in volume. EU imports from Indonesia have increased even more, by 36% in value and 19% in volume in 2017 compared to the same period in 2016. The market share of Indonesia in the EU's imports of palm oil increased to 52.4%. </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Indonesia has long expressed strong (and often disproportionate) concerns on the debate on palm oil in the EU, alleging that, under the cover of sustainability/health considerations, there is a deliberate attempt to spread a negative image of palm oil to the benefit of other (EU-produced) vegetable oils/fats. However, over the last months there has been a change of gears in the Indonesian attitude on the matter, triggered both by domestic politics (regional elections are scheduled in 2018, and presidential elections in 2019, and palm oil is seen by the government as instrumental in gaining the votes of millions of smallholders) and by the increasing focus on the matter in the EP, with repeated calls for the adoption of restrictive measures by the EU. </w:t>
      </w:r>
    </w:p>
    <w:p w:rsidR="000F00BD" w:rsidRDefault="00783A3A">
      <w:pPr>
        <w:jc w:val="both"/>
        <w:rPr>
          <w:rStyle w:val="Aucun"/>
          <w:rFonts w:ascii="Arial" w:eastAsia="Arial" w:hAnsi="Arial" w:cs="Arial"/>
          <w:sz w:val="24"/>
          <w:szCs w:val="24"/>
        </w:rPr>
      </w:pPr>
      <w:r>
        <w:rPr>
          <w:rStyle w:val="Aucun"/>
          <w:rFonts w:ascii="Arial" w:hAnsi="Arial"/>
          <w:sz w:val="24"/>
          <w:szCs w:val="24"/>
        </w:rPr>
        <w:t>The adoption of the EP own-initiative (non-legislative) Resolution on palm oil and deforestation in April 2017 spurred very vocal reactions, which have further escalated in the context of the EP discussions on the recast of the Renewable Energy Directive (RED II). The inclusion in the official EP position (adopted on 17 January 2018) of an amendment to the Commission's proposal in order to exclude biofuels produced from palm oil from being taken into account in the EU renewable energy targets - by 2021 (while, according to the same amendment, biofuels from other vegetable oils would continue to count until their phase-out in 2030) - is expected to trigger yet another wave of strong reactions by palm oil producing countries.</w:t>
      </w:r>
    </w:p>
    <w:p w:rsidR="00355E19" w:rsidRDefault="00783A3A">
      <w:pPr>
        <w:jc w:val="both"/>
        <w:rPr>
          <w:rStyle w:val="Aucun"/>
          <w:rFonts w:ascii="Arial" w:hAnsi="Arial"/>
          <w:sz w:val="24"/>
          <w:szCs w:val="24"/>
        </w:rPr>
      </w:pPr>
      <w:r>
        <w:rPr>
          <w:rStyle w:val="Aucun"/>
          <w:rFonts w:ascii="Arial" w:hAnsi="Arial"/>
          <w:sz w:val="24"/>
          <w:szCs w:val="24"/>
        </w:rPr>
        <w:lastRenderedPageBreak/>
        <w:t xml:space="preserve">Indonesia has also generally expressed repeated concerns regarding other aspects of the EU policy, in particular regarding vegetable oils labelling, private sector "palm oil-free" labels (in particular in France and Belgium), health considerations (EFAS advice of May 2016 on glycerol-based process contaminants in palm oil), announcements by individual EU MS of possible import restrictions (cf. Nicolas Hulot's declarations of July 2017). </w:t>
      </w:r>
    </w:p>
    <w:p w:rsidR="00355E19" w:rsidRDefault="00783A3A">
      <w:pPr>
        <w:jc w:val="both"/>
        <w:rPr>
          <w:rStyle w:val="Aucun"/>
          <w:rFonts w:ascii="Arial" w:hAnsi="Arial"/>
          <w:b/>
          <w:bCs/>
          <w:sz w:val="24"/>
          <w:szCs w:val="24"/>
        </w:rPr>
      </w:pPr>
      <w:r>
        <w:rPr>
          <w:rStyle w:val="Aucun"/>
          <w:rFonts w:ascii="Arial" w:hAnsi="Arial"/>
          <w:b/>
          <w:bCs/>
          <w:sz w:val="24"/>
          <w:szCs w:val="24"/>
        </w:rPr>
        <w:t>Measures by Indonesia to improve palm oil sustainability</w:t>
      </w:r>
    </w:p>
    <w:p w:rsidR="000F00BD" w:rsidRDefault="00783A3A">
      <w:pPr>
        <w:jc w:val="both"/>
        <w:rPr>
          <w:rStyle w:val="Aucun"/>
          <w:rFonts w:ascii="Arial" w:eastAsia="Arial" w:hAnsi="Arial" w:cs="Arial"/>
          <w:sz w:val="24"/>
          <w:szCs w:val="24"/>
        </w:rPr>
      </w:pPr>
      <w:r>
        <w:rPr>
          <w:rStyle w:val="Aucun"/>
          <w:rFonts w:ascii="Arial" w:hAnsi="Arial"/>
          <w:sz w:val="24"/>
          <w:szCs w:val="24"/>
        </w:rPr>
        <w:t>Palm oil plantations licenses continue being granted, especially in Papua and Papua Barat. A palm oil and mining moratorium plan was announced by President Jokowi in April 2016.</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In 2016, the Indonesian Government announced it would strengthen the ISPO scheme, given increasing global demand for sustainable, deforestation-free palm oil, and lack of market uptake for ISPO certification. The coordinating ministry of economic affairs (KEMENKO) of Indonesia recently shared with EU DEL a draft for a Presidential regulation (PerPres) on strengthening ISPO, which contains severe flaws in terms of clarity, ambition, level of details, governance, and feasibility of the ISPO standard certification. </w:t>
      </w:r>
    </w:p>
    <w:p w:rsidR="000F00BD" w:rsidRDefault="00783A3A">
      <w:pPr>
        <w:jc w:val="both"/>
        <w:rPr>
          <w:rStyle w:val="Aucun"/>
          <w:rFonts w:ascii="Arial" w:eastAsia="Arial" w:hAnsi="Arial" w:cs="Arial"/>
          <w:sz w:val="24"/>
          <w:szCs w:val="24"/>
        </w:rPr>
      </w:pPr>
      <w:r>
        <w:rPr>
          <w:rStyle w:val="Aucun"/>
          <w:rFonts w:ascii="Arial" w:hAnsi="Arial"/>
          <w:sz w:val="24"/>
          <w:szCs w:val="24"/>
        </w:rPr>
        <w:t>Specifically, it appears that the Ministry of Environment and Forestry (MoEF) is not involved to the extent that it should in the drafting process. MoEF should lead on the operational definition, quantification and limitation of palm oil's environmental impacts (deforestation, forest degradation, forest fires, biodiversity, water quality, GHG emissions) which should be included in the regulation.</w:t>
      </w:r>
    </w:p>
    <w:p w:rsidR="000F00BD" w:rsidRDefault="00783A3A">
      <w:pPr>
        <w:jc w:val="both"/>
        <w:rPr>
          <w:rStyle w:val="Aucun"/>
          <w:rFonts w:ascii="Arial" w:eastAsia="Arial" w:hAnsi="Arial" w:cs="Arial"/>
          <w:sz w:val="24"/>
          <w:szCs w:val="24"/>
        </w:rPr>
      </w:pPr>
      <w:r>
        <w:rPr>
          <w:rStyle w:val="Aucun"/>
          <w:rFonts w:ascii="Arial" w:hAnsi="Arial"/>
          <w:sz w:val="24"/>
          <w:szCs w:val="24"/>
        </w:rPr>
        <w:t>Therefore, even though the EU has no prescriptive position on sustainable palm oil certification, it cannot be recommended to use or promote ISPO certification as a basis for EU policies aimed at achieving Sustainable Development Goals, Paris Agreement contributions and other climate or environment goals.</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timeline for finalizing the draft is yet unclear.EU DEL offered further collaboration with Indonesia on the text of the draft regulation, possibly providing future insight and in-depth collaboration with KEMENKO on the matter. </w:t>
      </w:r>
    </w:p>
    <w:p w:rsidR="00484299" w:rsidRPr="00484299" w:rsidRDefault="00484299" w:rsidP="00484299">
      <w:pPr>
        <w:spacing w:after="120"/>
        <w:rPr>
          <w:rStyle w:val="Aucun"/>
          <w:rFonts w:ascii="Arial" w:hAnsi="Arial"/>
          <w:b/>
          <w:bCs/>
          <w:sz w:val="24"/>
          <w:szCs w:val="24"/>
        </w:rPr>
      </w:pPr>
      <w:r w:rsidRPr="00484299">
        <w:rPr>
          <w:rStyle w:val="Aucun"/>
          <w:rFonts w:ascii="Arial" w:hAnsi="Arial"/>
          <w:b/>
          <w:bCs/>
          <w:sz w:val="24"/>
          <w:szCs w:val="24"/>
        </w:rPr>
        <w:t xml:space="preserve">PSF </w:t>
      </w:r>
      <w:r>
        <w:rPr>
          <w:rStyle w:val="Aucun"/>
          <w:rFonts w:ascii="Arial" w:hAnsi="Arial"/>
          <w:b/>
          <w:bCs/>
          <w:sz w:val="24"/>
          <w:szCs w:val="24"/>
        </w:rPr>
        <w:t xml:space="preserve">project </w:t>
      </w:r>
      <w:r w:rsidRPr="00484299">
        <w:rPr>
          <w:rStyle w:val="Aucun"/>
          <w:rFonts w:ascii="Arial" w:hAnsi="Arial"/>
          <w:b/>
          <w:bCs/>
          <w:sz w:val="24"/>
          <w:szCs w:val="24"/>
        </w:rPr>
        <w:t>–</w:t>
      </w:r>
      <w:r>
        <w:rPr>
          <w:rStyle w:val="Aucun"/>
          <w:rFonts w:ascii="Arial" w:hAnsi="Arial"/>
          <w:b/>
          <w:bCs/>
          <w:sz w:val="24"/>
          <w:szCs w:val="24"/>
        </w:rPr>
        <w:t xml:space="preserve"> "</w:t>
      </w:r>
      <w:r w:rsidRPr="00484299">
        <w:rPr>
          <w:rStyle w:val="Aucun"/>
          <w:rFonts w:ascii="Arial" w:hAnsi="Arial"/>
          <w:b/>
          <w:bCs/>
          <w:sz w:val="24"/>
          <w:szCs w:val="24"/>
        </w:rPr>
        <w:t>Defining and tracking "deforestation-free" palm oil – analysis of supply chains and opportunities for area based verification</w:t>
      </w:r>
      <w:r>
        <w:rPr>
          <w:rStyle w:val="Aucun"/>
          <w:rFonts w:ascii="Arial" w:hAnsi="Arial"/>
          <w:b/>
          <w:bCs/>
          <w:sz w:val="24"/>
          <w:szCs w:val="24"/>
        </w:rPr>
        <w:t xml:space="preserve">" </w:t>
      </w:r>
      <w:r w:rsidRPr="00484299">
        <w:rPr>
          <w:rStyle w:val="Aucun"/>
          <w:rFonts w:ascii="Arial" w:hAnsi="Arial"/>
          <w:b/>
          <w:bCs/>
          <w:sz w:val="24"/>
          <w:szCs w:val="24"/>
        </w:rPr>
        <w:t>– 0.7 M EUR</w:t>
      </w:r>
    </w:p>
    <w:p w:rsidR="00484299" w:rsidRPr="00484299" w:rsidRDefault="00484299" w:rsidP="00484299">
      <w:pPr>
        <w:jc w:val="both"/>
        <w:rPr>
          <w:rStyle w:val="Aucun"/>
          <w:sz w:val="24"/>
          <w:szCs w:val="24"/>
        </w:rPr>
      </w:pPr>
      <w:r w:rsidRPr="00484299">
        <w:rPr>
          <w:rStyle w:val="Aucun"/>
          <w:rFonts w:ascii="Arial" w:hAnsi="Arial"/>
          <w:sz w:val="24"/>
          <w:szCs w:val="24"/>
        </w:rPr>
        <w:t>To contribute to transparency and accountability along major palm oil supply chains, to identify key operators and levers that could help to address this major driver of (reducing) deforestation and other harmful socio-environmental impacts. The implementation with a total duration of 18 months was kicked off in February 2018.</w:t>
      </w:r>
    </w:p>
    <w:p w:rsidR="00484299" w:rsidRPr="00484299" w:rsidRDefault="00484299" w:rsidP="00484299">
      <w:pPr>
        <w:jc w:val="both"/>
        <w:rPr>
          <w:rStyle w:val="Aucun"/>
          <w:rFonts w:ascii="Arial" w:hAnsi="Arial"/>
          <w:sz w:val="24"/>
          <w:szCs w:val="24"/>
        </w:rPr>
      </w:pPr>
      <w:r w:rsidRPr="00484299">
        <w:rPr>
          <w:rStyle w:val="Aucun"/>
          <w:rFonts w:ascii="Arial" w:hAnsi="Arial"/>
          <w:sz w:val="24"/>
          <w:szCs w:val="24"/>
        </w:rPr>
        <w:t>The project is divided into 2 interlinked components. Component 1 is implemented by TRASE and will undertake port-level traceability and supply chain analysis for palm oil in Indonesia and a second palm oil producing country (possibly Malaysia). The data will be visualised within the online beta platform on palm oil in the TRASE platform.</w:t>
      </w:r>
    </w:p>
    <w:p w:rsidR="000F00BD" w:rsidRDefault="00484299">
      <w:pPr>
        <w:jc w:val="both"/>
        <w:rPr>
          <w:rStyle w:val="Aucun"/>
          <w:rFonts w:ascii="Arial" w:eastAsia="Arial" w:hAnsi="Arial" w:cs="Arial"/>
          <w:sz w:val="24"/>
          <w:szCs w:val="24"/>
        </w:rPr>
      </w:pPr>
      <w:r w:rsidRPr="00484299">
        <w:rPr>
          <w:rStyle w:val="Aucun"/>
          <w:rFonts w:ascii="Arial" w:hAnsi="Arial"/>
          <w:sz w:val="24"/>
          <w:szCs w:val="24"/>
        </w:rPr>
        <w:lastRenderedPageBreak/>
        <w:t>Component 2 is implemented by the European Forest Institute. It will deliver an analytical study based on the results of Component 1 and undertake stakeholder outreach and networking in Indonesia to help the EU nurturing a platform for technical exchanges and awareness raising on the sustainability of palm oil production.</w:t>
      </w:r>
      <w:r w:rsidR="00355E19">
        <w:rPr>
          <w:rStyle w:val="Aucun"/>
          <w:rFonts w:ascii="Arial" w:hAnsi="Arial"/>
          <w:sz w:val="24"/>
          <w:szCs w:val="24"/>
        </w:rPr>
        <w:t xml:space="preserve"> </w:t>
      </w:r>
      <w:r w:rsidR="00783A3A">
        <w:rPr>
          <w:rStyle w:val="Aucun"/>
          <w:rFonts w:ascii="Arial" w:hAnsi="Arial"/>
          <w:sz w:val="24"/>
          <w:szCs w:val="24"/>
        </w:rPr>
        <w:t>EU DEL</w:t>
      </w:r>
      <w:r w:rsidR="00355E19">
        <w:rPr>
          <w:rStyle w:val="Aucun"/>
          <w:rFonts w:ascii="Arial" w:hAnsi="Arial"/>
          <w:sz w:val="24"/>
          <w:szCs w:val="24"/>
        </w:rPr>
        <w:t>,</w:t>
      </w:r>
      <w:r w:rsidR="00783A3A">
        <w:rPr>
          <w:rStyle w:val="Aucun"/>
          <w:rFonts w:ascii="Arial" w:hAnsi="Arial"/>
          <w:sz w:val="24"/>
          <w:szCs w:val="24"/>
        </w:rPr>
        <w:t xml:space="preserve"> EFI and Inobu (NGO) met KEMENKO on 1 March to present </w:t>
      </w:r>
      <w:r w:rsidR="00355E19">
        <w:rPr>
          <w:rStyle w:val="Aucun"/>
          <w:rFonts w:ascii="Arial" w:hAnsi="Arial"/>
          <w:sz w:val="24"/>
          <w:szCs w:val="24"/>
        </w:rPr>
        <w:t>the</w:t>
      </w:r>
      <w:r w:rsidR="00783A3A">
        <w:rPr>
          <w:rStyle w:val="Aucun"/>
          <w:rFonts w:ascii="Arial" w:hAnsi="Arial"/>
          <w:sz w:val="24"/>
          <w:szCs w:val="24"/>
        </w:rPr>
        <w:t xml:space="preserve"> study</w:t>
      </w:r>
      <w:r w:rsidR="00355E19">
        <w:rPr>
          <w:rStyle w:val="Aucun"/>
          <w:rFonts w:ascii="Arial" w:hAnsi="Arial"/>
          <w:sz w:val="24"/>
          <w:szCs w:val="24"/>
        </w:rPr>
        <w:t>, explaining that one of the main objectives was</w:t>
      </w:r>
      <w:r w:rsidR="00783A3A">
        <w:rPr>
          <w:rStyle w:val="Aucun"/>
          <w:rFonts w:ascii="Arial" w:hAnsi="Arial"/>
          <w:sz w:val="24"/>
          <w:szCs w:val="24"/>
        </w:rPr>
        <w:t xml:space="preserve"> to deliver a screening of feasible and efficient evaluation/monitoring of sustainable palm oil production, via group certification options (e.g. village, district or province rather than farm by farm)</w:t>
      </w:r>
      <w:r w:rsidR="00355E19">
        <w:rPr>
          <w:rStyle w:val="Aucun"/>
          <w:rFonts w:ascii="Arial" w:hAnsi="Arial"/>
          <w:sz w:val="24"/>
          <w:szCs w:val="24"/>
        </w:rPr>
        <w:t xml:space="preserve">. </w:t>
      </w:r>
      <w:r w:rsidR="00783A3A">
        <w:rPr>
          <w:rStyle w:val="Aucun"/>
          <w:rFonts w:ascii="Arial" w:hAnsi="Arial"/>
          <w:sz w:val="24"/>
          <w:szCs w:val="24"/>
        </w:rPr>
        <w:t xml:space="preserve">The purpose of the meeting was to involve KEMENKO from the start and to avoid </w:t>
      </w:r>
      <w:r w:rsidR="00355E19">
        <w:rPr>
          <w:rStyle w:val="Aucun"/>
          <w:rFonts w:ascii="Arial" w:hAnsi="Arial"/>
          <w:sz w:val="24"/>
          <w:szCs w:val="24"/>
        </w:rPr>
        <w:t>potential</w:t>
      </w:r>
      <w:r w:rsidR="00783A3A">
        <w:rPr>
          <w:rStyle w:val="Aucun"/>
          <w:rFonts w:ascii="Arial" w:hAnsi="Arial"/>
          <w:sz w:val="24"/>
          <w:szCs w:val="24"/>
        </w:rPr>
        <w:t xml:space="preserve"> misunderstanding when the report is ultimately delivered. Together with the TRASE initiative, this study could also serve as a working base to improve ISPO.  </w:t>
      </w:r>
    </w:p>
    <w:p w:rsidR="002D770E" w:rsidRPr="00056116" w:rsidRDefault="002D770E" w:rsidP="002D770E">
      <w:pPr>
        <w:autoSpaceDE w:val="0"/>
        <w:autoSpaceDN w:val="0"/>
        <w:adjustRightInd w:val="0"/>
        <w:spacing w:after="0" w:line="240" w:lineRule="auto"/>
        <w:jc w:val="both"/>
        <w:rPr>
          <w:rFonts w:ascii="Arial" w:eastAsia="Times New Roman" w:hAnsi="Arial" w:cs="Arial"/>
          <w:b/>
          <w:sz w:val="24"/>
          <w:szCs w:val="24"/>
        </w:rPr>
      </w:pPr>
      <w:r w:rsidRPr="00056116">
        <w:rPr>
          <w:rFonts w:ascii="Arial" w:eastAsia="Times New Roman" w:hAnsi="Arial" w:cs="Arial"/>
          <w:b/>
          <w:sz w:val="24"/>
          <w:szCs w:val="24"/>
        </w:rPr>
        <w:t>Palm oil in the EU – Indonesia Comprehensive Economic Partnership Agreement</w:t>
      </w:r>
    </w:p>
    <w:p w:rsidR="002D770E" w:rsidRPr="00056116" w:rsidRDefault="002D770E" w:rsidP="002D770E">
      <w:pPr>
        <w:autoSpaceDE w:val="0"/>
        <w:autoSpaceDN w:val="0"/>
        <w:adjustRightInd w:val="0"/>
        <w:spacing w:after="0" w:line="240" w:lineRule="auto"/>
        <w:jc w:val="both"/>
        <w:rPr>
          <w:rFonts w:ascii="Arial" w:eastAsia="Times New Roman" w:hAnsi="Arial" w:cs="Arial"/>
          <w:sz w:val="24"/>
          <w:szCs w:val="24"/>
        </w:rPr>
      </w:pPr>
    </w:p>
    <w:p w:rsidR="002D770E" w:rsidRDefault="002D770E" w:rsidP="002D770E">
      <w:pPr>
        <w:autoSpaceDE w:val="0"/>
        <w:autoSpaceDN w:val="0"/>
        <w:adjustRightInd w:val="0"/>
        <w:spacing w:after="0" w:line="240" w:lineRule="auto"/>
        <w:jc w:val="both"/>
        <w:rPr>
          <w:rFonts w:ascii="Arial" w:eastAsia="Times New Roman" w:hAnsi="Arial" w:cs="Arial"/>
          <w:sz w:val="24"/>
          <w:szCs w:val="24"/>
        </w:rPr>
      </w:pPr>
      <w:r w:rsidRPr="00056116">
        <w:rPr>
          <w:rFonts w:ascii="Arial" w:eastAsia="Times New Roman" w:hAnsi="Arial" w:cs="Arial"/>
          <w:sz w:val="24"/>
          <w:szCs w:val="24"/>
        </w:rPr>
        <w:t xml:space="preserve">Negotiations for an EU – Indonesia Comprehensive Economic Partnership Agreement </w:t>
      </w:r>
      <w:r>
        <w:rPr>
          <w:rFonts w:ascii="Arial" w:eastAsia="Times New Roman" w:hAnsi="Arial" w:cs="Arial"/>
          <w:sz w:val="24"/>
          <w:szCs w:val="24"/>
        </w:rPr>
        <w:t xml:space="preserve">(CEPA) </w:t>
      </w:r>
      <w:r w:rsidRPr="00056116">
        <w:rPr>
          <w:rFonts w:ascii="Arial" w:eastAsia="Times New Roman" w:hAnsi="Arial" w:cs="Arial"/>
          <w:sz w:val="24"/>
          <w:szCs w:val="24"/>
        </w:rPr>
        <w:t>started in September 2016. In February</w:t>
      </w:r>
      <w:r>
        <w:rPr>
          <w:rFonts w:ascii="Arial" w:eastAsia="Times New Roman" w:hAnsi="Arial" w:cs="Arial"/>
          <w:sz w:val="24"/>
          <w:szCs w:val="24"/>
        </w:rPr>
        <w:t>,</w:t>
      </w:r>
      <w:r w:rsidRPr="00056116">
        <w:rPr>
          <w:rFonts w:ascii="Arial" w:eastAsia="Times New Roman" w:hAnsi="Arial" w:cs="Arial"/>
          <w:sz w:val="24"/>
          <w:szCs w:val="24"/>
        </w:rPr>
        <w:t xml:space="preserve"> </w:t>
      </w:r>
      <w:r>
        <w:rPr>
          <w:rFonts w:ascii="Arial" w:eastAsia="Times New Roman" w:hAnsi="Arial" w:cs="Arial"/>
          <w:sz w:val="24"/>
          <w:szCs w:val="24"/>
        </w:rPr>
        <w:t>P</w:t>
      </w:r>
      <w:r w:rsidRPr="00056116">
        <w:rPr>
          <w:rFonts w:ascii="Arial" w:eastAsia="Times New Roman" w:hAnsi="Arial" w:cs="Arial"/>
          <w:sz w:val="24"/>
          <w:szCs w:val="24"/>
        </w:rPr>
        <w:t xml:space="preserve">arties concluded the fourth round of the talks. </w:t>
      </w:r>
    </w:p>
    <w:p w:rsidR="002D770E" w:rsidRDefault="002D770E" w:rsidP="002D770E">
      <w:pPr>
        <w:autoSpaceDE w:val="0"/>
        <w:autoSpaceDN w:val="0"/>
        <w:adjustRightInd w:val="0"/>
        <w:spacing w:after="0" w:line="240" w:lineRule="auto"/>
        <w:jc w:val="both"/>
        <w:rPr>
          <w:rFonts w:ascii="Arial" w:eastAsia="Times New Roman" w:hAnsi="Arial" w:cs="Arial"/>
          <w:sz w:val="24"/>
          <w:szCs w:val="24"/>
        </w:rPr>
      </w:pPr>
    </w:p>
    <w:p w:rsidR="002D770E" w:rsidRPr="00056116" w:rsidRDefault="002D770E" w:rsidP="002D770E">
      <w:pPr>
        <w:autoSpaceDE w:val="0"/>
        <w:autoSpaceDN w:val="0"/>
        <w:adjustRightInd w:val="0"/>
        <w:spacing w:after="0" w:line="240" w:lineRule="auto"/>
        <w:jc w:val="both"/>
        <w:rPr>
          <w:rFonts w:ascii="Arial" w:eastAsia="Times New Roman" w:hAnsi="Arial" w:cs="Arial"/>
          <w:sz w:val="24"/>
          <w:szCs w:val="24"/>
        </w:rPr>
      </w:pPr>
      <w:r w:rsidRPr="00056116">
        <w:rPr>
          <w:rFonts w:ascii="Arial" w:eastAsia="Times New Roman" w:hAnsi="Arial" w:cs="Arial"/>
          <w:sz w:val="24"/>
          <w:szCs w:val="24"/>
        </w:rPr>
        <w:t xml:space="preserve">The EU tabled rules on the sustainable management of forests, biodiversity and climate change in the draft Trade and Sustainable Development chapter (TSD) of CEPA. Certain aspects of these proposals cover palm oil, however, there are no explicit rules covering </w:t>
      </w:r>
      <w:r>
        <w:rPr>
          <w:rFonts w:ascii="Arial" w:eastAsia="Times New Roman" w:hAnsi="Arial" w:cs="Arial"/>
          <w:sz w:val="24"/>
          <w:szCs w:val="24"/>
        </w:rPr>
        <w:t>it</w:t>
      </w:r>
      <w:r w:rsidRPr="00056116">
        <w:rPr>
          <w:rFonts w:ascii="Arial" w:eastAsia="Times New Roman" w:hAnsi="Arial" w:cs="Arial"/>
          <w:sz w:val="24"/>
          <w:szCs w:val="24"/>
        </w:rPr>
        <w:t xml:space="preserve"> in TSD.</w:t>
      </w:r>
    </w:p>
    <w:p w:rsidR="002D770E" w:rsidRPr="00056116" w:rsidRDefault="002D770E" w:rsidP="002D770E">
      <w:pPr>
        <w:autoSpaceDE w:val="0"/>
        <w:autoSpaceDN w:val="0"/>
        <w:adjustRightInd w:val="0"/>
        <w:spacing w:after="0" w:line="240" w:lineRule="auto"/>
        <w:jc w:val="both"/>
        <w:rPr>
          <w:rFonts w:ascii="Arial" w:eastAsia="Times New Roman" w:hAnsi="Arial" w:cs="Arial"/>
          <w:sz w:val="24"/>
          <w:szCs w:val="24"/>
        </w:rPr>
      </w:pPr>
    </w:p>
    <w:p w:rsidR="002D770E" w:rsidRDefault="002D770E" w:rsidP="002D770E">
      <w:pPr>
        <w:autoSpaceDE w:val="0"/>
        <w:autoSpaceDN w:val="0"/>
        <w:adjustRightInd w:val="0"/>
        <w:spacing w:after="0" w:line="240" w:lineRule="auto"/>
        <w:jc w:val="both"/>
        <w:rPr>
          <w:rFonts w:ascii="Arial" w:eastAsia="Times New Roman" w:hAnsi="Arial" w:cs="Arial"/>
          <w:sz w:val="24"/>
          <w:szCs w:val="24"/>
        </w:rPr>
      </w:pPr>
      <w:r w:rsidRPr="00056116">
        <w:rPr>
          <w:rFonts w:ascii="Arial" w:eastAsia="Times New Roman" w:hAnsi="Arial" w:cs="Arial"/>
          <w:sz w:val="24"/>
          <w:szCs w:val="24"/>
        </w:rPr>
        <w:t>Market access, i.e. the level of duties applied in th</w:t>
      </w:r>
      <w:r>
        <w:rPr>
          <w:rFonts w:ascii="Arial" w:eastAsia="Times New Roman" w:hAnsi="Arial" w:cs="Arial"/>
          <w:sz w:val="24"/>
          <w:szCs w:val="24"/>
        </w:rPr>
        <w:t>e</w:t>
      </w:r>
      <w:r w:rsidRPr="00056116">
        <w:rPr>
          <w:rFonts w:ascii="Arial" w:eastAsia="Times New Roman" w:hAnsi="Arial" w:cs="Arial"/>
          <w:sz w:val="24"/>
          <w:szCs w:val="24"/>
        </w:rPr>
        <w:t xml:space="preserve"> EU to Indonesian palm oil will be covered in the Agriculture part of the Trade in Goods chapter. </w:t>
      </w:r>
    </w:p>
    <w:p w:rsidR="002D770E" w:rsidRDefault="002D770E" w:rsidP="002D770E">
      <w:pPr>
        <w:autoSpaceDE w:val="0"/>
        <w:autoSpaceDN w:val="0"/>
        <w:adjustRightInd w:val="0"/>
        <w:spacing w:after="0" w:line="240" w:lineRule="auto"/>
        <w:jc w:val="both"/>
        <w:rPr>
          <w:rFonts w:ascii="Arial" w:eastAsia="Times New Roman" w:hAnsi="Arial" w:cs="Arial"/>
          <w:sz w:val="24"/>
          <w:szCs w:val="24"/>
        </w:rPr>
      </w:pPr>
    </w:p>
    <w:p w:rsidR="002D770E" w:rsidRPr="002A6EAA" w:rsidRDefault="002D770E" w:rsidP="002D770E">
      <w:pPr>
        <w:autoSpaceDE w:val="0"/>
        <w:autoSpaceDN w:val="0"/>
        <w:adjustRightInd w:val="0"/>
        <w:spacing w:after="0" w:line="240" w:lineRule="auto"/>
        <w:jc w:val="both"/>
        <w:rPr>
          <w:rFonts w:ascii="Arial" w:eastAsia="Times New Roman" w:hAnsi="Arial" w:cs="Arial"/>
          <w:sz w:val="24"/>
          <w:szCs w:val="24"/>
        </w:rPr>
      </w:pPr>
      <w:r w:rsidRPr="00056116">
        <w:rPr>
          <w:rFonts w:ascii="Arial" w:eastAsia="Times New Roman" w:hAnsi="Arial" w:cs="Arial"/>
          <w:sz w:val="24"/>
          <w:szCs w:val="24"/>
        </w:rPr>
        <w:t>During the fourth round</w:t>
      </w:r>
      <w:r>
        <w:rPr>
          <w:rFonts w:ascii="Arial" w:eastAsia="Times New Roman" w:hAnsi="Arial" w:cs="Arial"/>
          <w:sz w:val="24"/>
          <w:szCs w:val="24"/>
        </w:rPr>
        <w:t xml:space="preserve"> in Solo</w:t>
      </w:r>
      <w:r w:rsidRPr="00056116">
        <w:rPr>
          <w:rFonts w:ascii="Arial" w:eastAsia="Times New Roman" w:hAnsi="Arial" w:cs="Arial"/>
          <w:sz w:val="24"/>
          <w:szCs w:val="24"/>
        </w:rPr>
        <w:t>, Indonesia presented its updated ISPO certification scheme.</w:t>
      </w:r>
    </w:p>
    <w:p w:rsidR="002D770E" w:rsidRDefault="002D770E">
      <w:pPr>
        <w:spacing w:after="0" w:line="240" w:lineRule="auto"/>
        <w:jc w:val="both"/>
        <w:rPr>
          <w:rStyle w:val="Aucun"/>
          <w:rFonts w:ascii="Arial" w:hAnsi="Arial"/>
          <w:b/>
          <w:bCs/>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Recast of the Renewable Energy Directive</w:t>
      </w:r>
    </w:p>
    <w:p w:rsidR="000F00BD" w:rsidRDefault="000F00BD">
      <w:pPr>
        <w:spacing w:after="0" w:line="240" w:lineRule="auto"/>
        <w:jc w:val="both"/>
        <w:rPr>
          <w:rStyle w:val="Aucun"/>
          <w:rFonts w:ascii="Arial" w:eastAsia="Arial" w:hAnsi="Arial" w:cs="Arial"/>
          <w:b/>
          <w:bCs/>
          <w:sz w:val="24"/>
          <w:szCs w:val="24"/>
        </w:rPr>
      </w:pPr>
    </w:p>
    <w:p w:rsidR="000F00BD" w:rsidRDefault="00783A3A">
      <w:pPr>
        <w:jc w:val="both"/>
        <w:rPr>
          <w:rStyle w:val="Aucun"/>
          <w:rFonts w:ascii="Arial" w:eastAsia="Arial" w:hAnsi="Arial" w:cs="Arial"/>
          <w:sz w:val="24"/>
          <w:szCs w:val="24"/>
        </w:rPr>
      </w:pPr>
      <w:r>
        <w:rPr>
          <w:rStyle w:val="Aucun"/>
          <w:rFonts w:ascii="Arial" w:hAnsi="Arial"/>
          <w:sz w:val="24"/>
          <w:szCs w:val="24"/>
        </w:rPr>
        <w:t>The Renewable Energy Directive establishes an overall policy for the production and promotion of energy from renewable sources in the EU. It requires the EU to fulfil at least 20% of its total energy needs with renewables by 2020 – to be achieved through the attainment of individual national targets. All EU countries must also ensure that at least 10% of their transport fuels come from renewable sources by 2020.</w:t>
      </w:r>
    </w:p>
    <w:p w:rsidR="000F00BD" w:rsidRDefault="00783A3A">
      <w:pPr>
        <w:jc w:val="both"/>
        <w:rPr>
          <w:rStyle w:val="Aucun"/>
          <w:rFonts w:ascii="Arial" w:eastAsia="Arial" w:hAnsi="Arial" w:cs="Arial"/>
          <w:sz w:val="24"/>
          <w:szCs w:val="24"/>
        </w:rPr>
      </w:pPr>
      <w:r>
        <w:rPr>
          <w:rStyle w:val="Aucun"/>
          <w:rFonts w:ascii="Arial" w:hAnsi="Arial"/>
          <w:sz w:val="24"/>
          <w:szCs w:val="24"/>
        </w:rPr>
        <w:t>On 30 November 2016, the Commission tabled a proposal for a revised Renewable Energy Directive (REDII) to make the EU a global leader in renewable energy and ensure that the target of at least 27% renewables in the final energy consumption in the EU by 2030 is met.</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Commission has proposed as part of the new Renewable Energy Directive to introduce after 2020 an incorporation obligation requiring fuel suppliers to sell a gradually increasing share of renewable and low-emission fuels, including advanced biofuels and renewable electricity but not conventional biofuels. The obligation would further include a specific sub-quota for advanced biofuels. Advanced biofuels are </w:t>
      </w:r>
      <w:r>
        <w:rPr>
          <w:rStyle w:val="Aucun"/>
          <w:rFonts w:ascii="Arial" w:hAnsi="Arial"/>
          <w:sz w:val="24"/>
          <w:szCs w:val="24"/>
        </w:rPr>
        <w:lastRenderedPageBreak/>
        <w:t>defined as all biofuels that are produced based on a positive list of feedstocks (mostly lignocellulosic material, wastes and residues).</w:t>
      </w:r>
    </w:p>
    <w:p w:rsidR="000F00BD" w:rsidRDefault="00783A3A">
      <w:pPr>
        <w:jc w:val="both"/>
        <w:rPr>
          <w:rStyle w:val="Aucun"/>
          <w:rFonts w:ascii="Arial" w:eastAsia="Arial" w:hAnsi="Arial" w:cs="Arial"/>
          <w:sz w:val="24"/>
          <w:szCs w:val="24"/>
        </w:rPr>
      </w:pPr>
      <w:r>
        <w:rPr>
          <w:rStyle w:val="Aucun"/>
          <w:rFonts w:ascii="Arial" w:hAnsi="Arial"/>
          <w:sz w:val="24"/>
          <w:szCs w:val="24"/>
        </w:rPr>
        <w:t>The exclusion of conventional biofuels reflects the growing evidence that conventional biofuels do not contribute towards achieving greenhouse gas emission savings due to the issue of indirect land use change (ILUC). Biodiesel produced from palm oil is likely to cause ILUC and causes particularly high emissions. ILUC occurs when the cultivation of crops for biofuels displaces traditional production of crops for food and feed purposes. This additional demand increases the pressure on land and can lead to the extension of agricultural land into sensitive areas such as forests, wetlands and peat land causing massive greenhouse gas emissions eliminating the direct emission savings of crop-based biofuels. While a high degree of uncertainty about the degree of the risk of ILUC emissions remains there is growing evidence that in particular the drainage of peatland to produce palm oil cause substantial greenhouse gas emission due to the oxidisation of the soil. The latest study conducted on behalf of the Commission estimated that the ILUC emissions alone (excluding emissions related to the production of the diesel itself) are more than double than any potential savings gain by replacing fossil fuel.</w:t>
      </w:r>
    </w:p>
    <w:p w:rsidR="000F00BD" w:rsidRDefault="00783A3A">
      <w:pPr>
        <w:jc w:val="both"/>
        <w:rPr>
          <w:rStyle w:val="Aucun"/>
          <w:rFonts w:ascii="Arial" w:eastAsia="Arial" w:hAnsi="Arial" w:cs="Arial"/>
          <w:sz w:val="24"/>
          <w:szCs w:val="24"/>
        </w:rPr>
      </w:pPr>
      <w:r>
        <w:rPr>
          <w:rStyle w:val="Aucun"/>
          <w:rFonts w:ascii="Arial" w:hAnsi="Arial"/>
          <w:sz w:val="24"/>
          <w:szCs w:val="24"/>
        </w:rPr>
        <w:t>Against this background the Commission further proposed that the share of crop-based biofuels that could account towards the EU renewable energy target would gradually decrease to 3.8% in 2030. Member States would be able to set a lower cap based and to distinguish between differ types of biofuel based on ILUC. The proposal does not establish a differentiation between palm oil and other vegetable oils.</w:t>
      </w:r>
    </w:p>
    <w:p w:rsidR="000F00BD" w:rsidRDefault="00783A3A">
      <w:pPr>
        <w:jc w:val="both"/>
        <w:rPr>
          <w:rStyle w:val="Aucun"/>
          <w:rFonts w:ascii="Arial" w:eastAsia="Arial" w:hAnsi="Arial" w:cs="Arial"/>
          <w:sz w:val="24"/>
          <w:szCs w:val="24"/>
        </w:rPr>
      </w:pPr>
      <w:r>
        <w:rPr>
          <w:rStyle w:val="Aucun"/>
          <w:rFonts w:ascii="Arial" w:hAnsi="Arial"/>
          <w:sz w:val="24"/>
          <w:szCs w:val="24"/>
        </w:rPr>
        <w:t>On 17 January, the EP adopted its initial position on the recast of the EU Renewable Energy Directive (RED II). With regard to provisions on biofuels and bioliquids produced from food or feed crops, the EP position includes the proposal for a total exclusion of biofuels and bioliquids produced from palm oil from being able to qualify towards the EU renewable energy target as of 2021.</w:t>
      </w:r>
    </w:p>
    <w:p w:rsidR="000F00BD" w:rsidRDefault="00783A3A">
      <w:pPr>
        <w:jc w:val="both"/>
        <w:rPr>
          <w:rStyle w:val="Aucun"/>
          <w:rFonts w:ascii="Arial" w:eastAsia="Arial" w:hAnsi="Arial" w:cs="Arial"/>
          <w:sz w:val="24"/>
          <w:szCs w:val="24"/>
        </w:rPr>
      </w:pPr>
      <w:r>
        <w:rPr>
          <w:rStyle w:val="Aucun"/>
          <w:rFonts w:ascii="Arial" w:hAnsi="Arial"/>
          <w:sz w:val="24"/>
          <w:szCs w:val="24"/>
        </w:rPr>
        <w:t>The first trilogue took place on 27 February, and the next one is scheduled for 27 March. During the first trilogue, the ENVI rapporteur stressed the broad support in the EP for phasing out palm oil from biofuels to be accounted against renewable energy targets. The Council recalled its position on 1st generation biofuels (7% cap) and stressed concerns on WTO-compatibility of the EP's position on phasing out palm oil. The Commission indicated that it was examining WTO consistency of the proposed amendment on palm oil.</w:t>
      </w: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EP Resolution on palm oil and deforestation</w:t>
      </w:r>
    </w:p>
    <w:p w:rsidR="000F00BD" w:rsidRDefault="000F00BD">
      <w:pPr>
        <w:spacing w:after="0" w:line="240" w:lineRule="auto"/>
        <w:jc w:val="both"/>
        <w:rPr>
          <w:rStyle w:val="Aucun"/>
          <w:rFonts w:ascii="Arial" w:eastAsia="Arial" w:hAnsi="Arial" w:cs="Arial"/>
          <w:sz w:val="24"/>
          <w:szCs w:val="24"/>
        </w:rPr>
      </w:pP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European Parliament resolution on palm oil and deforestation of rainforests was adopted on 4 April 2017. The resolution reflects the EP critical approach to palm oil, focusing on the detrimental aspects of palm oil production on the environment and human rights in producer countries. </w:t>
      </w:r>
    </w:p>
    <w:p w:rsidR="000F00BD" w:rsidRDefault="00783A3A">
      <w:pPr>
        <w:jc w:val="both"/>
        <w:rPr>
          <w:rStyle w:val="Aucun"/>
          <w:rFonts w:ascii="Arial" w:eastAsia="Arial" w:hAnsi="Arial" w:cs="Arial"/>
          <w:sz w:val="24"/>
          <w:szCs w:val="24"/>
        </w:rPr>
      </w:pPr>
      <w:r>
        <w:rPr>
          <w:rStyle w:val="Aucun"/>
          <w:rFonts w:ascii="Arial" w:hAnsi="Arial"/>
          <w:sz w:val="24"/>
          <w:szCs w:val="24"/>
        </w:rPr>
        <w:t>The resolution calls on the Commission to adopt a wide range of measures to address deforestation linked to oil palm cultivation, in particular by:</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lastRenderedPageBreak/>
        <w:t>establishing a single certification scheme and minimum sustainability criteria,</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phasing out the use of palm oil in biofuels,</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addressing the issue of palm oil and related deforestation through FTAs, as well as through its development cooperation policy,</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developing an EU action plan against deforestation, as well as an EU action plan on palm oil,</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providing better information on palm oil sustainable origin through the labelling of products containing palm oil,</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increasing transparency in supply chains.</w:t>
      </w:r>
    </w:p>
    <w:p w:rsidR="000F00BD" w:rsidRDefault="000F00BD">
      <w:pPr>
        <w:spacing w:after="0" w:line="240" w:lineRule="auto"/>
        <w:jc w:val="both"/>
        <w:rPr>
          <w:rStyle w:val="Aucun"/>
          <w:rFonts w:ascii="Arial" w:eastAsia="Arial" w:hAnsi="Arial" w:cs="Arial"/>
          <w:sz w:val="24"/>
          <w:szCs w:val="24"/>
        </w:rPr>
      </w:pP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Commission officially released on 7 September its response to the EP resolution, in particular concerning the several calls for action addressed to the Commission in the report. </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resolution is not part of a legislative initiative. Therefore, while it has political value in expressing the orientation of the EP on the issues of deforestation/palm oil, the report will not in itself create binding rules. </w:t>
      </w:r>
    </w:p>
    <w:p w:rsidR="000F00BD" w:rsidRDefault="00783A3A">
      <w:pPr>
        <w:spacing w:before="100" w:after="0" w:line="240" w:lineRule="auto"/>
        <w:rPr>
          <w:rStyle w:val="Aucun"/>
        </w:rPr>
      </w:pPr>
      <w:r>
        <w:rPr>
          <w:rStyle w:val="Aucun"/>
          <w:rFonts w:ascii="Arial" w:hAnsi="Arial"/>
          <w:b/>
          <w:bCs/>
          <w:sz w:val="24"/>
          <w:szCs w:val="24"/>
        </w:rPr>
        <w:t>Studies by DG ENV on deforestation and palm oil</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DG ENV released a few days ago </w:t>
      </w:r>
      <w:r>
        <w:rPr>
          <w:rStyle w:val="Aucun"/>
          <w:rFonts w:ascii="Arial" w:hAnsi="Arial"/>
          <w:i/>
          <w:iCs/>
          <w:sz w:val="24"/>
          <w:szCs w:val="24"/>
          <w:shd w:val="clear" w:color="auto" w:fill="FFFF00"/>
        </w:rPr>
        <w:t>[publication date still to be confirmed]</w:t>
      </w:r>
      <w:r>
        <w:rPr>
          <w:rStyle w:val="Aucun"/>
          <w:rFonts w:ascii="Arial" w:hAnsi="Arial"/>
          <w:i/>
          <w:iCs/>
          <w:sz w:val="24"/>
          <w:szCs w:val="24"/>
        </w:rPr>
        <w:t xml:space="preserve"> </w:t>
      </w:r>
      <w:r>
        <w:rPr>
          <w:rStyle w:val="Aucun"/>
          <w:rFonts w:ascii="Arial" w:hAnsi="Arial"/>
          <w:sz w:val="24"/>
          <w:szCs w:val="24"/>
        </w:rPr>
        <w:t>a study as a follow-up to the 7</w:t>
      </w:r>
      <w:r>
        <w:rPr>
          <w:rStyle w:val="Aucun"/>
          <w:rFonts w:ascii="Arial" w:hAnsi="Arial"/>
          <w:sz w:val="24"/>
          <w:szCs w:val="24"/>
          <w:vertAlign w:val="superscript"/>
        </w:rPr>
        <w:t>th</w:t>
      </w:r>
      <w:r>
        <w:rPr>
          <w:rStyle w:val="Aucun"/>
          <w:rFonts w:ascii="Arial" w:hAnsi="Arial"/>
          <w:sz w:val="24"/>
          <w:szCs w:val="24"/>
        </w:rPr>
        <w:t xml:space="preserve"> EU Environment Action Programme and the 2013 study assessing the impact of EU consumption on deforestation in third countries. This study considers in particular the feasibility of options to step up EU action to combat deforestation and forest degradation. Its preliminary findings were presented to a stakeholder consultation last June, during which Indonesia was invited to present its policy and efforts to ensure sustainable palm oil production. This study is an important element underpinning a potential new EU initiative on deforestation (possibly a Communication to be adopted by May).</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DG ENV also released a few days ago </w:t>
      </w:r>
      <w:r>
        <w:rPr>
          <w:rStyle w:val="Aucun"/>
          <w:rFonts w:ascii="Arial" w:hAnsi="Arial"/>
          <w:i/>
          <w:iCs/>
          <w:sz w:val="24"/>
          <w:szCs w:val="24"/>
          <w:shd w:val="clear" w:color="auto" w:fill="FFFF00"/>
        </w:rPr>
        <w:t>[publication date still to be confirmed</w:t>
      </w:r>
      <w:r>
        <w:rPr>
          <w:rStyle w:val="Aucun"/>
          <w:rFonts w:ascii="Arial" w:hAnsi="Arial"/>
          <w:sz w:val="24"/>
          <w:szCs w:val="24"/>
        </w:rPr>
        <w:t xml:space="preserve"> a study on the environmental impacts of palm oil production, and on certification schemes and legislation in place in producer countries. The preliminary results of the study were presented to an expert workshop on 2 October in Brussels, in which Malaysia participated. The study aims among other things at comparing the performances of the main four palm oil certification schemes in terms of verification, accreditation, supply chain certification and transparency. The draft study reports overall ranks MSPO third after RSPO (Round Table for Sustainable Palm Oil) and ISCC (International Sustainability and Carbon Certification), though MSPO comes before ISPO, the national Indonesian scheme, ranked as the less robust.</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 xml:space="preserve">Palm oil and EU Ecolabel criteria </w:t>
      </w:r>
    </w:p>
    <w:p w:rsidR="000F00BD" w:rsidRDefault="000F00BD">
      <w:pPr>
        <w:spacing w:after="0" w:line="240" w:lineRule="auto"/>
        <w:jc w:val="both"/>
        <w:rPr>
          <w:rStyle w:val="Aucun"/>
          <w:rFonts w:ascii="Arial" w:eastAsia="Arial" w:hAnsi="Arial" w:cs="Arial"/>
          <w:sz w:val="24"/>
          <w:szCs w:val="24"/>
          <w:shd w:val="clear" w:color="auto" w:fill="FFFF00"/>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The EU adopted in 2014 EU Ecolabel criteria for </w:t>
      </w:r>
      <w:r>
        <w:rPr>
          <w:rStyle w:val="Aucun"/>
          <w:rFonts w:ascii="Arial" w:hAnsi="Arial"/>
          <w:sz w:val="24"/>
          <w:szCs w:val="24"/>
          <w:u w:val="single"/>
        </w:rPr>
        <w:t>rinse-off cosmetics</w:t>
      </w:r>
      <w:r>
        <w:rPr>
          <w:rStyle w:val="Aucun"/>
          <w:rFonts w:ascii="Arial" w:hAnsi="Arial"/>
          <w:sz w:val="24"/>
          <w:szCs w:val="24"/>
        </w:rPr>
        <w:t xml:space="preserve"> requiring palm oil, palm kernel oil and their derivatives used in products to be sourced from plantations that meet criteria for sustainable management that have been developed by multi-stakeholder organisations that have a broad-based membership including NGOs, industry and government.</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Updated </w:t>
      </w:r>
      <w:r>
        <w:rPr>
          <w:rStyle w:val="Aucun"/>
          <w:rFonts w:ascii="Arial" w:hAnsi="Arial"/>
          <w:sz w:val="24"/>
          <w:szCs w:val="24"/>
          <w:u w:val="single"/>
        </w:rPr>
        <w:t>detergents</w:t>
      </w:r>
      <w:r>
        <w:rPr>
          <w:rStyle w:val="Aucun"/>
          <w:rFonts w:ascii="Arial" w:hAnsi="Arial"/>
          <w:sz w:val="24"/>
          <w:szCs w:val="24"/>
        </w:rPr>
        <w:t xml:space="preserve"> criteria were also recently adopted, whereby similar sustainability requirements are set regarding palm oil. Applicants are in particular requested to provide evidence through third-party certificates and chain of custody </w:t>
      </w:r>
      <w:r>
        <w:rPr>
          <w:rStyle w:val="Aucun"/>
          <w:rFonts w:ascii="Arial" w:hAnsi="Arial"/>
          <w:sz w:val="24"/>
          <w:szCs w:val="24"/>
        </w:rPr>
        <w:lastRenderedPageBreak/>
        <w:t>that palm oil originates from sustainably managed plantations. RSPO is considered eligible under these criteria, as well as "any equivalent or stricter sustainable production scheme".</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Palm oil and environmental impacts</w:t>
      </w:r>
    </w:p>
    <w:p w:rsidR="000F00BD" w:rsidRDefault="000F00BD">
      <w:pPr>
        <w:spacing w:after="0" w:line="240" w:lineRule="auto"/>
        <w:jc w:val="both"/>
        <w:rPr>
          <w:rStyle w:val="Aucun"/>
          <w:rFonts w:ascii="Arial" w:eastAsia="Arial" w:hAnsi="Arial" w:cs="Arial"/>
          <w:b/>
          <w:bCs/>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sz w:val="24"/>
          <w:szCs w:val="24"/>
        </w:rPr>
        <w:t>Palm oil is produced from the pulp of the fruit of the Elaeis palm that grows in tropical climates – Southeast Asia, West Africa, Latin America. The oil palm offers exceptional oil yields of 3.8 tonnes per hectare (t/ha) as a global average, nearly 6 t/ha in the best plantations in Southeast Asia and more than 10 t/ha in the highest yielding genetic trials currently underway in research institutes. These are striking figures (and largely contribute to explaining the success of the oil palm as an agricultural commodity of world interest) when compared to the less than 1 t/ha for rapeseed, sunflower, groundnut and soybean. As a consequence, although it occupies 7% of agricultural land devoted to oil producing plants, the oil palm provides 39% of world production of vegetable oil on a much lower proportion of this land than that devoted to soybean (61%), rapeseed (18%) and sunflower (14%).</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While it cannot be denied that the socio-economic impact of palm oil expansion has been positive, it is equally true that its environmental impact has been disastrous. In fact, the biological requirements of oil palm mean its distribution is limited to the tropics, and it is thus forced to share some of the planet's biodiversity hotspots, namely the Congo Basin, the Amazon and Borneo. One of the biggest environmental problems is deforestation, which is mainly driven by agricultural expansion. </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The conversion of peatlands causes huge emissions of carbon dioxide and the loss of fragile ecosystems. The highest proportion of tropical peatland is found in Southeast Asia, where they cover an area of 24.8 million hectares (over 20 million hectares are in Indonesia alone, mainly in Kalimantan, Sumatra and Papua). The drainage of peatlands in Southeast Asia is emitting some 400 million tonnes of carbon dioxide per year (equivalent to the entire emission of a country like Venezuela). Currently, the palm oil and paper industries are fuelling rapid agricultural development in both Indonesia and Malaysia.</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Peatland and forest fires are also the main source of transboundary smoke haze which is recognised as one of the most serious environmental challenges in the ASEAN region, resulting in serious health risks and causing economic losses. Studies have shown that the peat drainage needed for the development of oil palm and Acacia plantations contributed significantly to fire and smoke problems in Indonesia. This smoke includes PM2.5 particles and gases from fires also contribute to low</w:t>
      </w:r>
      <w:r>
        <w:rPr>
          <w:rStyle w:val="Aucun"/>
          <w:rFonts w:ascii="Cambria Math" w:eastAsia="Cambria Math" w:hAnsi="Cambria Math" w:cs="Cambria Math"/>
          <w:sz w:val="24"/>
          <w:szCs w:val="24"/>
        </w:rPr>
        <w:t>‐</w:t>
      </w:r>
      <w:r>
        <w:rPr>
          <w:rStyle w:val="Aucun"/>
          <w:rFonts w:ascii="Arial" w:hAnsi="Arial"/>
          <w:sz w:val="24"/>
          <w:szCs w:val="24"/>
        </w:rPr>
        <w:t>level ozone formation. Modelling attributes an average of 110,000 deaths a year in the region to these fires, primarily associated with long-term seasonal exposure to smoke particles. The Indonesian National Disaster Mitigation Agency (BNPB) estimated in $35bn the cost to the country for the forest fires in 2015, particularly serious because of El Niño and associated dry conditions. The haze generated choked the region for months, causing tension within ASEAN, in particular with Singapore and Malaysia.</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Deforestation trends: why should we focus on tropical deforestation?</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In 2015 forests covered approximately 4 billion hectares, or 30 % of the earth’s land surface, down from 4.13 billion hectares in 1990 (FAO, 2015a). According to the Global Forest Resources Assessment 2015 (FAO, 2015a), the global forest area fell </w:t>
      </w:r>
      <w:r>
        <w:rPr>
          <w:rStyle w:val="Aucun"/>
          <w:rFonts w:ascii="Arial" w:hAnsi="Arial"/>
          <w:sz w:val="24"/>
          <w:szCs w:val="24"/>
        </w:rPr>
        <w:lastRenderedPageBreak/>
        <w:t>by 129 million hectares (Mha) (3.1 %) in the period 1990–2015 (net loss), though between 1990 and 2008, 239 Mha of forest were cleared worldwide (gross loss) (FAO, 2015a). While the rate of gross deforestation has decreased in recent years – from 16 million hectares per year in the 1990s to 13 million hectares per year from 2000-2010 (FAO, 2010) falling to 7.6 Mha in the last five year period from 2010-2015 (FAO, 2015a) – it is still alarmingly high. In percentages, this corresponds to a loss of 0.18 % in the 1990s, 0.13 % from 2000-2010 and 0.08 % from 2010-2015 (FAO, 2015a).</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i/>
          <w:iCs/>
          <w:sz w:val="24"/>
          <w:szCs w:val="24"/>
        </w:rPr>
      </w:pPr>
      <w:r>
        <w:rPr>
          <w:rStyle w:val="Aucun"/>
          <w:rFonts w:ascii="Arial" w:hAnsi="Arial"/>
          <w:i/>
          <w:iCs/>
          <w:sz w:val="24"/>
          <w:szCs w:val="24"/>
        </w:rPr>
        <w:t>The decade from 2000-2010</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On a regional basis, South America has suffered the largest loss (about 4 Mha per year) of forests in the decade through 2010, followed by Africa with a loss of some 3.4 Mha, while Oceania reported about 0.7 Mha of losses, mainly due to losses in Australia (FAO, 2010). North and Central America’s forest area remained roughly constant, while Europe’s increased by about 0.7 Mha. Within regions, the afforestation seen in Asia as a whole (about 2.2 Mha net increase in forest area) in the period 2000-2010 (FAO, 2010) somewhat hides the </w:t>
      </w:r>
      <w:r>
        <w:rPr>
          <w:rStyle w:val="Aucun"/>
          <w:rFonts w:ascii="Arial" w:hAnsi="Arial"/>
          <w:b/>
          <w:bCs/>
          <w:sz w:val="24"/>
          <w:szCs w:val="24"/>
        </w:rPr>
        <w:t xml:space="preserve">continued deforestation in Southeast Asia </w:t>
      </w:r>
      <w:r>
        <w:rPr>
          <w:rStyle w:val="Aucun"/>
          <w:rFonts w:ascii="Arial" w:hAnsi="Arial"/>
          <w:sz w:val="24"/>
          <w:szCs w:val="24"/>
        </w:rPr>
        <w:t xml:space="preserve">(about 8 Mha total from 1990-2010 in the Greater Mekong Region) (FAO, 2015b). Similarly, the </w:t>
      </w:r>
      <w:r>
        <w:rPr>
          <w:rStyle w:val="Aucun"/>
          <w:rFonts w:ascii="Arial" w:hAnsi="Arial"/>
          <w:b/>
          <w:bCs/>
          <w:sz w:val="24"/>
          <w:szCs w:val="24"/>
        </w:rPr>
        <w:t>afforestation in Europe</w:t>
      </w:r>
      <w:r>
        <w:rPr>
          <w:rStyle w:val="Aucun"/>
          <w:rFonts w:ascii="Arial" w:hAnsi="Arial"/>
          <w:sz w:val="24"/>
          <w:szCs w:val="24"/>
        </w:rPr>
        <w:t xml:space="preserve"> and North America means that at the global level net deforestation becomes lower than the gross deforestation found in Latin America and Africa.</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i/>
          <w:iCs/>
          <w:sz w:val="24"/>
          <w:szCs w:val="24"/>
        </w:rPr>
      </w:pPr>
      <w:r>
        <w:rPr>
          <w:rStyle w:val="Aucun"/>
          <w:rFonts w:ascii="Arial" w:hAnsi="Arial"/>
          <w:i/>
          <w:iCs/>
          <w:sz w:val="24"/>
          <w:szCs w:val="24"/>
        </w:rPr>
        <w:t>The past five years (2010-2015)</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In the past five years, South America has lost about 2.0 Mha of forest annually (net loss), though the loss of natural forests has been somewhat higher at 2.2 Mha; both figures lower than in the previous decade. Deforestation per year is also down in Africa, which has lost about 2.8 Mha annually (with a natural forest loss of 3.1 Mha annually). </w:t>
      </w:r>
      <w:r>
        <w:rPr>
          <w:rStyle w:val="Aucun"/>
          <w:rFonts w:ascii="Arial" w:hAnsi="Arial"/>
          <w:b/>
          <w:bCs/>
          <w:sz w:val="24"/>
          <w:szCs w:val="24"/>
        </w:rPr>
        <w:t>Asia has seen the forest area expand by 0.8 Mha annually, but has lost about 1.0 Mha annually of natural forest</w:t>
      </w:r>
      <w:r>
        <w:rPr>
          <w:rStyle w:val="Aucun"/>
          <w:rFonts w:ascii="Arial" w:hAnsi="Arial"/>
          <w:sz w:val="24"/>
          <w:szCs w:val="24"/>
        </w:rPr>
        <w:t xml:space="preserve">. </w:t>
      </w:r>
      <w:r>
        <w:rPr>
          <w:rStyle w:val="Aucun"/>
          <w:rFonts w:ascii="Arial" w:hAnsi="Arial"/>
          <w:b/>
          <w:bCs/>
          <w:sz w:val="24"/>
          <w:szCs w:val="24"/>
        </w:rPr>
        <w:t>Europe has gained about 0.4 Mha of forest annually</w:t>
      </w:r>
      <w:r>
        <w:rPr>
          <w:rStyle w:val="Aucun"/>
          <w:rFonts w:ascii="Arial" w:hAnsi="Arial"/>
          <w:sz w:val="24"/>
          <w:szCs w:val="24"/>
        </w:rPr>
        <w:t xml:space="preserve">, while North and Central America has seen the forest area expand by 0.1 Mha, however, natural forest area has declined by 0.4 Mha annually. Oceania has gained about 0.3 Mha annually, an increase due to the expansion of natural forest area by 0.3 Mha annually. All numbers above are cited from FAO (2015a). </w:t>
      </w:r>
    </w:p>
    <w:p w:rsidR="000F00BD" w:rsidRDefault="00783A3A">
      <w:pPr>
        <w:spacing w:after="0" w:line="240" w:lineRule="auto"/>
        <w:jc w:val="both"/>
      </w:pPr>
      <w:r>
        <w:rPr>
          <w:rStyle w:val="Aucun"/>
          <w:rFonts w:ascii="Arial Unicode MS" w:eastAsia="Arial Unicode MS" w:hAnsi="Arial Unicode MS" w:cs="Arial Unicode MS"/>
          <w:sz w:val="24"/>
          <w:szCs w:val="24"/>
        </w:rPr>
        <w:br w:type="page"/>
      </w:r>
    </w:p>
    <w:p w:rsidR="000F00BD" w:rsidRDefault="00783A3A">
      <w:pPr>
        <w:spacing w:after="0" w:line="240" w:lineRule="auto"/>
        <w:jc w:val="both"/>
        <w:rPr>
          <w:rStyle w:val="Aucun"/>
          <w:rFonts w:ascii="Arial" w:eastAsia="Arial" w:hAnsi="Arial" w:cs="Arial"/>
          <w:b/>
          <w:bCs/>
          <w:sz w:val="28"/>
          <w:szCs w:val="28"/>
        </w:rPr>
      </w:pPr>
      <w:r>
        <w:rPr>
          <w:rStyle w:val="Aucun"/>
          <w:rFonts w:ascii="Arial" w:hAnsi="Arial"/>
          <w:b/>
          <w:bCs/>
          <w:sz w:val="28"/>
          <w:szCs w:val="28"/>
          <w:u w:val="single"/>
        </w:rPr>
        <w:lastRenderedPageBreak/>
        <w:t>Annex:</w:t>
      </w:r>
      <w:r>
        <w:rPr>
          <w:rStyle w:val="Aucun"/>
          <w:rFonts w:ascii="Arial" w:hAnsi="Arial"/>
          <w:b/>
          <w:bCs/>
          <w:sz w:val="28"/>
          <w:szCs w:val="28"/>
        </w:rPr>
        <w:t xml:space="preserve"> extracts from DG ENV palm oil study</w:t>
      </w:r>
    </w:p>
    <w:p w:rsidR="000F00BD" w:rsidRDefault="000F00BD">
      <w:pPr>
        <w:spacing w:after="0" w:line="240" w:lineRule="auto"/>
        <w:jc w:val="both"/>
        <w:rPr>
          <w:rStyle w:val="Aucun"/>
          <w:rFonts w:ascii="Arial" w:eastAsia="Arial" w:hAnsi="Arial" w:cs="Arial"/>
          <w:sz w:val="24"/>
          <w:szCs w:val="24"/>
        </w:rPr>
      </w:pPr>
    </w:p>
    <w:p w:rsidR="000F00BD" w:rsidRDefault="000F00BD">
      <w:pPr>
        <w:pStyle w:val="Heading4"/>
        <w:tabs>
          <w:tab w:val="left" w:pos="480"/>
        </w:tabs>
        <w:ind w:left="7100" w:hanging="7100"/>
        <w:rPr>
          <w:rStyle w:val="Aucun"/>
          <w:rFonts w:ascii="Verdana" w:eastAsia="Verdana" w:hAnsi="Verdana" w:cs="Verdana"/>
          <w:b/>
          <w:bCs/>
          <w:sz w:val="22"/>
          <w:szCs w:val="22"/>
        </w:rPr>
      </w:pPr>
    </w:p>
    <w:p w:rsidR="000F00BD" w:rsidRDefault="00783A3A">
      <w:pPr>
        <w:pStyle w:val="Heading4"/>
        <w:tabs>
          <w:tab w:val="left" w:pos="480"/>
        </w:tabs>
        <w:ind w:left="7100" w:hanging="7100"/>
        <w:rPr>
          <w:rStyle w:val="Aucun"/>
          <w:rFonts w:ascii="Verdana" w:eastAsia="Verdana" w:hAnsi="Verdana" w:cs="Verdana"/>
          <w:b/>
          <w:bCs/>
          <w:sz w:val="22"/>
          <w:szCs w:val="22"/>
        </w:rPr>
      </w:pPr>
      <w:r>
        <w:rPr>
          <w:rStyle w:val="Aucun"/>
          <w:rFonts w:ascii="Verdana" w:hAnsi="Verdana"/>
          <w:b/>
          <w:bCs/>
          <w:sz w:val="22"/>
          <w:szCs w:val="22"/>
        </w:rPr>
        <w:t>Indonesia: attempts to upgrade sustainability policy</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The Indonesian government is committed to tackling climate change and environmental degradation as well as ensuring that the development of oil palm plantations is socially equitable and contributes to poverty reduction.  </w:t>
      </w:r>
    </w:p>
    <w:p w:rsidR="000F00BD" w:rsidRDefault="00783A3A">
      <w:pPr>
        <w:rPr>
          <w:rStyle w:val="Aucun"/>
          <w:rFonts w:ascii="Verdana" w:eastAsia="Verdana" w:hAnsi="Verdana" w:cs="Verdana"/>
          <w:sz w:val="20"/>
          <w:szCs w:val="20"/>
        </w:rPr>
      </w:pPr>
      <w:r>
        <w:rPr>
          <w:rStyle w:val="Aucun"/>
          <w:rFonts w:ascii="Verdana" w:hAnsi="Verdana"/>
          <w:sz w:val="20"/>
          <w:szCs w:val="20"/>
        </w:rPr>
        <w:t>To achieve these goals, Indonesia has introduced a large number of regulations governing the establishment and running of oil palm plantations. These are in addition to broader legislation, such as the PROPER</w:t>
      </w:r>
      <w:r>
        <w:rPr>
          <w:rStyle w:val="Aucun"/>
          <w:rFonts w:ascii="Verdana" w:eastAsia="Verdana" w:hAnsi="Verdana" w:cs="Verdana"/>
          <w:sz w:val="20"/>
          <w:szCs w:val="20"/>
          <w:vertAlign w:val="superscript"/>
        </w:rPr>
        <w:footnoteReference w:id="2"/>
      </w:r>
      <w:r>
        <w:rPr>
          <w:rStyle w:val="Aucun"/>
          <w:rFonts w:ascii="Verdana" w:hAnsi="Verdana"/>
          <w:sz w:val="20"/>
          <w:szCs w:val="20"/>
        </w:rPr>
        <w:t xml:space="preserve"> system, which also applies to the oil palm sector. </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There is detailed legislation regarding </w:t>
      </w:r>
      <w:r>
        <w:rPr>
          <w:rStyle w:val="Aucun"/>
          <w:rFonts w:ascii="Verdana" w:hAnsi="Verdana"/>
          <w:b/>
          <w:bCs/>
          <w:sz w:val="20"/>
          <w:szCs w:val="20"/>
        </w:rPr>
        <w:t>licensing for land</w:t>
      </w:r>
      <w:r>
        <w:rPr>
          <w:rStyle w:val="Aucun"/>
          <w:rFonts w:ascii="Verdana" w:hAnsi="Verdana"/>
          <w:sz w:val="20"/>
          <w:szCs w:val="20"/>
        </w:rPr>
        <w:t xml:space="preserve"> </w:t>
      </w:r>
      <w:r>
        <w:rPr>
          <w:rStyle w:val="Aucun"/>
          <w:rFonts w:ascii="Verdana" w:hAnsi="Verdana"/>
          <w:b/>
          <w:bCs/>
          <w:sz w:val="20"/>
          <w:szCs w:val="20"/>
        </w:rPr>
        <w:t>allocation</w:t>
      </w:r>
      <w:r>
        <w:rPr>
          <w:rStyle w:val="Aucun"/>
          <w:rFonts w:ascii="Verdana" w:hAnsi="Verdana"/>
          <w:sz w:val="20"/>
          <w:szCs w:val="20"/>
        </w:rPr>
        <w:t>. However, the complexity of the regulations, the overlap in responsibility among different ministries and the problem of decentralisation render enforcement of the legislation challenging.</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In terms of </w:t>
      </w:r>
      <w:r>
        <w:rPr>
          <w:rStyle w:val="Aucun"/>
          <w:rFonts w:ascii="Verdana" w:hAnsi="Verdana"/>
          <w:b/>
          <w:bCs/>
          <w:sz w:val="20"/>
          <w:szCs w:val="20"/>
        </w:rPr>
        <w:t>protecting indigenous rights</w:t>
      </w:r>
      <w:r>
        <w:rPr>
          <w:rStyle w:val="Aucun"/>
          <w:rFonts w:ascii="Verdana" w:hAnsi="Verdana"/>
          <w:sz w:val="20"/>
          <w:szCs w:val="20"/>
        </w:rPr>
        <w:t xml:space="preserve"> the government has introduced new laws to safeguard customary land rights, but as they stand these cannot be enforced given the issues and delays with land allocation. In addition, the attempt to support customary land rights may come at the expense of discouraging deforestation.</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To address environmental concerns and the problems created by the land allocation system, the government has introduced a </w:t>
      </w:r>
      <w:r>
        <w:rPr>
          <w:rStyle w:val="Aucun"/>
          <w:rFonts w:ascii="Verdana" w:hAnsi="Verdana"/>
          <w:b/>
          <w:bCs/>
          <w:sz w:val="20"/>
          <w:szCs w:val="20"/>
        </w:rPr>
        <w:t>moratorium and protection of peatland areas</w:t>
      </w:r>
      <w:r>
        <w:rPr>
          <w:rStyle w:val="Aucun"/>
          <w:rFonts w:ascii="Verdana" w:hAnsi="Verdana"/>
          <w:sz w:val="20"/>
          <w:szCs w:val="20"/>
        </w:rPr>
        <w:t>. However, as companies still hold land banks of concessions, which may include forest, the law is (on its own) not fully sustainable. In addition, it has proven difficult to enforce. Moreover the Indonesian Supreme Court has revoked on economic grounds Regulation (Penmerhut) No 17/2017 (adopted in April 2017) that required large plantations to vacate peat areas with a depth of more than 3 metres, or to reforest after fires.</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One area where the government has had greater success is in the </w:t>
      </w:r>
      <w:r>
        <w:rPr>
          <w:rStyle w:val="Aucun"/>
          <w:rFonts w:ascii="Verdana" w:hAnsi="Verdana"/>
          <w:b/>
          <w:bCs/>
          <w:sz w:val="20"/>
          <w:szCs w:val="20"/>
        </w:rPr>
        <w:t>legislation on haze</w:t>
      </w:r>
      <w:r>
        <w:rPr>
          <w:rStyle w:val="Aucun"/>
          <w:rFonts w:ascii="Verdana" w:hAnsi="Verdana"/>
          <w:sz w:val="20"/>
          <w:szCs w:val="20"/>
        </w:rPr>
        <w:t xml:space="preserve"> where Indonesia ratified the 2002 ASEAN Agreement on Transboundary Haze Pollution in 2014. This complemented Law No. 39/2014 on Plantations and Law No. 32/2009 on Environmental Protection and Management. However, enforcement is not yet comprehensive, since ‘hotspots’ have appeared during subsequent years during the dry season; and the mechanism could benefit from greater transparency.</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Finally, day-to-day management of plantations remains only partially regulated by the </w:t>
      </w:r>
      <w:r>
        <w:rPr>
          <w:rStyle w:val="Aucun"/>
          <w:rFonts w:ascii="Verdana" w:hAnsi="Verdana"/>
          <w:b/>
          <w:bCs/>
          <w:sz w:val="20"/>
          <w:szCs w:val="20"/>
        </w:rPr>
        <w:t>Indonesian Sustainable Palm Oil scheme,</w:t>
      </w:r>
      <w:r>
        <w:rPr>
          <w:rStyle w:val="Aucun"/>
          <w:rFonts w:ascii="Verdana" w:hAnsi="Verdana"/>
          <w:sz w:val="20"/>
          <w:szCs w:val="20"/>
        </w:rPr>
        <w:t xml:space="preserve"> which currently has limited coverage. However, there are attempts to improve the legislation. At present, issues such as the treatment of labour are covered by general Indonesian laws not ones pertaining directly to the oil palm industry.</w:t>
      </w:r>
    </w:p>
    <w:p w:rsidR="000F00BD" w:rsidRDefault="00783A3A">
      <w:pPr>
        <w:rPr>
          <w:rStyle w:val="Aucun"/>
          <w:rFonts w:ascii="Verdana" w:eastAsia="Verdana" w:hAnsi="Verdana" w:cs="Verdana"/>
          <w:sz w:val="20"/>
          <w:szCs w:val="20"/>
        </w:rPr>
      </w:pPr>
      <w:r>
        <w:rPr>
          <w:rStyle w:val="Aucun"/>
          <w:rFonts w:ascii="Verdana" w:hAnsi="Verdana"/>
          <w:sz w:val="20"/>
          <w:szCs w:val="20"/>
        </w:rPr>
        <w:t>Each of these areas is outlined in more detail below.</w:t>
      </w:r>
    </w:p>
    <w:p w:rsidR="000F00BD" w:rsidRDefault="00783A3A">
      <w:pPr>
        <w:rPr>
          <w:rStyle w:val="Aucun"/>
          <w:rFonts w:ascii="Verdana" w:eastAsia="Verdana" w:hAnsi="Verdana" w:cs="Verdana"/>
          <w:sz w:val="20"/>
          <w:szCs w:val="20"/>
        </w:rPr>
      </w:pPr>
      <w:r>
        <w:rPr>
          <w:rStyle w:val="Aucun"/>
          <w:rFonts w:ascii="Verdana" w:hAnsi="Verdana"/>
          <w:b/>
          <w:bCs/>
          <w:sz w:val="20"/>
          <w:szCs w:val="20"/>
        </w:rPr>
        <w:lastRenderedPageBreak/>
        <w:t>Licensing for land allocation</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sz w:val="20"/>
          <w:szCs w:val="20"/>
        </w:rPr>
        <w:t>The system for land allocation is highly regulated. A number of permits are required:</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i/>
          <w:iCs/>
          <w:sz w:val="20"/>
          <w:szCs w:val="20"/>
          <w:u w:val="single"/>
        </w:rPr>
        <w:t>Izin Lokasi</w:t>
      </w:r>
      <w:r>
        <w:rPr>
          <w:rStyle w:val="Aucun"/>
          <w:rFonts w:ascii="Verdana" w:hAnsi="Verdana"/>
          <w:sz w:val="20"/>
          <w:szCs w:val="20"/>
          <w:u w:val="single"/>
        </w:rPr>
        <w:t xml:space="preserve"> (Location permit)</w:t>
      </w:r>
      <w:r>
        <w:rPr>
          <w:rStyle w:val="Aucun"/>
          <w:rFonts w:ascii="Verdana" w:hAnsi="Verdana"/>
          <w:sz w:val="20"/>
          <w:szCs w:val="20"/>
        </w:rPr>
        <w:t>:</w:t>
      </w:r>
      <w:r>
        <w:rPr>
          <w:rStyle w:val="Aucun"/>
          <w:rFonts w:ascii="Verdana" w:hAnsi="Verdana"/>
          <w:b/>
          <w:bCs/>
          <w:i/>
          <w:iCs/>
          <w:sz w:val="20"/>
          <w:szCs w:val="20"/>
        </w:rPr>
        <w:t xml:space="preserve"> </w:t>
      </w:r>
      <w:r>
        <w:rPr>
          <w:rStyle w:val="Aucun"/>
          <w:rFonts w:ascii="Verdana" w:hAnsi="Verdana"/>
          <w:sz w:val="20"/>
          <w:szCs w:val="20"/>
        </w:rPr>
        <w:t xml:space="preserve">is the starting basis for all the licences. This permit is granted by the head of the district (the </w:t>
      </w:r>
      <w:r>
        <w:rPr>
          <w:rStyle w:val="Aucun"/>
          <w:rFonts w:ascii="Verdana" w:hAnsi="Verdana"/>
          <w:i/>
          <w:iCs/>
          <w:sz w:val="20"/>
          <w:szCs w:val="20"/>
        </w:rPr>
        <w:t>Bupati</w:t>
      </w:r>
      <w:r>
        <w:rPr>
          <w:rStyle w:val="Aucun"/>
          <w:rFonts w:ascii="Verdana" w:hAnsi="Verdana"/>
          <w:sz w:val="20"/>
          <w:szCs w:val="20"/>
        </w:rPr>
        <w:t xml:space="preserve">) and outlines the area of the land given to a company for business purposes. The duration of the permit varies by province, but it can be extended when it expires. </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i/>
          <w:iCs/>
          <w:sz w:val="20"/>
          <w:szCs w:val="20"/>
          <w:u w:val="single"/>
        </w:rPr>
        <w:t>AMDAL</w:t>
      </w:r>
      <w:r>
        <w:rPr>
          <w:rStyle w:val="Aucun"/>
          <w:rFonts w:ascii="Verdana" w:hAnsi="Verdana"/>
          <w:sz w:val="20"/>
          <w:szCs w:val="20"/>
          <w:u w:val="single"/>
        </w:rPr>
        <w:t xml:space="preserve"> (Environmental Impact Analysis)</w:t>
      </w:r>
      <w:r>
        <w:rPr>
          <w:rStyle w:val="Aucun"/>
          <w:rFonts w:ascii="Verdana" w:hAnsi="Verdana"/>
          <w:sz w:val="20"/>
          <w:szCs w:val="20"/>
        </w:rPr>
        <w:t>: all companies which conduct business that affects the environment must obtain an AMDAL. To obtain one, companies need to submit an application, along with list of documents. The application is reviewed by the AMDAL assessment committee, established by the State Minister of Environment, the governor of the province (each province comprising several districts) or the regent/mayor.</w:t>
      </w:r>
      <w:r>
        <w:rPr>
          <w:rStyle w:val="Aucun"/>
          <w:rFonts w:ascii="Verdana" w:hAnsi="Verdana"/>
          <w:sz w:val="20"/>
          <w:szCs w:val="20"/>
          <w:vertAlign w:val="superscript"/>
        </w:rPr>
        <w:t xml:space="preserve"> </w:t>
      </w:r>
    </w:p>
    <w:p w:rsidR="000F00BD" w:rsidRDefault="00783A3A">
      <w:pPr>
        <w:spacing w:before="200" w:line="256" w:lineRule="exact"/>
        <w:rPr>
          <w:rStyle w:val="Aucun"/>
          <w:rFonts w:ascii="Verdana" w:eastAsia="Verdana" w:hAnsi="Verdana" w:cs="Verdana"/>
          <w:sz w:val="20"/>
          <w:szCs w:val="20"/>
        </w:rPr>
      </w:pPr>
      <w:r>
        <w:rPr>
          <w:rStyle w:val="Aucun"/>
          <w:rFonts w:ascii="Verdana" w:hAnsi="Verdana"/>
          <w:sz w:val="20"/>
          <w:szCs w:val="20"/>
        </w:rPr>
        <w:t>The process of land allocation also involves the recognition of the need to protect areas of High Conservation Value. In areas where there is High Conservation Value the plantation either has the option of doing the conservation itself or of returning that land to the government.</w:t>
      </w:r>
      <w:r>
        <w:rPr>
          <w:rStyle w:val="Aucun"/>
          <w:rFonts w:ascii="Verdana" w:eastAsia="Verdana" w:hAnsi="Verdana" w:cs="Verdana"/>
          <w:sz w:val="20"/>
          <w:szCs w:val="20"/>
          <w:vertAlign w:val="superscript"/>
        </w:rPr>
        <w:footnoteReference w:id="3"/>
      </w:r>
      <w:r>
        <w:rPr>
          <w:rStyle w:val="Aucun"/>
          <w:rFonts w:ascii="Verdana" w:hAnsi="Verdana"/>
          <w:sz w:val="20"/>
          <w:szCs w:val="20"/>
        </w:rPr>
        <w:t xml:space="preserve"> However, there have been many cases where plantations have received different advice from the local government that wishes to develop the land.</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i/>
          <w:iCs/>
          <w:sz w:val="20"/>
          <w:szCs w:val="20"/>
          <w:u w:val="single"/>
        </w:rPr>
        <w:t>IUP</w:t>
      </w:r>
      <w:r>
        <w:rPr>
          <w:rStyle w:val="Aucun"/>
          <w:rFonts w:ascii="Verdana" w:hAnsi="Verdana"/>
          <w:sz w:val="20"/>
          <w:szCs w:val="20"/>
          <w:u w:val="single"/>
        </w:rPr>
        <w:t xml:space="preserve"> (Plantation Business Licence)</w:t>
      </w:r>
      <w:r>
        <w:rPr>
          <w:rStyle w:val="Aucun"/>
          <w:rFonts w:ascii="Verdana" w:hAnsi="Verdana"/>
          <w:sz w:val="20"/>
          <w:szCs w:val="20"/>
        </w:rPr>
        <w:t xml:space="preserve">: This is a key licence for a plantation. It allows the companies to cultivate and process products from the plantation. This permit is granted by the governor and has no expiration date as long as the company is in the plantation business. The IUP is divided into three categories: 1) IUP-cultivation; 2) IUP-processing; and 3) IUP. </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sz w:val="20"/>
          <w:szCs w:val="20"/>
        </w:rPr>
        <w:t xml:space="preserve">The IUP-cultivation is the licence for companies engaged in plantations. The IUP-processing is the licence for companies processing plantation crops. The IUP itself is the licence for companies that are integrated from plantations to the processing of crops.  As long as a company has an IUP, there are no restrictions on its ability to conduct a plantation business. </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i/>
          <w:iCs/>
          <w:sz w:val="20"/>
          <w:szCs w:val="20"/>
          <w:u w:val="single"/>
        </w:rPr>
        <w:t>HGU</w:t>
      </w:r>
      <w:r>
        <w:rPr>
          <w:rStyle w:val="Aucun"/>
          <w:rFonts w:ascii="Verdana" w:hAnsi="Verdana"/>
          <w:sz w:val="20"/>
          <w:szCs w:val="20"/>
          <w:u w:val="single"/>
        </w:rPr>
        <w:t xml:space="preserve"> (Land Right)</w:t>
      </w:r>
      <w:r>
        <w:rPr>
          <w:rStyle w:val="Aucun"/>
          <w:rFonts w:ascii="Verdana" w:hAnsi="Verdana"/>
          <w:sz w:val="20"/>
          <w:szCs w:val="20"/>
        </w:rPr>
        <w:t xml:space="preserve">: The HGU is a land right issued by Central Government which can be granted only on state-owned land, and only for the purposes of agriculture, fisheries, or animal husbandry. </w:t>
      </w:r>
    </w:p>
    <w:p w:rsidR="000F00BD" w:rsidRDefault="00783A3A">
      <w:pPr>
        <w:spacing w:before="200" w:line="256" w:lineRule="exact"/>
        <w:rPr>
          <w:rStyle w:val="Aucun"/>
          <w:rFonts w:ascii="Verdana" w:eastAsia="Verdana" w:hAnsi="Verdana" w:cs="Verdana"/>
          <w:sz w:val="20"/>
          <w:szCs w:val="20"/>
        </w:rPr>
      </w:pPr>
      <w:r>
        <w:rPr>
          <w:rStyle w:val="Aucun"/>
          <w:rFonts w:ascii="Verdana" w:hAnsi="Verdana"/>
          <w:sz w:val="20"/>
          <w:szCs w:val="20"/>
        </w:rPr>
        <w:t>The system for land allocation involves a full environmental and social impact assessment. It would be sustainable if it were properly enforced. The overlap in responsibilities between national and local government as well as between different ministries means it is not properly enforced. There have been a number of cases where permission was given for land conversion that was unsustainable. This has come to light as the administration has brought anti-corruption cases against several Sumatra governors, including that for Riau, on land conversion (including to oil palm)</w:t>
      </w:r>
      <w:r>
        <w:rPr>
          <w:rStyle w:val="Aucun"/>
          <w:rFonts w:ascii="Verdana" w:eastAsia="Verdana" w:hAnsi="Verdana" w:cs="Verdana"/>
          <w:sz w:val="20"/>
          <w:szCs w:val="20"/>
          <w:vertAlign w:val="superscript"/>
        </w:rPr>
        <w:footnoteReference w:id="4"/>
      </w:r>
      <w:r>
        <w:rPr>
          <w:rStyle w:val="Aucun"/>
          <w:rFonts w:ascii="Verdana" w:hAnsi="Verdana"/>
          <w:sz w:val="20"/>
          <w:szCs w:val="20"/>
        </w:rPr>
        <w:t xml:space="preserve"> </w:t>
      </w:r>
      <w:r>
        <w:rPr>
          <w:rStyle w:val="Aucun"/>
          <w:rFonts w:ascii="Verdana" w:eastAsia="Verdana" w:hAnsi="Verdana" w:cs="Verdana"/>
          <w:sz w:val="20"/>
          <w:szCs w:val="20"/>
          <w:vertAlign w:val="superscript"/>
        </w:rPr>
        <w:footnoteReference w:id="5"/>
      </w:r>
    </w:p>
    <w:p w:rsidR="000F00BD" w:rsidRDefault="00783A3A">
      <w:pPr>
        <w:rPr>
          <w:rStyle w:val="Aucun"/>
          <w:rFonts w:ascii="Verdana" w:eastAsia="Verdana" w:hAnsi="Verdana" w:cs="Verdana"/>
          <w:b/>
          <w:bCs/>
          <w:sz w:val="20"/>
          <w:szCs w:val="20"/>
        </w:rPr>
      </w:pPr>
      <w:r>
        <w:rPr>
          <w:rStyle w:val="Aucun"/>
          <w:rFonts w:ascii="Verdana" w:hAnsi="Verdana"/>
          <w:b/>
          <w:bCs/>
          <w:sz w:val="20"/>
          <w:szCs w:val="20"/>
        </w:rPr>
        <w:t xml:space="preserve">Protecting indigenous rights </w:t>
      </w:r>
    </w:p>
    <w:p w:rsidR="000F00BD" w:rsidRDefault="00783A3A">
      <w:pPr>
        <w:spacing w:before="200" w:line="256" w:lineRule="exact"/>
        <w:rPr>
          <w:rStyle w:val="Aucun"/>
          <w:rFonts w:ascii="Verdana" w:eastAsia="Verdana" w:hAnsi="Verdana" w:cs="Verdana"/>
          <w:sz w:val="20"/>
          <w:szCs w:val="20"/>
        </w:rPr>
      </w:pPr>
      <w:r>
        <w:rPr>
          <w:rStyle w:val="Aucun"/>
          <w:rFonts w:ascii="Verdana" w:hAnsi="Verdana"/>
          <w:sz w:val="20"/>
          <w:szCs w:val="20"/>
        </w:rPr>
        <w:lastRenderedPageBreak/>
        <w:t xml:space="preserve">The granting of the HGU is not necessarily a green light for the development of an estate. Negotiations then need to occur with settlers (whether or not they actually have a long-standing connection with the land in question) on the area stipulated in the </w:t>
      </w:r>
      <w:r>
        <w:rPr>
          <w:rStyle w:val="Aucun"/>
          <w:rFonts w:ascii="Verdana" w:hAnsi="Verdana"/>
          <w:i/>
          <w:iCs/>
          <w:sz w:val="20"/>
          <w:szCs w:val="20"/>
        </w:rPr>
        <w:t>Izin Lokasi</w:t>
      </w:r>
      <w:r>
        <w:rPr>
          <w:rStyle w:val="Aucun"/>
          <w:rFonts w:ascii="Verdana" w:hAnsi="Verdana"/>
          <w:sz w:val="20"/>
          <w:szCs w:val="20"/>
        </w:rPr>
        <w:t>.</w:t>
      </w:r>
    </w:p>
    <w:p w:rsidR="000F00BD" w:rsidRDefault="00783A3A">
      <w:pPr>
        <w:spacing w:before="200" w:line="256" w:lineRule="exact"/>
        <w:rPr>
          <w:rStyle w:val="Aucun"/>
          <w:rFonts w:ascii="Verdana" w:eastAsia="Verdana" w:hAnsi="Verdana" w:cs="Verdana"/>
          <w:sz w:val="20"/>
          <w:szCs w:val="20"/>
        </w:rPr>
      </w:pPr>
      <w:r>
        <w:rPr>
          <w:rStyle w:val="Aucun"/>
          <w:rFonts w:ascii="Verdana" w:hAnsi="Verdana"/>
          <w:sz w:val="20"/>
          <w:szCs w:val="20"/>
        </w:rPr>
        <w:t>Because negotiation occurs late into the process and without clear land rights means that the process is fraught for both the developer and the traditional inhabitants. In response to these issues the Indonesian Constitutional Court has also recognised local community rights to customary forests</w:t>
      </w:r>
      <w:r>
        <w:rPr>
          <w:rStyle w:val="Aucun"/>
          <w:rFonts w:ascii="Verdana" w:eastAsia="Verdana" w:hAnsi="Verdana" w:cs="Verdana"/>
          <w:sz w:val="20"/>
          <w:szCs w:val="20"/>
          <w:vertAlign w:val="superscript"/>
        </w:rPr>
        <w:footnoteReference w:id="6"/>
      </w:r>
      <w:r>
        <w:rPr>
          <w:rStyle w:val="Aucun"/>
          <w:rFonts w:ascii="Verdana" w:hAnsi="Verdana"/>
          <w:sz w:val="20"/>
          <w:szCs w:val="20"/>
        </w:rPr>
        <w:t xml:space="preserve"> </w:t>
      </w:r>
      <w:r>
        <w:rPr>
          <w:rStyle w:val="Aucun"/>
          <w:rFonts w:ascii="Verdana" w:eastAsia="Verdana" w:hAnsi="Verdana" w:cs="Verdana"/>
          <w:sz w:val="20"/>
          <w:szCs w:val="20"/>
          <w:vertAlign w:val="superscript"/>
        </w:rPr>
        <w:footnoteReference w:id="7"/>
      </w:r>
      <w:r>
        <w:rPr>
          <w:rStyle w:val="Aucun"/>
          <w:rFonts w:ascii="Verdana" w:hAnsi="Verdana"/>
          <w:sz w:val="20"/>
          <w:szCs w:val="20"/>
        </w:rPr>
        <w:t xml:space="preserve"> </w:t>
      </w:r>
      <w:r>
        <w:rPr>
          <w:rStyle w:val="Aucun"/>
          <w:rFonts w:ascii="Verdana" w:eastAsia="Verdana" w:hAnsi="Verdana" w:cs="Verdana"/>
          <w:sz w:val="20"/>
          <w:szCs w:val="20"/>
          <w:vertAlign w:val="superscript"/>
        </w:rPr>
        <w:footnoteReference w:id="8"/>
      </w:r>
      <w:r>
        <w:rPr>
          <w:rStyle w:val="Aucun"/>
          <w:rFonts w:ascii="Verdana" w:hAnsi="Verdana"/>
          <w:sz w:val="20"/>
          <w:szCs w:val="20"/>
        </w:rPr>
        <w:t>. While this is a strong affirmation of the rights of indigenous populations, given the myriad problems associated with establishing property rights it is unclear how it might be enforced</w:t>
      </w:r>
      <w:r>
        <w:rPr>
          <w:rStyle w:val="Aucun"/>
          <w:rFonts w:ascii="Verdana" w:eastAsia="Verdana" w:hAnsi="Verdana" w:cs="Verdana"/>
          <w:sz w:val="20"/>
          <w:szCs w:val="20"/>
          <w:vertAlign w:val="superscript"/>
        </w:rPr>
        <w:footnoteReference w:id="9"/>
      </w:r>
      <w:r>
        <w:rPr>
          <w:rStyle w:val="Aucun"/>
          <w:rFonts w:ascii="Verdana" w:hAnsi="Verdana"/>
          <w:sz w:val="20"/>
          <w:szCs w:val="20"/>
        </w:rPr>
        <w:t xml:space="preserve">. </w:t>
      </w:r>
    </w:p>
    <w:p w:rsidR="000F00BD" w:rsidRDefault="00783A3A">
      <w:pPr>
        <w:spacing w:before="200" w:line="256" w:lineRule="exact"/>
        <w:rPr>
          <w:rStyle w:val="Aucun"/>
          <w:rFonts w:ascii="Arial" w:eastAsia="Arial" w:hAnsi="Arial" w:cs="Arial"/>
          <w:sz w:val="21"/>
          <w:szCs w:val="21"/>
        </w:rPr>
      </w:pPr>
      <w:r>
        <w:rPr>
          <w:rStyle w:val="Aucun"/>
          <w:rFonts w:ascii="Verdana" w:hAnsi="Verdana"/>
          <w:sz w:val="20"/>
          <w:szCs w:val="20"/>
        </w:rPr>
        <w:t>In addition, the government has indicated that it may pursue a land amnesty to regularise property rights in cases of smallholder-led deforestation, including in the upland areas. While sustainable from a social point of view this would clearly be unsustainable in terms of the signal it sends to allow further smallholder-led deforestation.</w:t>
      </w:r>
      <w:r>
        <w:rPr>
          <w:rStyle w:val="Aucun"/>
          <w:rFonts w:ascii="Arial" w:hAnsi="Arial"/>
          <w:sz w:val="21"/>
          <w:szCs w:val="21"/>
        </w:rPr>
        <w:t xml:space="preserve"> </w:t>
      </w:r>
    </w:p>
    <w:p w:rsidR="000F00BD" w:rsidRDefault="00783A3A">
      <w:pPr>
        <w:rPr>
          <w:rStyle w:val="Aucun"/>
          <w:rFonts w:ascii="Verdana" w:eastAsia="Verdana" w:hAnsi="Verdana" w:cs="Verdana"/>
          <w:b/>
          <w:bCs/>
          <w:sz w:val="20"/>
          <w:szCs w:val="20"/>
        </w:rPr>
      </w:pPr>
      <w:r>
        <w:rPr>
          <w:rStyle w:val="Aucun"/>
          <w:rFonts w:ascii="Verdana" w:hAnsi="Verdana"/>
          <w:b/>
          <w:bCs/>
          <w:sz w:val="20"/>
          <w:szCs w:val="20"/>
        </w:rPr>
        <w:t>The moratorium and peat protection</w:t>
      </w:r>
    </w:p>
    <w:p w:rsidR="000F00BD" w:rsidRDefault="00783A3A">
      <w:pPr>
        <w:rPr>
          <w:rStyle w:val="Aucun"/>
          <w:rFonts w:ascii="Verdana" w:eastAsia="Verdana" w:hAnsi="Verdana" w:cs="Verdana"/>
          <w:sz w:val="20"/>
          <w:szCs w:val="20"/>
        </w:rPr>
      </w:pPr>
      <w:r>
        <w:rPr>
          <w:rStyle w:val="Aucun"/>
          <w:rFonts w:ascii="Verdana" w:hAnsi="Verdana"/>
          <w:sz w:val="20"/>
          <w:szCs w:val="20"/>
        </w:rPr>
        <w:t>In response to the problems with land allocation, outlined above, President Jokowi announced a moratorium on new palm oil concessions and a ban on peat deforestation. However, at a provincial level there have been difficulties enforcing the moratorium. As a result, record fines have been meted out on agro forestry companies for illegal forest clearing and fires (including on peatlands).</w:t>
      </w:r>
      <w:r>
        <w:rPr>
          <w:rStyle w:val="Aucun"/>
          <w:rFonts w:ascii="Verdana" w:eastAsia="Verdana" w:hAnsi="Verdana" w:cs="Verdana"/>
          <w:sz w:val="20"/>
          <w:szCs w:val="20"/>
          <w:vertAlign w:val="superscript"/>
        </w:rPr>
        <w:footnoteReference w:id="10"/>
      </w:r>
      <w:r>
        <w:rPr>
          <w:rStyle w:val="Aucun"/>
          <w:rFonts w:ascii="Verdana" w:hAnsi="Verdana"/>
          <w:sz w:val="20"/>
          <w:szCs w:val="20"/>
        </w:rPr>
        <w:t xml:space="preserve"> </w:t>
      </w:r>
      <w:r>
        <w:rPr>
          <w:rStyle w:val="Aucun"/>
          <w:rFonts w:ascii="Verdana" w:eastAsia="Verdana" w:hAnsi="Verdana" w:cs="Verdana"/>
          <w:sz w:val="20"/>
          <w:szCs w:val="20"/>
          <w:vertAlign w:val="superscript"/>
        </w:rPr>
        <w:footnoteReference w:id="11"/>
      </w:r>
      <w:r>
        <w:rPr>
          <w:rStyle w:val="Aucun"/>
          <w:rFonts w:ascii="Verdana" w:hAnsi="Verdana"/>
          <w:sz w:val="20"/>
          <w:szCs w:val="20"/>
        </w:rPr>
        <w:t xml:space="preserve"> Payment of these high fines is said to be pending still. There is also an issue with companies still holding land banks of concessions that may include forest. </w:t>
      </w:r>
    </w:p>
    <w:p w:rsidR="000F00BD" w:rsidRDefault="00783A3A">
      <w:pPr>
        <w:spacing w:before="200" w:line="246" w:lineRule="exact"/>
        <w:rPr>
          <w:rStyle w:val="Aucun"/>
          <w:rFonts w:ascii="Verdana" w:eastAsia="Verdana" w:hAnsi="Verdana" w:cs="Verdana"/>
          <w:b/>
          <w:bCs/>
          <w:sz w:val="20"/>
          <w:szCs w:val="20"/>
        </w:rPr>
      </w:pPr>
      <w:r>
        <w:rPr>
          <w:rStyle w:val="Aucun"/>
          <w:rFonts w:ascii="Verdana" w:hAnsi="Verdana"/>
          <w:b/>
          <w:bCs/>
          <w:sz w:val="20"/>
          <w:szCs w:val="20"/>
        </w:rPr>
        <w:lastRenderedPageBreak/>
        <w:t>Regulation on haze</w:t>
      </w:r>
    </w:p>
    <w:p w:rsidR="000F00BD" w:rsidRDefault="00783A3A">
      <w:pPr>
        <w:spacing w:before="220" w:after="220"/>
        <w:rPr>
          <w:rStyle w:val="Aucun"/>
          <w:rFonts w:ascii="Verdana" w:eastAsia="Verdana" w:hAnsi="Verdana" w:cs="Verdana"/>
          <w:sz w:val="20"/>
          <w:szCs w:val="20"/>
        </w:rPr>
      </w:pPr>
      <w:r>
        <w:rPr>
          <w:rStyle w:val="Aucun"/>
          <w:rFonts w:ascii="Verdana" w:hAnsi="Verdana"/>
          <w:sz w:val="20"/>
          <w:szCs w:val="20"/>
        </w:rPr>
        <w:t>The government has introduced better fire prevention regulations after the 2015 haze crisis, but companies criticise the delays in the One Map spatial planning, which would help better understand the risk of forest fires. Therefore the law is sustainable but not properly enforced at present, as it requires greater transparency.</w:t>
      </w:r>
    </w:p>
    <w:p w:rsidR="000F00BD" w:rsidRDefault="00783A3A">
      <w:pPr>
        <w:spacing w:before="200" w:line="246" w:lineRule="exact"/>
        <w:rPr>
          <w:rStyle w:val="Aucun"/>
          <w:rFonts w:ascii="Verdana" w:eastAsia="Verdana" w:hAnsi="Verdana" w:cs="Verdana"/>
          <w:b/>
          <w:bCs/>
          <w:sz w:val="20"/>
          <w:szCs w:val="20"/>
        </w:rPr>
      </w:pPr>
      <w:r>
        <w:rPr>
          <w:rStyle w:val="Aucun"/>
          <w:rFonts w:ascii="Verdana" w:hAnsi="Verdana"/>
          <w:b/>
          <w:bCs/>
          <w:sz w:val="20"/>
          <w:szCs w:val="20"/>
        </w:rPr>
        <w:t>ISPO palm oil certification scheme</w:t>
      </w:r>
    </w:p>
    <w:p w:rsidR="000F00BD" w:rsidRDefault="00783A3A">
      <w:pPr>
        <w:spacing w:before="220" w:after="220"/>
        <w:rPr>
          <w:rStyle w:val="Aucun"/>
          <w:rFonts w:ascii="Verdana" w:eastAsia="Verdana" w:hAnsi="Verdana" w:cs="Verdana"/>
          <w:sz w:val="20"/>
          <w:szCs w:val="20"/>
        </w:rPr>
      </w:pPr>
      <w:r>
        <w:rPr>
          <w:rStyle w:val="Aucun"/>
          <w:rFonts w:ascii="Verdana" w:hAnsi="Verdana"/>
          <w:sz w:val="20"/>
          <w:szCs w:val="20"/>
        </w:rPr>
        <w:t xml:space="preserve">While the government has made the ISPO certification scheme mandatory, few plantations have actually achieved ISPO certification. Recent statements from the Indonesian Ministry of Agriculture suggest that only 16.7% of the area dedicated to the cultivation of oil palm in Indonesia has achieved ISPO certification. </w:t>
      </w:r>
      <w:r>
        <w:rPr>
          <w:rStyle w:val="Aucun"/>
          <w:rFonts w:ascii="Verdana" w:eastAsia="Verdana" w:hAnsi="Verdana" w:cs="Verdana"/>
          <w:sz w:val="20"/>
          <w:szCs w:val="20"/>
          <w:vertAlign w:val="superscript"/>
        </w:rPr>
        <w:footnoteReference w:id="12"/>
      </w:r>
      <w:r>
        <w:rPr>
          <w:rStyle w:val="Aucun"/>
          <w:rFonts w:ascii="Verdana" w:hAnsi="Verdana"/>
          <w:sz w:val="20"/>
          <w:szCs w:val="20"/>
        </w:rPr>
        <w:t xml:space="preserve"> In addition, some consider that the initiative has failed to reassure consumers, NGOs and foreign governments of its effectiveness in reducing negative environmental and social impacts.</w:t>
      </w:r>
      <w:r>
        <w:rPr>
          <w:rStyle w:val="Aucun"/>
          <w:rFonts w:ascii="Verdana" w:eastAsia="Verdana" w:hAnsi="Verdana" w:cs="Verdana"/>
          <w:sz w:val="20"/>
          <w:szCs w:val="20"/>
          <w:vertAlign w:val="superscript"/>
        </w:rPr>
        <w:footnoteReference w:id="13"/>
      </w:r>
      <w:r>
        <w:rPr>
          <w:rStyle w:val="Aucun"/>
          <w:rFonts w:ascii="Verdana" w:hAnsi="Verdana"/>
          <w:sz w:val="20"/>
          <w:szCs w:val="20"/>
        </w:rPr>
        <w:t xml:space="preserve"> </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To address these concerns, significant political commitment is being put into revising ISPO in light of these perceived weaknesses. These include the ISPO Strengthening Team, under the Coordinating Ministry of Economic Affairs (CMoEA), aiming at a Presidential Decree to repeal the current Ministerial Decree on ISPO for late 2017/early 2018. In addition, the </w:t>
      </w:r>
      <w:r>
        <w:rPr>
          <w:rStyle w:val="Aucun"/>
          <w:rFonts w:ascii="Verdana" w:hAnsi="Verdana"/>
          <w:i/>
          <w:iCs/>
          <w:sz w:val="20"/>
          <w:szCs w:val="20"/>
        </w:rPr>
        <w:t>Forum Kelapa Sawit Berkelanjutan Indonesia</w:t>
      </w:r>
      <w:r>
        <w:rPr>
          <w:rStyle w:val="Aucun"/>
          <w:rFonts w:ascii="Verdana" w:hAnsi="Verdana"/>
          <w:sz w:val="20"/>
          <w:szCs w:val="20"/>
        </w:rPr>
        <w:t> (FoKSBI), a multi-stakeholder forum led by the Indonesian government and facilitated by UNDP, aims to increase the coordination, sustainability and efficiency of the palm oil sector, including developing a National Action Plan</w:t>
      </w:r>
      <w:r>
        <w:rPr>
          <w:rStyle w:val="Aucun"/>
          <w:rFonts w:ascii="Verdana" w:eastAsia="Verdana" w:hAnsi="Verdana" w:cs="Verdana"/>
          <w:sz w:val="20"/>
          <w:szCs w:val="20"/>
          <w:vertAlign w:val="superscript"/>
        </w:rPr>
        <w:footnoteReference w:id="14"/>
      </w:r>
      <w:r>
        <w:rPr>
          <w:rStyle w:val="Aucun"/>
          <w:rFonts w:ascii="Verdana" w:hAnsi="Verdana"/>
          <w:sz w:val="20"/>
          <w:szCs w:val="20"/>
        </w:rPr>
        <w:t xml:space="preserve">. These processes are expected to result in significant revisions to the ISPO standards and certification processes that are likely to address some of the weaknesses that have been identified by stakeholders.  </w:t>
      </w:r>
    </w:p>
    <w:p w:rsidR="000F00BD" w:rsidRDefault="00783A3A">
      <w:pPr>
        <w:spacing w:before="220" w:after="220"/>
        <w:rPr>
          <w:rStyle w:val="Aucun"/>
          <w:rFonts w:ascii="Verdana" w:eastAsia="Verdana" w:hAnsi="Verdana" w:cs="Verdana"/>
          <w:sz w:val="20"/>
          <w:szCs w:val="20"/>
        </w:rPr>
      </w:pPr>
      <w:r>
        <w:rPr>
          <w:rStyle w:val="Aucun"/>
          <w:rFonts w:ascii="Verdana" w:hAnsi="Verdana"/>
          <w:sz w:val="20"/>
          <w:szCs w:val="20"/>
        </w:rPr>
        <w:t>In conclusion, at present, the ISPO is not yet fully implemented or applied</w:t>
      </w:r>
      <w:r>
        <w:rPr>
          <w:rStyle w:val="Aucun"/>
          <w:rFonts w:ascii="Verdana" w:eastAsia="Verdana" w:hAnsi="Verdana" w:cs="Verdana"/>
          <w:sz w:val="20"/>
          <w:szCs w:val="20"/>
          <w:vertAlign w:val="superscript"/>
        </w:rPr>
        <w:footnoteReference w:id="15"/>
      </w:r>
      <w:r>
        <w:rPr>
          <w:rStyle w:val="Aucun"/>
          <w:rFonts w:ascii="Verdana" w:hAnsi="Verdana"/>
          <w:sz w:val="20"/>
          <w:szCs w:val="20"/>
        </w:rPr>
        <w:t>.</w:t>
      </w:r>
    </w:p>
    <w:p w:rsidR="000F00BD" w:rsidRDefault="000F00BD">
      <w:pPr>
        <w:spacing w:before="200" w:line="256" w:lineRule="exact"/>
        <w:rPr>
          <w:rStyle w:val="Aucun"/>
          <w:rFonts w:ascii="Arial" w:eastAsia="Arial" w:hAnsi="Arial" w:cs="Arial"/>
          <w:sz w:val="21"/>
          <w:szCs w:val="21"/>
        </w:rPr>
      </w:pPr>
    </w:p>
    <w:p w:rsidR="000F00BD" w:rsidRDefault="000F00BD">
      <w:pPr>
        <w:spacing w:after="0"/>
        <w:rPr>
          <w:rStyle w:val="Aucun"/>
          <w:rFonts w:ascii="Verdana" w:eastAsia="Verdana" w:hAnsi="Verdana" w:cs="Verdana"/>
          <w:b/>
          <w:bCs/>
          <w:sz w:val="20"/>
          <w:szCs w:val="20"/>
        </w:rPr>
      </w:pPr>
    </w:p>
    <w:p w:rsidR="000F00BD" w:rsidRDefault="00783A3A">
      <w:pPr>
        <w:pStyle w:val="Heading1"/>
        <w:numPr>
          <w:ilvl w:val="0"/>
          <w:numId w:val="20"/>
        </w:numPr>
        <w:rPr>
          <w:rStyle w:val="Aucun"/>
          <w:rFonts w:ascii="Verdana" w:eastAsia="Verdana" w:hAnsi="Verdana" w:cs="Verdana"/>
          <w:smallCaps w:val="0"/>
        </w:rPr>
      </w:pPr>
      <w:r>
        <w:rPr>
          <w:rStyle w:val="Aucun"/>
          <w:rFonts w:ascii="Verdana" w:hAnsi="Verdana"/>
          <w:smallCaps w:val="0"/>
        </w:rPr>
        <w:lastRenderedPageBreak/>
        <w:t>Certification schemes, legislation and voluntary initiatives</w:t>
      </w:r>
    </w:p>
    <w:p w:rsidR="000F00BD" w:rsidRDefault="00783A3A">
      <w:pPr>
        <w:pStyle w:val="Heading2"/>
        <w:numPr>
          <w:ilvl w:val="1"/>
          <w:numId w:val="20"/>
        </w:numPr>
        <w:rPr>
          <w:rFonts w:ascii="Verdana" w:eastAsia="Verdana" w:hAnsi="Verdana" w:cs="Verdana"/>
          <w:sz w:val="22"/>
          <w:szCs w:val="22"/>
        </w:rPr>
      </w:pPr>
      <w:bookmarkStart w:id="1" w:name="_Ref366170560"/>
      <w:r>
        <w:rPr>
          <w:rFonts w:ascii="Verdana" w:hAnsi="Verdana"/>
          <w:sz w:val="22"/>
          <w:szCs w:val="22"/>
        </w:rPr>
        <w:t xml:space="preserve">Analysis of existing palm oil sustainability certification systems </w:t>
      </w:r>
      <w:bookmarkEnd w:id="1"/>
    </w:p>
    <w:p w:rsidR="000F00BD" w:rsidRDefault="00783A3A">
      <w:pPr>
        <w:spacing w:after="120"/>
        <w:rPr>
          <w:rStyle w:val="Aucun"/>
          <w:rFonts w:ascii="Verdana" w:eastAsia="Verdana" w:hAnsi="Verdana" w:cs="Verdana"/>
          <w:sz w:val="20"/>
          <w:szCs w:val="20"/>
        </w:rPr>
      </w:pPr>
      <w:r>
        <w:rPr>
          <w:rStyle w:val="Aucun"/>
          <w:rFonts w:ascii="Verdana" w:hAnsi="Verdana"/>
          <w:sz w:val="20"/>
          <w:szCs w:val="20"/>
        </w:rPr>
        <w:t xml:space="preserve">This section provides a description and analysis of oil palm sustainability certification schemes, focusing on the four most widely used schemes: the Roundtable on Sustainable Palm Oil (RSPO), the International Sustainability and Carbon Certification (ISCC), the Indonesian Sustainable Palm Oil (ISPO) scheme and the Malaysian Sustainable Palm Oil (MSPO) scheme. Other certification schemes that are relevant to the palm oil sector are also discussed. </w:t>
      </w:r>
    </w:p>
    <w:p w:rsidR="000F00BD" w:rsidRDefault="00783A3A">
      <w:pPr>
        <w:spacing w:after="120"/>
        <w:rPr>
          <w:rStyle w:val="Hyperlink1"/>
        </w:rPr>
      </w:pPr>
      <w:r>
        <w:rPr>
          <w:rStyle w:val="Aucun"/>
          <w:rFonts w:ascii="Verdana" w:hAnsi="Verdana"/>
          <w:sz w:val="20"/>
          <w:szCs w:val="20"/>
        </w:rPr>
        <w:t xml:space="preserve">The section takes a systems approach, describing and then comparing a selection of key elements of these certification schemes (see </w:t>
      </w:r>
      <w:hyperlink w:anchor="bookmark" w:history="1">
        <w:r>
          <w:rPr>
            <w:rStyle w:val="Hyperlink1"/>
          </w:rPr>
          <w:t>Table 34</w:t>
        </w:r>
      </w:hyperlink>
      <w:r>
        <w:rPr>
          <w:rStyle w:val="Aucun"/>
          <w:rFonts w:ascii="Verdana" w:hAnsi="Verdana"/>
          <w:b/>
          <w:bCs/>
          <w:caps/>
          <w:sz w:val="20"/>
          <w:szCs w:val="20"/>
        </w:rPr>
        <w:t xml:space="preserve">): </w:t>
      </w:r>
      <w:r>
        <w:rPr>
          <w:rStyle w:val="Hyperlink1"/>
        </w:rPr>
        <w:t>the standard, the certification process, measures to build credibility (accreditation, complaints procedures and transparency) and claims (chain of custody and labelling). It also includes evidence on the effectiveness of the systems, where that exists.</w:t>
      </w:r>
    </w:p>
    <w:p w:rsidR="000F00BD" w:rsidRDefault="00783A3A">
      <w:pPr>
        <w:spacing w:after="120"/>
        <w:rPr>
          <w:rStyle w:val="Hyperlink1"/>
        </w:rPr>
      </w:pPr>
      <w:r>
        <w:rPr>
          <w:rStyle w:val="Hyperlink1"/>
        </w:rPr>
        <w:t xml:space="preserve">Analysis of the schemes focuses on how each scheme addresses the environmental and social sub-themes more prominent in the debate and literature on palm oil (i.e. those included in </w:t>
      </w:r>
      <w:r>
        <w:rPr>
          <w:rStyle w:val="Aucun"/>
          <w:rFonts w:ascii="Verdana" w:hAnsi="Verdana"/>
          <w:b/>
          <w:bCs/>
          <w:sz w:val="20"/>
          <w:szCs w:val="20"/>
        </w:rPr>
        <w:t xml:space="preserve">Section </w:t>
      </w:r>
      <w:hyperlink w:anchor="bookmark1" w:history="1">
        <w:r>
          <w:rPr>
            <w:rStyle w:val="Hyperlink2"/>
          </w:rPr>
          <w:t>7</w:t>
        </w:r>
      </w:hyperlink>
      <w:r>
        <w:rPr>
          <w:rStyle w:val="Hyperlink2"/>
        </w:rPr>
        <w:t>)</w:t>
      </w:r>
      <w:r>
        <w:rPr>
          <w:rStyle w:val="Hyperlink1"/>
        </w:rPr>
        <w:t>.</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235"/>
      </w:tblGrid>
      <w:tr w:rsidR="000F00BD">
        <w:trPr>
          <w:trHeight w:val="250"/>
          <w:tblHeader/>
        </w:trPr>
        <w:tc>
          <w:tcPr>
            <w:tcW w:w="923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F00BD" w:rsidRDefault="00783A3A">
            <w:pPr>
              <w:pStyle w:val="Caption"/>
              <w:keepNext/>
            </w:pPr>
            <w:r>
              <w:rPr>
                <w:rStyle w:val="Aucun"/>
                <w:color w:val="FFFFFF"/>
                <w:u w:color="FFFFFF"/>
              </w:rPr>
              <w:lastRenderedPageBreak/>
              <w:t xml:space="preserve">Table </w:t>
            </w:r>
            <w:r>
              <w:rPr>
                <w:rStyle w:val="Aucun"/>
                <w:color w:val="FFFFFF"/>
                <w:u w:color="FFFFFF"/>
                <w:lang w:val="ru-RU"/>
              </w:rPr>
              <w:t>34</w:t>
            </w:r>
            <w:r>
              <w:rPr>
                <w:rStyle w:val="Aucun"/>
                <w:color w:val="FFFFFF"/>
                <w:u w:color="FFFFFF"/>
              </w:rPr>
              <w:t>: Architecture of sustainability certification</w:t>
            </w:r>
          </w:p>
        </w:tc>
      </w:tr>
      <w:tr w:rsidR="000F00BD">
        <w:tblPrEx>
          <w:shd w:val="clear" w:color="auto" w:fill="CED7E7"/>
        </w:tblPrEx>
        <w:trPr>
          <w:trHeight w:val="14527"/>
        </w:trPr>
        <w:tc>
          <w:tcPr>
            <w:tcW w:w="923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0F00BD" w:rsidRDefault="00783A3A">
            <w:pPr>
              <w:spacing w:before="120"/>
              <w:rPr>
                <w:rStyle w:val="Aucun"/>
                <w:rFonts w:ascii="Verdana" w:eastAsia="Verdana" w:hAnsi="Verdana" w:cs="Verdana"/>
                <w:sz w:val="20"/>
                <w:szCs w:val="20"/>
              </w:rPr>
            </w:pPr>
            <w:r>
              <w:rPr>
                <w:rStyle w:val="Aucun"/>
                <w:rFonts w:ascii="Verdana" w:hAnsi="Verdana"/>
                <w:sz w:val="20"/>
                <w:szCs w:val="20"/>
              </w:rPr>
              <w:lastRenderedPageBreak/>
              <w:t xml:space="preserve">Although the precise details vary from scheme to scheme, the basic system for most sustainability certification is as described below. This is a system of rules, processes, and separation of powers that are all designed to promote consistency of approach and minimise the risk of poor practice. </w:t>
            </w:r>
          </w:p>
          <w:p w:rsidR="000F00BD" w:rsidRDefault="00783A3A">
            <w:pPr>
              <w:rPr>
                <w:rStyle w:val="Aucun"/>
                <w:rFonts w:ascii="Verdana" w:eastAsia="Verdana" w:hAnsi="Verdana" w:cs="Verdana"/>
                <w:sz w:val="20"/>
                <w:szCs w:val="20"/>
              </w:rPr>
            </w:pPr>
            <w:r>
              <w:rPr>
                <w:rStyle w:val="Aucun"/>
                <w:rFonts w:ascii="Verdana" w:hAnsi="Verdana"/>
                <w:b/>
                <w:bCs/>
                <w:sz w:val="20"/>
                <w:szCs w:val="20"/>
              </w:rPr>
              <w:t xml:space="preserve">The standard: </w:t>
            </w:r>
            <w:r>
              <w:rPr>
                <w:rStyle w:val="Aucun"/>
                <w:rFonts w:ascii="Verdana" w:hAnsi="Verdana"/>
                <w:sz w:val="20"/>
                <w:szCs w:val="20"/>
              </w:rPr>
              <w:t xml:space="preserve">These are documents that set out the requirements which must be met by the plantation and against which certification assessments are made.  </w:t>
            </w:r>
          </w:p>
          <w:p w:rsidR="000F00BD" w:rsidRDefault="00783A3A">
            <w:pPr>
              <w:rPr>
                <w:rStyle w:val="Aucun"/>
                <w:rFonts w:ascii="Verdana" w:eastAsia="Verdana" w:hAnsi="Verdana" w:cs="Verdana"/>
                <w:sz w:val="20"/>
                <w:szCs w:val="20"/>
              </w:rPr>
            </w:pPr>
            <w:r>
              <w:rPr>
                <w:rStyle w:val="Aucun"/>
                <w:rFonts w:ascii="Verdana" w:hAnsi="Verdana"/>
                <w:b/>
                <w:bCs/>
                <w:sz w:val="20"/>
                <w:szCs w:val="20"/>
              </w:rPr>
              <w:t>The certification process:</w:t>
            </w:r>
            <w:r>
              <w:rPr>
                <w:rStyle w:val="Aucun"/>
                <w:rFonts w:ascii="Verdana" w:hAnsi="Verdana"/>
                <w:sz w:val="20"/>
                <w:szCs w:val="20"/>
              </w:rPr>
              <w:t xml:space="preserve"> includes the processes of confirming that the requirements of the standard have been met by the entity seeking certification, and ensuring confidence in that decision. </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Assessments follow requirements established by the schemes organisation and certification body. Auditors must collect objective evidence that a company’s plans are adequate, that they are implemented and (where the standard specifies performance) that the outcome meets the requirements of the standard. This evidence is collected through a visit to the company, with documents scrutinised, the plantation examined, and managers, workers, local people, and other stakeholders interviewed. A decision is then made whether the requirements of the standard have been met in full, whether it has been largely met with only minor corrective actions required, or whether the company’s performance has major deficiencies that must be corrected before it can be certified. </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All of the main sustainability schemes, including FSC, RSPO and RTRS, specify that the certification body is independent of the company being assessed: known as ‘third party independent audits’. Certification bodies must also fulfil general requirements of impartiality, a quality management system, and requirements on the conditions for granting certificates, as described by the International Organisation for Standardisation (ISO). The competence of the personnel conducting the audits is also covered by these guides: a team leader that is adequately trained; and a team with the combined expertise to assess all aspects of the standard, and who are able to interpret the standard being assessed. </w:t>
            </w:r>
          </w:p>
          <w:p w:rsidR="000F00BD" w:rsidRDefault="00783A3A">
            <w:pPr>
              <w:rPr>
                <w:rStyle w:val="Aucun"/>
                <w:rFonts w:ascii="Verdana" w:eastAsia="Verdana" w:hAnsi="Verdana" w:cs="Verdana"/>
                <w:sz w:val="20"/>
                <w:szCs w:val="20"/>
              </w:rPr>
            </w:pPr>
            <w:r>
              <w:rPr>
                <w:rStyle w:val="Aucun"/>
                <w:rFonts w:ascii="Verdana" w:hAnsi="Verdana"/>
                <w:b/>
                <w:bCs/>
                <w:sz w:val="20"/>
                <w:szCs w:val="20"/>
              </w:rPr>
              <w:t>The accreditation process</w:t>
            </w:r>
            <w:r>
              <w:rPr>
                <w:rStyle w:val="Aucun"/>
                <w:rFonts w:ascii="Verdana" w:hAnsi="Verdana"/>
                <w:sz w:val="20"/>
                <w:szCs w:val="20"/>
              </w:rPr>
              <w:t xml:space="preserve">: one way to build confidence in certification is the process of accreditation or ‘certifying the certifier’, in which an independent organisation provides assurance that a certification body is competent. Accreditation bodies also have requirements defined by ISO, including the organisation of the accreditation body, and the way in which they carry out accreditation. </w:t>
            </w:r>
          </w:p>
          <w:p w:rsidR="000F00BD" w:rsidRDefault="00783A3A">
            <w:pPr>
              <w:rPr>
                <w:rStyle w:val="Aucun"/>
                <w:rFonts w:ascii="Verdana" w:eastAsia="Verdana" w:hAnsi="Verdana" w:cs="Verdana"/>
                <w:b/>
                <w:bCs/>
                <w:sz w:val="20"/>
                <w:szCs w:val="20"/>
              </w:rPr>
            </w:pPr>
            <w:r>
              <w:rPr>
                <w:rStyle w:val="Aucun"/>
                <w:rFonts w:ascii="Verdana" w:hAnsi="Verdana"/>
                <w:b/>
                <w:bCs/>
                <w:sz w:val="20"/>
                <w:szCs w:val="20"/>
              </w:rPr>
              <w:t>Complaints procedure</w:t>
            </w:r>
            <w:r>
              <w:rPr>
                <w:rStyle w:val="Aucun"/>
                <w:rFonts w:ascii="Verdana" w:hAnsi="Verdana"/>
                <w:sz w:val="20"/>
                <w:szCs w:val="20"/>
              </w:rPr>
              <w:t>: A second mechanism for building confidence in certification is having a complaints procedure that gives third parties a response to concerns about a certification decision. ISO guidelines specify that certification bodies should have procedures to resolve complaints, appeals and disputes.</w:t>
            </w:r>
          </w:p>
          <w:p w:rsidR="000F00BD" w:rsidRDefault="00783A3A">
            <w:pPr>
              <w:rPr>
                <w:rStyle w:val="Aucun"/>
                <w:rFonts w:ascii="Verdana" w:eastAsia="Verdana" w:hAnsi="Verdana" w:cs="Verdana"/>
                <w:sz w:val="20"/>
                <w:szCs w:val="20"/>
              </w:rPr>
            </w:pPr>
            <w:r>
              <w:rPr>
                <w:rStyle w:val="Aucun"/>
                <w:rFonts w:ascii="Verdana" w:hAnsi="Verdana"/>
                <w:b/>
                <w:bCs/>
                <w:sz w:val="20"/>
                <w:szCs w:val="20"/>
              </w:rPr>
              <w:t>Transparency</w:t>
            </w:r>
            <w:r>
              <w:rPr>
                <w:rStyle w:val="Aucun"/>
                <w:rFonts w:ascii="Verdana" w:hAnsi="Verdana"/>
                <w:sz w:val="20"/>
                <w:szCs w:val="20"/>
              </w:rPr>
              <w:t>: The third mechanism for building confidence is transparency. This is ensured by allowing interested parties direct access to non-confidential information about the process and results of certification assessments. This usually involves making public available information on the certification body, consultation with stakeholders, and providing a summary of the audit findings.</w:t>
            </w:r>
          </w:p>
          <w:p w:rsidR="000F00BD" w:rsidRDefault="00783A3A">
            <w:pPr>
              <w:spacing w:after="80"/>
              <w:rPr>
                <w:rStyle w:val="Aucun"/>
                <w:rFonts w:ascii="Verdana" w:eastAsia="Verdana" w:hAnsi="Verdana" w:cs="Verdana"/>
                <w:sz w:val="20"/>
                <w:szCs w:val="20"/>
              </w:rPr>
            </w:pPr>
            <w:r>
              <w:rPr>
                <w:rStyle w:val="Aucun"/>
                <w:rFonts w:ascii="Verdana" w:hAnsi="Verdana"/>
                <w:b/>
                <w:bCs/>
                <w:sz w:val="20"/>
                <w:szCs w:val="20"/>
              </w:rPr>
              <w:t>Traceability and Claims</w:t>
            </w:r>
            <w:r>
              <w:rPr>
                <w:rStyle w:val="Aucun"/>
                <w:rFonts w:ascii="Verdana" w:hAnsi="Verdana"/>
                <w:sz w:val="20"/>
                <w:szCs w:val="20"/>
              </w:rPr>
              <w:t xml:space="preserve">: If claims will be made on the products coming from certified companies, then mechanisms to control the claims are also required. The type of claim depends on the level of traceability of the palm oil, of which there are four basic options: </w:t>
            </w:r>
          </w:p>
          <w:p w:rsidR="000F00BD" w:rsidRDefault="00783A3A">
            <w:pPr>
              <w:numPr>
                <w:ilvl w:val="0"/>
                <w:numId w:val="21"/>
              </w:numPr>
              <w:spacing w:after="0" w:line="240" w:lineRule="auto"/>
              <w:jc w:val="both"/>
              <w:rPr>
                <w:rStyle w:val="Aucun"/>
                <w:rFonts w:ascii="Verdana" w:eastAsia="Verdana" w:hAnsi="Verdana" w:cs="Verdana"/>
                <w:i/>
                <w:iCs/>
                <w:sz w:val="20"/>
                <w:szCs w:val="20"/>
              </w:rPr>
            </w:pPr>
            <w:r>
              <w:rPr>
                <w:rStyle w:val="Aucun"/>
                <w:rFonts w:ascii="Verdana" w:hAnsi="Verdana"/>
                <w:i/>
                <w:iCs/>
                <w:sz w:val="20"/>
                <w:szCs w:val="20"/>
              </w:rPr>
              <w:t>Identity preserved</w:t>
            </w:r>
            <w:r>
              <w:rPr>
                <w:rStyle w:val="Aucun"/>
                <w:rFonts w:ascii="Verdana" w:hAnsi="Verdana"/>
                <w:sz w:val="20"/>
                <w:szCs w:val="20"/>
              </w:rPr>
              <w:t xml:space="preserve"> (where the provenance of the certified palm oil is known to the purchaser); </w:t>
            </w:r>
          </w:p>
          <w:p w:rsidR="000F00BD" w:rsidRDefault="00783A3A">
            <w:pPr>
              <w:numPr>
                <w:ilvl w:val="0"/>
                <w:numId w:val="21"/>
              </w:numPr>
              <w:spacing w:after="0" w:line="240" w:lineRule="auto"/>
              <w:jc w:val="both"/>
              <w:rPr>
                <w:rStyle w:val="Aucun"/>
                <w:rFonts w:ascii="Verdana" w:eastAsia="Verdana" w:hAnsi="Verdana" w:cs="Verdana"/>
                <w:i/>
                <w:iCs/>
                <w:sz w:val="20"/>
                <w:szCs w:val="20"/>
              </w:rPr>
            </w:pPr>
            <w:r>
              <w:rPr>
                <w:rStyle w:val="Aucun"/>
                <w:rFonts w:ascii="Verdana" w:hAnsi="Verdana"/>
                <w:i/>
                <w:iCs/>
                <w:sz w:val="20"/>
                <w:szCs w:val="20"/>
              </w:rPr>
              <w:t>Segregated</w:t>
            </w:r>
            <w:r>
              <w:rPr>
                <w:rStyle w:val="Aucun"/>
                <w:rFonts w:ascii="Verdana" w:hAnsi="Verdana"/>
                <w:sz w:val="20"/>
                <w:szCs w:val="20"/>
              </w:rPr>
              <w:t xml:space="preserve"> (certified palm oil is kept segregated from non-certified, however the plantation of origin may be unknown to the purchaser as a result of multiple transportation, bulking and processing stages); </w:t>
            </w:r>
          </w:p>
          <w:p w:rsidR="000F00BD" w:rsidRDefault="00783A3A">
            <w:pPr>
              <w:numPr>
                <w:ilvl w:val="0"/>
                <w:numId w:val="21"/>
              </w:numPr>
              <w:spacing w:after="0" w:line="240" w:lineRule="auto"/>
              <w:jc w:val="both"/>
              <w:rPr>
                <w:rStyle w:val="Aucun"/>
                <w:rFonts w:ascii="Verdana" w:eastAsia="Verdana" w:hAnsi="Verdana" w:cs="Verdana"/>
                <w:i/>
                <w:iCs/>
                <w:sz w:val="20"/>
                <w:szCs w:val="20"/>
              </w:rPr>
            </w:pPr>
            <w:r>
              <w:rPr>
                <w:rStyle w:val="Aucun"/>
                <w:rFonts w:ascii="Verdana" w:hAnsi="Verdana"/>
                <w:i/>
                <w:iCs/>
                <w:sz w:val="20"/>
                <w:szCs w:val="20"/>
              </w:rPr>
              <w:t>Mass balance</w:t>
            </w:r>
            <w:r>
              <w:rPr>
                <w:rStyle w:val="Aucun"/>
                <w:rFonts w:ascii="Verdana" w:hAnsi="Verdana"/>
                <w:sz w:val="20"/>
                <w:szCs w:val="20"/>
              </w:rPr>
              <w:t xml:space="preserve"> (certified and uncertified palm oil are mixed, with the proportion of certified palm oil entering a process known, therefore a purchaser has on average that proportion of certified palm oil);</w:t>
            </w:r>
          </w:p>
          <w:p w:rsidR="000F00BD" w:rsidRDefault="00783A3A">
            <w:pPr>
              <w:numPr>
                <w:ilvl w:val="0"/>
                <w:numId w:val="22"/>
              </w:numPr>
              <w:spacing w:after="120" w:line="240" w:lineRule="auto"/>
              <w:jc w:val="both"/>
              <w:rPr>
                <w:rStyle w:val="Aucun"/>
                <w:rFonts w:ascii="Verdana" w:eastAsia="Verdana" w:hAnsi="Verdana" w:cs="Verdana"/>
                <w:i/>
                <w:iCs/>
                <w:sz w:val="20"/>
                <w:szCs w:val="20"/>
              </w:rPr>
            </w:pPr>
            <w:r>
              <w:rPr>
                <w:rStyle w:val="Aucun"/>
                <w:rFonts w:ascii="Verdana" w:hAnsi="Verdana"/>
                <w:i/>
                <w:iCs/>
                <w:sz w:val="20"/>
                <w:szCs w:val="20"/>
              </w:rPr>
              <w:t>Book and claim</w:t>
            </w:r>
            <w:r>
              <w:rPr>
                <w:rStyle w:val="Aucun"/>
                <w:rFonts w:ascii="Verdana" w:hAnsi="Verdana"/>
                <w:sz w:val="20"/>
                <w:szCs w:val="20"/>
              </w:rPr>
              <w:t xml:space="preserve"> (the purchaser buys certificates corresponding to a volume of certified palm oil produced and redeems the value of the certificate to a certified producer, but buys oil on the open market).</w:t>
            </w:r>
          </w:p>
          <w:p w:rsidR="000F00BD" w:rsidRDefault="00783A3A">
            <w:pPr>
              <w:keepNext/>
              <w:spacing w:after="120"/>
            </w:pPr>
            <w:r>
              <w:rPr>
                <w:rStyle w:val="Aucun"/>
                <w:rFonts w:ascii="Verdana" w:hAnsi="Verdana"/>
                <w:sz w:val="20"/>
                <w:szCs w:val="20"/>
              </w:rPr>
              <w:t xml:space="preserve">Certification schemes may include mechanisms to verify traceability (identity preserved, segregated and mass balance) that are, in the more rigorous certification schemes, verified by independent third parties (certification bodies). The rules governing the labelling of those products are set out by the standards body.  </w:t>
            </w:r>
          </w:p>
        </w:tc>
      </w:tr>
    </w:tbl>
    <w:p w:rsidR="000F00BD" w:rsidRDefault="000F00BD">
      <w:pPr>
        <w:widowControl w:val="0"/>
        <w:spacing w:after="120" w:line="240" w:lineRule="auto"/>
        <w:rPr>
          <w:rStyle w:val="Hyperlink1"/>
        </w:rPr>
      </w:pPr>
    </w:p>
    <w:p w:rsidR="000F00BD" w:rsidRDefault="000F00BD">
      <w:pPr>
        <w:spacing w:after="120"/>
        <w:rPr>
          <w:rStyle w:val="Aucun"/>
          <w:rFonts w:ascii="Verdana" w:eastAsia="Verdana" w:hAnsi="Verdana" w:cs="Verdana"/>
          <w:sz w:val="20"/>
          <w:szCs w:val="20"/>
        </w:rPr>
      </w:pPr>
    </w:p>
    <w:p w:rsidR="000F00BD" w:rsidRDefault="00783A3A">
      <w:pPr>
        <w:pStyle w:val="Heading4"/>
        <w:numPr>
          <w:ilvl w:val="3"/>
          <w:numId w:val="20"/>
        </w:numPr>
        <w:rPr>
          <w:rFonts w:ascii="Verdana" w:eastAsia="Verdana" w:hAnsi="Verdana" w:cs="Verdana"/>
          <w:b/>
          <w:bCs/>
          <w:sz w:val="22"/>
          <w:szCs w:val="22"/>
        </w:rPr>
      </w:pPr>
      <w:r>
        <w:rPr>
          <w:rFonts w:ascii="Verdana" w:hAnsi="Verdana"/>
          <w:b/>
          <w:bCs/>
          <w:sz w:val="22"/>
          <w:szCs w:val="22"/>
        </w:rPr>
        <w:t xml:space="preserve">Indonesian Sustainable Palm Oil </w:t>
      </w:r>
    </w:p>
    <w:p w:rsidR="000F00BD" w:rsidRDefault="00783A3A">
      <w:pPr>
        <w:rPr>
          <w:rStyle w:val="Hyperlink1"/>
        </w:rPr>
      </w:pPr>
      <w:r>
        <w:rPr>
          <w:rStyle w:val="Hyperlink1"/>
        </w:rPr>
        <w:t>The Indonesian Government launched its Indonesian Sustainable Palm Oil (ISPO) scheme in 2011 (</w:t>
      </w:r>
      <w:hyperlink w:anchor="Ref365637812" w:history="1">
        <w:r>
          <w:rPr>
            <w:rStyle w:val="Hyperlink1"/>
          </w:rPr>
          <w:t>Table 37</w:t>
        </w:r>
      </w:hyperlink>
      <w:r>
        <w:rPr>
          <w:rStyle w:val="Hyperlink1"/>
        </w:rPr>
        <w:t xml:space="preserve">). More information on the ISPO’s Principles can be found at </w:t>
      </w:r>
      <w:r>
        <w:rPr>
          <w:rStyle w:val="Hyperlink2"/>
        </w:rPr>
        <w:t>Appendix 6</w:t>
      </w:r>
      <w:r>
        <w:rPr>
          <w:rStyle w:val="Hyperlink1"/>
        </w:rPr>
        <w:t>.</w:t>
      </w:r>
    </w:p>
    <w:p w:rsidR="000F00BD" w:rsidRDefault="00783A3A">
      <w:pPr>
        <w:rPr>
          <w:rStyle w:val="Hyperlink1"/>
        </w:rPr>
      </w:pPr>
      <w:r>
        <w:rPr>
          <w:rStyle w:val="Hyperlink1"/>
        </w:rPr>
        <w:t>ISPO is mandatory for companies producing and/or processing palm oil, except for smallholders and for plantation companies producing palm oil for renewable energy. The standard was introduced to ensure the adherence of oil palm plantations to government laws and policies, demonstrate that adherence to Indonesian regulations could deliver sustainable production, and support the Indonesian Government’s commitment to reduce national GHG emissions.</w:t>
      </w:r>
    </w:p>
    <w:p w:rsidR="000F00BD" w:rsidRDefault="00783A3A">
      <w:pPr>
        <w:rPr>
          <w:rStyle w:val="Hyperlink1"/>
        </w:rPr>
      </w:pPr>
      <w:r>
        <w:rPr>
          <w:rStyle w:val="Hyperlink1"/>
        </w:rPr>
        <w:t>The standard is based on existing Indonesian regulations that pertain to palm oil cultivation and processing. Certification includes independent, third party verification. There is less separation of decision-making and transparency than in the certification systems discussed above: certification bodies are appointed by the ISPO Commission as the scope of the national accreditation body (the Indonesian Accreditation Committee, KAN) does not yet include sustainability, and there is no requirement for summary audit reports to be publicly available.</w:t>
      </w:r>
    </w:p>
    <w:p w:rsidR="000F00BD" w:rsidRDefault="00783A3A">
      <w:pPr>
        <w:rPr>
          <w:rStyle w:val="Hyperlink1"/>
        </w:rPr>
      </w:pPr>
      <w:r>
        <w:rPr>
          <w:rStyle w:val="Hyperlink1"/>
        </w:rPr>
        <w:t>Currently, 543 companies hold ISPO certificates,</w:t>
      </w:r>
      <w:r>
        <w:rPr>
          <w:rStyle w:val="Aucun"/>
          <w:rFonts w:ascii="Verdana" w:eastAsia="Verdana" w:hAnsi="Verdana" w:cs="Verdana"/>
          <w:sz w:val="20"/>
          <w:szCs w:val="20"/>
          <w:vertAlign w:val="superscript"/>
        </w:rPr>
        <w:footnoteReference w:id="16"/>
      </w:r>
      <w:r>
        <w:rPr>
          <w:rStyle w:val="Hyperlink1"/>
        </w:rPr>
        <w:t xml:space="preserve"> and it has been argued that the initiative has failed to reassure consumers, NGOs and foreign governments of its effectiveness in reducing negative environmental and social impacts. At present, coverage remains limited. In December 2017, 16.7% of Indonesian production was approved as complying with the ISPO standard.</w:t>
      </w:r>
    </w:p>
    <w:p w:rsidR="000F00BD" w:rsidRDefault="00783A3A">
      <w:pPr>
        <w:rPr>
          <w:rStyle w:val="Hyperlink1"/>
        </w:rPr>
      </w:pPr>
      <w:r>
        <w:rPr>
          <w:rStyle w:val="Hyperlink1"/>
        </w:rPr>
        <w:t xml:space="preserve">To address these concerns and perceived weaknesses, the position in December 2017 was that significant political commitment is being put into revising the ISPO scheme. These include the ISPO Strengthening Team, under the Coordinating Ministry of Economic Affairs (CMoEA), aiming at a Presidential Decree to repeal the current Ministerial Decree on ISPO for late 2017/early 2018. In addition, the </w:t>
      </w:r>
      <w:r>
        <w:rPr>
          <w:rStyle w:val="Aucun"/>
          <w:rFonts w:ascii="Verdana" w:hAnsi="Verdana"/>
          <w:i/>
          <w:iCs/>
          <w:sz w:val="20"/>
          <w:szCs w:val="20"/>
        </w:rPr>
        <w:t>Forum Kelapa Sawit Berkelanjutan Indonesia</w:t>
      </w:r>
      <w:r>
        <w:rPr>
          <w:rStyle w:val="Hyperlink1"/>
        </w:rPr>
        <w:t> (FoKSBI), a multi-stakeholder forum led by the Indonesian government and facilitated by UNDP, aims to increase the coordination, sustainability and efficiency of the palm oil sector, including developing a National Action Plan. These processes are expected to result in significant revisions to the ISPO standard and certification processes that may address some of the weaknesses that have been identified by stakeholders. Although it is not possible to know what changes will occur at the time of writing, some of the innovations being considered include:</w:t>
      </w:r>
    </w:p>
    <w:p w:rsidR="000F00BD" w:rsidRDefault="00783A3A">
      <w:pPr>
        <w:numPr>
          <w:ilvl w:val="0"/>
          <w:numId w:val="24"/>
        </w:numPr>
        <w:spacing w:after="80" w:line="240" w:lineRule="auto"/>
        <w:jc w:val="both"/>
        <w:rPr>
          <w:rFonts w:ascii="Verdana" w:eastAsia="Verdana" w:hAnsi="Verdana" w:cs="Verdana"/>
          <w:sz w:val="20"/>
          <w:szCs w:val="20"/>
        </w:rPr>
      </w:pPr>
      <w:r>
        <w:rPr>
          <w:rFonts w:ascii="Verdana" w:hAnsi="Verdana"/>
          <w:sz w:val="20"/>
          <w:szCs w:val="20"/>
        </w:rPr>
        <w:t>The certification of aggregated entities the (villages, cooperatives of even districts) to be certified as a whole, on behalf of individual farmers within their boundaries;</w:t>
      </w:r>
    </w:p>
    <w:p w:rsidR="000F00BD" w:rsidRDefault="00783A3A">
      <w:pPr>
        <w:numPr>
          <w:ilvl w:val="0"/>
          <w:numId w:val="24"/>
        </w:numPr>
        <w:spacing w:after="80" w:line="240" w:lineRule="auto"/>
        <w:jc w:val="both"/>
        <w:rPr>
          <w:rFonts w:ascii="Verdana" w:eastAsia="Verdana" w:hAnsi="Verdana" w:cs="Verdana"/>
          <w:sz w:val="20"/>
          <w:szCs w:val="20"/>
        </w:rPr>
      </w:pPr>
      <w:r>
        <w:rPr>
          <w:rFonts w:ascii="Verdana" w:hAnsi="Verdana"/>
          <w:sz w:val="20"/>
          <w:szCs w:val="20"/>
        </w:rPr>
        <w:t xml:space="preserve">The scheme becoming mandatory to all producers; </w:t>
      </w:r>
    </w:p>
    <w:p w:rsidR="000F00BD" w:rsidRDefault="00783A3A">
      <w:pPr>
        <w:numPr>
          <w:ilvl w:val="0"/>
          <w:numId w:val="24"/>
        </w:numPr>
        <w:spacing w:after="80" w:line="240" w:lineRule="auto"/>
        <w:jc w:val="both"/>
        <w:rPr>
          <w:rFonts w:ascii="Verdana" w:eastAsia="Verdana" w:hAnsi="Verdana" w:cs="Verdana"/>
          <w:sz w:val="20"/>
          <w:szCs w:val="20"/>
        </w:rPr>
      </w:pPr>
      <w:r>
        <w:rPr>
          <w:rFonts w:ascii="Verdana" w:hAnsi="Verdana"/>
          <w:sz w:val="20"/>
          <w:szCs w:val="20"/>
        </w:rPr>
        <w:lastRenderedPageBreak/>
        <w:t>A new principle and criteria on transparency and supply chains; including as regards access to information for independent monitoring;</w:t>
      </w:r>
    </w:p>
    <w:p w:rsidR="000F00BD" w:rsidRDefault="00783A3A">
      <w:pPr>
        <w:numPr>
          <w:ilvl w:val="0"/>
          <w:numId w:val="24"/>
        </w:numPr>
        <w:spacing w:after="80" w:line="240" w:lineRule="auto"/>
        <w:jc w:val="both"/>
        <w:rPr>
          <w:rFonts w:ascii="Verdana" w:eastAsia="Verdana" w:hAnsi="Verdana" w:cs="Verdana"/>
          <w:sz w:val="20"/>
          <w:szCs w:val="20"/>
        </w:rPr>
      </w:pPr>
      <w:r>
        <w:rPr>
          <w:rFonts w:ascii="Verdana" w:hAnsi="Verdana"/>
          <w:sz w:val="20"/>
          <w:szCs w:val="20"/>
        </w:rPr>
        <w:t>A revised governance structure inspired by the FLEGT multi-stakeholder, consultative process;</w:t>
      </w:r>
    </w:p>
    <w:p w:rsidR="000F00BD" w:rsidRDefault="00783A3A">
      <w:pPr>
        <w:numPr>
          <w:ilvl w:val="0"/>
          <w:numId w:val="24"/>
        </w:numPr>
        <w:spacing w:after="240" w:line="240" w:lineRule="auto"/>
        <w:jc w:val="both"/>
        <w:rPr>
          <w:rFonts w:ascii="Verdana" w:eastAsia="Verdana" w:hAnsi="Verdana" w:cs="Verdana"/>
          <w:sz w:val="20"/>
          <w:szCs w:val="20"/>
        </w:rPr>
      </w:pPr>
      <w:r>
        <w:rPr>
          <w:rFonts w:ascii="Verdana" w:hAnsi="Verdana"/>
          <w:sz w:val="20"/>
          <w:szCs w:val="20"/>
        </w:rPr>
        <w:t>A clarification of defining "deforestation", possibly informed by parallel progress of the national REDD+</w:t>
      </w:r>
      <w:r>
        <w:rPr>
          <w:rStyle w:val="Aucun"/>
          <w:rFonts w:ascii="Verdana" w:eastAsia="Verdana" w:hAnsi="Verdana" w:cs="Verdana"/>
          <w:sz w:val="20"/>
          <w:szCs w:val="20"/>
          <w:vertAlign w:val="superscript"/>
        </w:rPr>
        <w:footnoteReference w:id="17"/>
      </w:r>
      <w:r>
        <w:rPr>
          <w:rFonts w:ascii="Verdana" w:hAnsi="Verdana"/>
          <w:sz w:val="20"/>
          <w:szCs w:val="20"/>
        </w:rPr>
        <w:t xml:space="preserve"> policy as regards the National Forest Monitoring System and Reference Levels.</w:t>
      </w:r>
    </w:p>
    <w:p w:rsidR="000F00BD" w:rsidRDefault="00783A3A">
      <w:pPr>
        <w:rPr>
          <w:rStyle w:val="Hyperlink1"/>
        </w:rPr>
      </w:pPr>
      <w:r>
        <w:rPr>
          <w:rStyle w:val="Hyperlink1"/>
        </w:rPr>
        <w:t>Finally, there have been attempts to find common ground between public and private schemes. A recent joint study between ISPO and RSPO identifies significant scope for alignment, particularly in the auditing process, whilst also highlighting some key differences in the treatment and definition of High Conservation Value (HCV) areas within concessions, and the rules for developing new plantations.</w:t>
      </w:r>
      <w:r>
        <w:rPr>
          <w:rStyle w:val="Aucun"/>
          <w:rFonts w:ascii="Verdana" w:eastAsia="Verdana" w:hAnsi="Verdana" w:cs="Verdana"/>
          <w:sz w:val="20"/>
          <w:szCs w:val="20"/>
          <w:vertAlign w:val="superscript"/>
        </w:rPr>
        <w:footnoteReference w:id="18"/>
      </w:r>
      <w:r>
        <w:rPr>
          <w:rStyle w:val="Hyperlink1"/>
        </w:rPr>
        <w:t xml:space="preserve"> It is not clear what steps will be taken by the two parties in order to promote greater alignment.</w:t>
      </w:r>
    </w:p>
    <w:p w:rsidR="000F00BD" w:rsidRDefault="000F00BD">
      <w:pPr>
        <w:spacing w:after="120"/>
        <w:rPr>
          <w:rStyle w:val="Aucun"/>
          <w:rFonts w:ascii="Verdana" w:eastAsia="Verdana" w:hAnsi="Verdana" w:cs="Verdana"/>
          <w:sz w:val="20"/>
          <w:szCs w:val="20"/>
        </w:rPr>
      </w:pPr>
    </w:p>
    <w:p w:rsidR="000F00BD" w:rsidRDefault="000F00BD">
      <w:pPr>
        <w:spacing w:after="120"/>
        <w:rPr>
          <w:rStyle w:val="Aucun"/>
          <w:rFonts w:ascii="Verdana" w:eastAsia="Verdana" w:hAnsi="Verdana" w:cs="Verdana"/>
          <w:sz w:val="20"/>
          <w:szCs w:val="20"/>
        </w:rPr>
      </w:pPr>
    </w:p>
    <w:p w:rsidR="000F00BD" w:rsidRDefault="00783A3A">
      <w:pPr>
        <w:pStyle w:val="Heading3"/>
        <w:numPr>
          <w:ilvl w:val="2"/>
          <w:numId w:val="25"/>
        </w:numPr>
        <w:rPr>
          <w:rFonts w:ascii="Verdana" w:eastAsia="Verdana" w:hAnsi="Verdana" w:cs="Verdana"/>
          <w:b/>
          <w:bCs/>
          <w:i w:val="0"/>
          <w:iCs w:val="0"/>
          <w:sz w:val="22"/>
          <w:szCs w:val="22"/>
        </w:rPr>
      </w:pPr>
      <w:r>
        <w:rPr>
          <w:rFonts w:ascii="Verdana" w:hAnsi="Verdana"/>
          <w:b/>
          <w:bCs/>
          <w:i w:val="0"/>
          <w:iCs w:val="0"/>
          <w:sz w:val="22"/>
          <w:szCs w:val="22"/>
        </w:rPr>
        <w:t>Comparison of RSPO, ISCC, ISPO and MSPO</w:t>
      </w:r>
    </w:p>
    <w:p w:rsidR="000F00BD" w:rsidRDefault="00783A3A">
      <w:pPr>
        <w:rPr>
          <w:rStyle w:val="Hyperlink1"/>
        </w:rPr>
      </w:pPr>
      <w:r>
        <w:rPr>
          <w:rStyle w:val="Hyperlink1"/>
        </w:rPr>
        <w:t xml:space="preserve">This section compares the process requirements for the four main certification schemes. It then assesses the degree to which their standards cover the key environmental and social themes described in </w:t>
      </w:r>
      <w:r>
        <w:rPr>
          <w:rStyle w:val="Hyperlink2"/>
        </w:rPr>
        <w:t xml:space="preserve">Section </w:t>
      </w:r>
      <w:hyperlink w:anchor="bookmark2" w:history="1">
        <w:r>
          <w:rPr>
            <w:rStyle w:val="Hyperlink2"/>
          </w:rPr>
          <w:t>7</w:t>
        </w:r>
      </w:hyperlink>
      <w:r>
        <w:rPr>
          <w:rStyle w:val="Hyperlink2"/>
        </w:rPr>
        <w:t xml:space="preserve"> </w:t>
      </w:r>
      <w:r>
        <w:rPr>
          <w:rStyle w:val="Hyperlink1"/>
        </w:rPr>
        <w:t xml:space="preserve">of this report. </w:t>
      </w:r>
    </w:p>
    <w:p w:rsidR="000F00BD" w:rsidRDefault="00783A3A">
      <w:pPr>
        <w:rPr>
          <w:rStyle w:val="Hyperlink1"/>
        </w:rPr>
      </w:pPr>
      <w:r>
        <w:rPr>
          <w:rStyle w:val="Hyperlink1"/>
        </w:rPr>
        <w:t xml:space="preserve">The following analyses are of the current processes and standards. It is important to note, however, that all of these certification schemes are in stages of revision: the ISPO is undergoing a thorough review, the RSPO is in the process of revising its Principles and Criteria, MSPO is developing a supply chain standard; and the ISCC began to make summaries of its audit reports publicly available in October 2017. The specific standards assessed are: </w:t>
      </w:r>
    </w:p>
    <w:p w:rsidR="000F00BD" w:rsidRDefault="00783A3A">
      <w:pPr>
        <w:pStyle w:val="ListParagraph"/>
        <w:numPr>
          <w:ilvl w:val="0"/>
          <w:numId w:val="27"/>
        </w:numPr>
        <w:spacing w:after="240" w:line="240" w:lineRule="auto"/>
        <w:jc w:val="both"/>
        <w:rPr>
          <w:rFonts w:ascii="Verdana" w:eastAsia="Verdana" w:hAnsi="Verdana" w:cs="Verdana"/>
          <w:sz w:val="20"/>
          <w:szCs w:val="20"/>
        </w:rPr>
      </w:pPr>
      <w:r>
        <w:rPr>
          <w:rFonts w:ascii="Verdana" w:hAnsi="Verdana"/>
          <w:sz w:val="20"/>
          <w:szCs w:val="20"/>
        </w:rPr>
        <w:t>The RSPO Principles and Criteria for the Production of Sustainable Palm Oil;</w:t>
      </w:r>
      <w:r>
        <w:rPr>
          <w:rStyle w:val="Aucun"/>
          <w:rFonts w:ascii="Verdana" w:eastAsia="Verdana" w:hAnsi="Verdana" w:cs="Verdana"/>
          <w:sz w:val="20"/>
          <w:szCs w:val="20"/>
          <w:vertAlign w:val="superscript"/>
        </w:rPr>
        <w:footnoteReference w:id="19"/>
      </w:r>
    </w:p>
    <w:p w:rsidR="000F00BD" w:rsidRDefault="00783A3A">
      <w:pPr>
        <w:pStyle w:val="ListParagraph"/>
        <w:numPr>
          <w:ilvl w:val="0"/>
          <w:numId w:val="27"/>
        </w:numPr>
        <w:spacing w:after="240" w:line="240" w:lineRule="auto"/>
        <w:jc w:val="both"/>
        <w:rPr>
          <w:rFonts w:ascii="Verdana" w:eastAsia="Verdana" w:hAnsi="Verdana" w:cs="Verdana"/>
          <w:sz w:val="20"/>
          <w:szCs w:val="20"/>
        </w:rPr>
      </w:pPr>
      <w:r>
        <w:rPr>
          <w:rFonts w:ascii="Verdana" w:hAnsi="Verdana"/>
          <w:sz w:val="20"/>
          <w:szCs w:val="20"/>
        </w:rPr>
        <w:t>ISCC (EU) 202 Sustainability Requirements;</w:t>
      </w:r>
      <w:r>
        <w:rPr>
          <w:rStyle w:val="Aucun"/>
          <w:rFonts w:ascii="Verdana" w:eastAsia="Verdana" w:hAnsi="Verdana" w:cs="Verdana"/>
          <w:sz w:val="20"/>
          <w:szCs w:val="20"/>
          <w:vertAlign w:val="superscript"/>
        </w:rPr>
        <w:footnoteReference w:id="20"/>
      </w:r>
    </w:p>
    <w:p w:rsidR="000F00BD" w:rsidRDefault="00783A3A">
      <w:pPr>
        <w:pStyle w:val="ListParagraph"/>
        <w:numPr>
          <w:ilvl w:val="0"/>
          <w:numId w:val="27"/>
        </w:numPr>
        <w:spacing w:after="240" w:line="240" w:lineRule="auto"/>
        <w:jc w:val="both"/>
        <w:rPr>
          <w:rFonts w:ascii="Verdana" w:eastAsia="Verdana" w:hAnsi="Verdana" w:cs="Verdana"/>
          <w:sz w:val="20"/>
          <w:szCs w:val="20"/>
        </w:rPr>
      </w:pPr>
      <w:r>
        <w:rPr>
          <w:rStyle w:val="Aucun"/>
          <w:rFonts w:ascii="Verdana" w:hAnsi="Verdana"/>
          <w:sz w:val="20"/>
          <w:szCs w:val="20"/>
        </w:rPr>
        <w:t>ISPO Principles And Criteria Of Indonesian Sustainable Palm Oil for Plantation Company Operating Cultivation;</w:t>
      </w:r>
      <w:r>
        <w:rPr>
          <w:rStyle w:val="Aucun"/>
          <w:rFonts w:ascii="Verdana" w:eastAsia="Verdana" w:hAnsi="Verdana" w:cs="Verdana"/>
          <w:sz w:val="20"/>
          <w:szCs w:val="20"/>
          <w:vertAlign w:val="superscript"/>
        </w:rPr>
        <w:footnoteReference w:id="21"/>
      </w:r>
      <w:r>
        <w:rPr>
          <w:rStyle w:val="Aucun"/>
          <w:rFonts w:ascii="Verdana" w:hAnsi="Verdana"/>
          <w:sz w:val="20"/>
          <w:szCs w:val="20"/>
        </w:rPr>
        <w:t xml:space="preserve"> and (for those issues specific to mills) Principles And Criteria Of Indonesian Sustainable Palm Oil (ISPO) For Plantation Companies Operating Processing Of Palm Oil/Mill</w:t>
      </w:r>
    </w:p>
    <w:p w:rsidR="000F00BD" w:rsidRDefault="00783A3A">
      <w:pPr>
        <w:pStyle w:val="ListParagraph"/>
        <w:numPr>
          <w:ilvl w:val="0"/>
          <w:numId w:val="27"/>
        </w:numPr>
        <w:spacing w:after="240" w:line="240" w:lineRule="auto"/>
        <w:jc w:val="both"/>
        <w:rPr>
          <w:rFonts w:ascii="Verdana" w:eastAsia="Verdana" w:hAnsi="Verdana" w:cs="Verdana"/>
          <w:sz w:val="20"/>
          <w:szCs w:val="20"/>
        </w:rPr>
      </w:pPr>
      <w:r>
        <w:rPr>
          <w:rStyle w:val="Aucun"/>
          <w:rFonts w:ascii="Verdana" w:hAnsi="Verdana"/>
          <w:sz w:val="20"/>
          <w:szCs w:val="20"/>
        </w:rPr>
        <w:lastRenderedPageBreak/>
        <w:t>MSPO General principles for oil palm plantations and organised smallholders.</w:t>
      </w:r>
      <w:r>
        <w:rPr>
          <w:rStyle w:val="Aucun"/>
          <w:rFonts w:ascii="Verdana" w:eastAsia="Verdana" w:hAnsi="Verdana" w:cs="Verdana"/>
          <w:sz w:val="20"/>
          <w:szCs w:val="20"/>
          <w:vertAlign w:val="superscript"/>
        </w:rPr>
        <w:footnoteReference w:id="22"/>
      </w:r>
      <w:r>
        <w:rPr>
          <w:rStyle w:val="Aucun"/>
          <w:rFonts w:ascii="Verdana" w:hAnsi="Verdana"/>
          <w:sz w:val="20"/>
          <w:szCs w:val="20"/>
        </w:rPr>
        <w:t xml:space="preserve"> </w:t>
      </w:r>
    </w:p>
    <w:p w:rsidR="000F00BD" w:rsidRDefault="00783A3A">
      <w:pPr>
        <w:rPr>
          <w:rStyle w:val="Hyperlink1"/>
        </w:rPr>
      </w:pPr>
      <w:r>
        <w:rPr>
          <w:rStyle w:val="Hyperlink1"/>
        </w:rPr>
        <w:t xml:space="preserve">The RSPO and ISCC EU standards are included because these are by far the most commonly used schemes for imports of palm oil into the EU for food and oleochemical use (RSPO) and biofuels (ISCC). The ISPO and MSPO are included as the national schemes for the two main producing countries. </w:t>
      </w:r>
    </w:p>
    <w:p w:rsidR="000F00BD" w:rsidRDefault="00783A3A">
      <w:pPr>
        <w:pStyle w:val="Heading4"/>
        <w:numPr>
          <w:ilvl w:val="3"/>
          <w:numId w:val="25"/>
        </w:numPr>
        <w:rPr>
          <w:rFonts w:ascii="Verdana" w:eastAsia="Verdana" w:hAnsi="Verdana" w:cs="Verdana"/>
          <w:b/>
          <w:bCs/>
          <w:sz w:val="22"/>
          <w:szCs w:val="22"/>
        </w:rPr>
      </w:pPr>
      <w:bookmarkStart w:id="2" w:name="_Ref361222635"/>
      <w:r>
        <w:rPr>
          <w:rFonts w:ascii="Verdana" w:hAnsi="Verdana"/>
          <w:b/>
          <w:bCs/>
          <w:sz w:val="22"/>
          <w:szCs w:val="22"/>
        </w:rPr>
        <w:t>Certification process</w:t>
      </w:r>
      <w:bookmarkEnd w:id="2"/>
    </w:p>
    <w:p w:rsidR="000F00BD" w:rsidRDefault="00783A3A">
      <w:pPr>
        <w:rPr>
          <w:rStyle w:val="Hyperlink1"/>
        </w:rPr>
      </w:pPr>
      <w:r>
        <w:rPr>
          <w:rStyle w:val="Hyperlink1"/>
        </w:rPr>
        <w:t xml:space="preserve">Certification schemes comprise a series of processes, the main ones being the certification process (who verifies compliance, how, and who decides whether performance has reached the standard); accreditation; complaints procedures; transparency; and claims (please see </w:t>
      </w:r>
      <w:hyperlink w:anchor="bookmark3" w:history="1">
        <w:r>
          <w:rPr>
            <w:rStyle w:val="Hyperlink1"/>
          </w:rPr>
          <w:t>Table 34</w:t>
        </w:r>
      </w:hyperlink>
      <w:r>
        <w:rPr>
          <w:rStyle w:val="Hyperlink1"/>
        </w:rPr>
        <w:t>). The way that these processes are undertaken provides a greater or lesser prospect of independence of decision-making and confidence in the system. The tried and tested best practice for each of the processes within certification is codified by the International Organisation for Standardisation (ISO). This provides a convenient mechanism for comparing certification schemes,</w:t>
      </w:r>
      <w:r>
        <w:rPr>
          <w:rStyle w:val="Aucun"/>
          <w:rFonts w:ascii="Verdana" w:eastAsia="Verdana" w:hAnsi="Verdana" w:cs="Verdana"/>
          <w:sz w:val="20"/>
          <w:szCs w:val="20"/>
          <w:vertAlign w:val="superscript"/>
        </w:rPr>
        <w:footnoteReference w:id="23"/>
      </w:r>
      <w:r>
        <w:rPr>
          <w:rStyle w:val="Hyperlink1"/>
        </w:rPr>
        <w:t xml:space="preserve"> with the following elements defined by Nussbaum </w:t>
      </w:r>
      <w:r>
        <w:rPr>
          <w:rStyle w:val="Aucun"/>
          <w:rFonts w:ascii="Verdana" w:hAnsi="Verdana"/>
          <w:i/>
          <w:iCs/>
          <w:sz w:val="20"/>
          <w:szCs w:val="20"/>
        </w:rPr>
        <w:t xml:space="preserve">et al. </w:t>
      </w:r>
      <w:r>
        <w:rPr>
          <w:rStyle w:val="Hyperlink1"/>
        </w:rPr>
        <w:t>(2002)</w:t>
      </w:r>
      <w:r>
        <w:rPr>
          <w:rStyle w:val="Aucun"/>
          <w:rFonts w:ascii="Verdana" w:eastAsia="Verdana" w:hAnsi="Verdana" w:cs="Verdana"/>
          <w:sz w:val="20"/>
          <w:szCs w:val="20"/>
          <w:vertAlign w:val="superscript"/>
        </w:rPr>
        <w:footnoteReference w:id="24"/>
      </w:r>
      <w:r>
        <w:rPr>
          <w:rStyle w:val="Hyperlink1"/>
        </w:rPr>
        <w:t xml:space="preserve"> as among the key ones:</w:t>
      </w:r>
    </w:p>
    <w:p w:rsidR="000F00BD" w:rsidRDefault="00783A3A">
      <w:pPr>
        <w:rPr>
          <w:rStyle w:val="Hyperlink1"/>
        </w:rPr>
      </w:pPr>
      <w:r>
        <w:rPr>
          <w:rStyle w:val="Hyperlink2"/>
        </w:rPr>
        <w:t>Who verifies</w:t>
      </w:r>
      <w:r>
        <w:rPr>
          <w:rStyle w:val="Hyperlink1"/>
        </w:rPr>
        <w:t xml:space="preserve">: Does the scheme require certification by an independent, third party certification body, or is first or second party assessment accepted? </w:t>
      </w:r>
    </w:p>
    <w:p w:rsidR="000F00BD" w:rsidRDefault="00783A3A">
      <w:pPr>
        <w:rPr>
          <w:rStyle w:val="Hyperlink1"/>
        </w:rPr>
      </w:pPr>
      <w:r>
        <w:rPr>
          <w:rStyle w:val="Hyperlink2"/>
        </w:rPr>
        <w:t>How is compliance verified</w:t>
      </w:r>
      <w:r>
        <w:rPr>
          <w:rStyle w:val="Hyperlink1"/>
        </w:rPr>
        <w:t xml:space="preserve">: For all assessments it is important to establish not only that plans are assessed, but also that there is collection of objective evidence that the plans are implemented in practice, in the form of an audit. </w:t>
      </w:r>
    </w:p>
    <w:p w:rsidR="000F00BD" w:rsidRDefault="00783A3A">
      <w:pPr>
        <w:rPr>
          <w:rStyle w:val="Hyperlink1"/>
        </w:rPr>
      </w:pPr>
      <w:r>
        <w:rPr>
          <w:rStyle w:val="Hyperlink2"/>
        </w:rPr>
        <w:t>How often is it done</w:t>
      </w:r>
      <w:r>
        <w:rPr>
          <w:rStyle w:val="Hyperlink1"/>
        </w:rPr>
        <w:t>: Certification schemes must include a requirement for regular and adequate monitoring of certificate holders and mechanisms to remove certificates if the standard is no longer being met or if Corrective Action Requests have not been met. In the context of certification of agricultural crops, an annual surveillance audit is common practice.</w:t>
      </w:r>
    </w:p>
    <w:p w:rsidR="000F00BD" w:rsidRDefault="00783A3A">
      <w:pPr>
        <w:rPr>
          <w:rStyle w:val="Hyperlink1"/>
        </w:rPr>
      </w:pPr>
      <w:r>
        <w:rPr>
          <w:rStyle w:val="Hyperlink2"/>
        </w:rPr>
        <w:t>Who decides</w:t>
      </w:r>
      <w:r>
        <w:rPr>
          <w:rStyle w:val="Hyperlink1"/>
        </w:rPr>
        <w:t>: The decision whether an audited estate has met the requirements of the standard should be made impartiality, with a separation of responsibility for certification decision and audit, and with freedom from pressure that may influence decisions. The decision is typically made by staff from the certification body who have not been involved in the audit.</w:t>
      </w:r>
    </w:p>
    <w:p w:rsidR="000F00BD" w:rsidRDefault="00783A3A">
      <w:pPr>
        <w:rPr>
          <w:rStyle w:val="Hyperlink1"/>
        </w:rPr>
      </w:pPr>
      <w:r>
        <w:rPr>
          <w:rStyle w:val="Hyperlink1"/>
        </w:rPr>
        <w:t xml:space="preserve">Confidence in the certification system is enhanced by </w:t>
      </w:r>
      <w:r>
        <w:rPr>
          <w:rStyle w:val="Hyperlink2"/>
        </w:rPr>
        <w:t>accreditation</w:t>
      </w:r>
      <w:r>
        <w:rPr>
          <w:rStyle w:val="Hyperlink1"/>
        </w:rPr>
        <w:t xml:space="preserve"> of the certification body, complaints and grievance procedures and transparency. The certification body should be accredited by a credible accreditation body is fundamental to credible third-party certification independent organization provides assurance that a certification body is competent. Credibility of an accreditation body can be increased by adherence to international standards on accreditation, mutual recognition between national </w:t>
      </w:r>
      <w:r>
        <w:rPr>
          <w:rStyle w:val="Hyperlink1"/>
        </w:rPr>
        <w:lastRenderedPageBreak/>
        <w:t>accreditation bodies, or using an international accreditation body, having adequate complaints procedure mechanisms and by making its activities transparent.</w:t>
      </w:r>
      <w:r>
        <w:rPr>
          <w:rStyle w:val="Aucun"/>
          <w:rFonts w:ascii="Verdana" w:eastAsia="Verdana" w:hAnsi="Verdana" w:cs="Verdana"/>
          <w:sz w:val="20"/>
          <w:szCs w:val="20"/>
          <w:vertAlign w:val="superscript"/>
        </w:rPr>
        <w:footnoteReference w:id="25"/>
      </w:r>
      <w:r>
        <w:rPr>
          <w:rStyle w:val="Hyperlink1"/>
        </w:rPr>
        <w:t xml:space="preserve"> </w:t>
      </w:r>
    </w:p>
    <w:p w:rsidR="000F00BD" w:rsidRDefault="00783A3A">
      <w:pPr>
        <w:rPr>
          <w:rStyle w:val="Hyperlink1"/>
        </w:rPr>
      </w:pPr>
      <w:r>
        <w:rPr>
          <w:rStyle w:val="Hyperlink1"/>
        </w:rPr>
        <w:t xml:space="preserve">Certification bodies should have documented </w:t>
      </w:r>
      <w:r>
        <w:rPr>
          <w:rStyle w:val="Hyperlink2"/>
        </w:rPr>
        <w:t>complaints and grievance</w:t>
      </w:r>
      <w:r>
        <w:rPr>
          <w:rStyle w:val="Hyperlink1"/>
        </w:rPr>
        <w:t xml:space="preserve"> procedures which, when implemented, are able to resolve any complaints, appeals and disputes. Ideally, documentation on complaints and grievances, including their status, should be publicly available. </w:t>
      </w:r>
    </w:p>
    <w:p w:rsidR="000F00BD" w:rsidRDefault="00783A3A">
      <w:pPr>
        <w:rPr>
          <w:rStyle w:val="Hyperlink1"/>
        </w:rPr>
      </w:pPr>
      <w:r>
        <w:rPr>
          <w:rStyle w:val="Hyperlink2"/>
        </w:rPr>
        <w:t>Transparency</w:t>
      </w:r>
      <w:r>
        <w:rPr>
          <w:rStyle w:val="Hyperlink1"/>
        </w:rPr>
        <w:t xml:space="preserve">, the third element of building confidence in certification, has a number of different aspects. The key one considered here is the public availability of audit reports, which contribute significantly to transparency, but reduce confidentiality for the plantation company and increase the cost of the scheme, as a public summary of the audit report must be produced. </w:t>
      </w:r>
    </w:p>
    <w:p w:rsidR="000F00BD" w:rsidRDefault="00783A3A">
      <w:pPr>
        <w:rPr>
          <w:rStyle w:val="Hyperlink1"/>
        </w:rPr>
      </w:pPr>
      <w:r>
        <w:rPr>
          <w:rStyle w:val="Hyperlink1"/>
        </w:rPr>
        <w:t xml:space="preserve">The final element of most certification schemes regards </w:t>
      </w:r>
      <w:r>
        <w:rPr>
          <w:rStyle w:val="Hyperlink2"/>
        </w:rPr>
        <w:t>traceability and the claims</w:t>
      </w:r>
      <w:r>
        <w:rPr>
          <w:rStyle w:val="Hyperlink1"/>
        </w:rPr>
        <w:t xml:space="preserve"> that can be made about certified products. Depending on the supply chain model, such claims must be supported by effective chain of custody certification (</w:t>
      </w:r>
      <w:hyperlink w:anchor="bookmark4" w:history="1">
        <w:r>
          <w:rPr>
            <w:rStyle w:val="Hyperlink1"/>
          </w:rPr>
          <w:t>Table 34</w:t>
        </w:r>
      </w:hyperlink>
      <w:r>
        <w:rPr>
          <w:rStyle w:val="Hyperlink1"/>
        </w:rPr>
        <w:t>). Its elements are the standard, certification and accreditation. The scheme should cover product identification, product segregation and documentation.</w:t>
      </w:r>
    </w:p>
    <w:p w:rsidR="000F00BD" w:rsidRDefault="00783A3A">
      <w:pPr>
        <w:pStyle w:val="Caption"/>
        <w:spacing w:after="240"/>
      </w:pPr>
      <w:r>
        <w:rPr>
          <w:rStyle w:val="Aucun"/>
          <w:b w:val="0"/>
          <w:bCs w:val="0"/>
        </w:rPr>
        <w:t>Key elements of the certification process of RSPO, ISCC (EU), ISPO and MSPO are compared in</w:t>
      </w:r>
      <w:hyperlink w:anchor="bookmark5" w:history="1">
        <w:r>
          <w:rPr>
            <w:rStyle w:val="Hyperlink4"/>
          </w:rPr>
          <w:t xml:space="preserve"> </w:t>
        </w:r>
      </w:hyperlink>
      <w:hyperlink w:anchor="Ref365640182" w:history="1">
        <w:r>
          <w:t>Figure 30</w:t>
        </w:r>
      </w:hyperlink>
      <w:r>
        <w:t xml:space="preserve">. </w:t>
      </w:r>
      <w:r>
        <w:rPr>
          <w:rStyle w:val="Hyperlink4"/>
        </w:rPr>
        <w:t>In general terms, RSPO and ISCC follow ISO specifications closely.</w:t>
      </w:r>
      <w:r>
        <w:t xml:space="preserve"> </w:t>
      </w:r>
    </w:p>
    <w:p w:rsidR="000F00BD" w:rsidRDefault="00783A3A">
      <w:pPr>
        <w:pStyle w:val="Caption"/>
      </w:pPr>
      <w:bookmarkStart w:id="3" w:name="_Ref3656401821"/>
      <w:r>
        <w:t>Figure 30</w:t>
      </w:r>
      <w:bookmarkEnd w:id="3"/>
      <w:r>
        <w:t xml:space="preserve">: Summary of certification processes within four palm oil certification schemes </w:t>
      </w:r>
    </w:p>
    <w:tbl>
      <w:tblPr>
        <w:tblW w:w="91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8"/>
        <w:gridCol w:w="3561"/>
        <w:gridCol w:w="954"/>
        <w:gridCol w:w="943"/>
        <w:gridCol w:w="942"/>
        <w:gridCol w:w="997"/>
      </w:tblGrid>
      <w:tr w:rsidR="000F00BD">
        <w:trPr>
          <w:trHeight w:val="240"/>
          <w:jc w:val="center"/>
        </w:trPr>
        <w:tc>
          <w:tcPr>
            <w:tcW w:w="1738" w:type="dxa"/>
            <w:tcBorders>
              <w:top w:val="nil"/>
              <w:left w:val="nil"/>
              <w:bottom w:val="nil"/>
              <w:right w:val="nil"/>
            </w:tcBorders>
            <w:shd w:val="clear" w:color="auto" w:fill="13289F"/>
            <w:tcMar>
              <w:top w:w="80" w:type="dxa"/>
              <w:left w:w="80" w:type="dxa"/>
              <w:bottom w:w="80" w:type="dxa"/>
              <w:right w:w="80" w:type="dxa"/>
            </w:tcMar>
          </w:tcPr>
          <w:p w:rsidR="000F00BD" w:rsidRDefault="000F00BD"/>
        </w:tc>
        <w:tc>
          <w:tcPr>
            <w:tcW w:w="3561" w:type="dxa"/>
            <w:tcBorders>
              <w:top w:val="nil"/>
              <w:left w:val="nil"/>
              <w:bottom w:val="nil"/>
              <w:right w:val="nil"/>
            </w:tcBorders>
            <w:shd w:val="clear" w:color="auto" w:fill="13289F"/>
            <w:tcMar>
              <w:top w:w="80" w:type="dxa"/>
              <w:left w:w="80" w:type="dxa"/>
              <w:bottom w:w="80" w:type="dxa"/>
              <w:right w:w="80" w:type="dxa"/>
            </w:tcMar>
          </w:tcPr>
          <w:p w:rsidR="000F00BD" w:rsidRDefault="000F00BD"/>
        </w:tc>
        <w:tc>
          <w:tcPr>
            <w:tcW w:w="3836" w:type="dxa"/>
            <w:gridSpan w:val="4"/>
            <w:tcBorders>
              <w:top w:val="nil"/>
              <w:left w:val="nil"/>
              <w:bottom w:val="nil"/>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Standard</w:t>
            </w:r>
          </w:p>
        </w:tc>
      </w:tr>
      <w:tr w:rsidR="000F00BD">
        <w:trPr>
          <w:trHeight w:val="245"/>
          <w:jc w:val="center"/>
        </w:trPr>
        <w:tc>
          <w:tcPr>
            <w:tcW w:w="5299" w:type="dxa"/>
            <w:gridSpan w:val="2"/>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Certification scheme element</w:t>
            </w:r>
          </w:p>
        </w:tc>
        <w:tc>
          <w:tcPr>
            <w:tcW w:w="954"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RSPO</w:t>
            </w:r>
          </w:p>
        </w:tc>
        <w:tc>
          <w:tcPr>
            <w:tcW w:w="943"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ISCC</w:t>
            </w:r>
          </w:p>
        </w:tc>
        <w:tc>
          <w:tcPr>
            <w:tcW w:w="942"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ISPO</w:t>
            </w:r>
          </w:p>
        </w:tc>
        <w:tc>
          <w:tcPr>
            <w:tcW w:w="996"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MSPO</w:t>
            </w:r>
          </w:p>
        </w:tc>
      </w:tr>
      <w:tr w:rsidR="000F00BD">
        <w:trPr>
          <w:trHeight w:val="230"/>
          <w:jc w:val="center"/>
        </w:trPr>
        <w:tc>
          <w:tcPr>
            <w:tcW w:w="17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18"/>
                <w:szCs w:val="18"/>
              </w:rPr>
              <w:t>Certification</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0BD" w:rsidRDefault="00783A3A">
            <w:pPr>
              <w:spacing w:after="60"/>
            </w:pPr>
            <w:r>
              <w:rPr>
                <w:rStyle w:val="Aucun"/>
                <w:rFonts w:ascii="Verdana" w:hAnsi="Verdana"/>
                <w:sz w:val="18"/>
                <w:szCs w:val="18"/>
              </w:rPr>
              <w:t>Who: independent 3</w:t>
            </w:r>
            <w:r>
              <w:rPr>
                <w:rStyle w:val="Aucun"/>
                <w:rFonts w:ascii="Verdana" w:hAnsi="Verdana"/>
                <w:sz w:val="18"/>
                <w:szCs w:val="18"/>
                <w:vertAlign w:val="superscript"/>
              </w:rPr>
              <w:t>rd</w:t>
            </w:r>
            <w:r>
              <w:rPr>
                <w:rStyle w:val="Aucun"/>
                <w:rFonts w:ascii="Verdana" w:hAnsi="Verdana"/>
                <w:sz w:val="18"/>
                <w:szCs w:val="18"/>
              </w:rPr>
              <w:t xml:space="preserve"> Party</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vMerge/>
            <w:tcBorders>
              <w:top w:val="single" w:sz="4" w:space="0" w:color="000000"/>
              <w:left w:val="single" w:sz="4" w:space="0" w:color="000000"/>
              <w:bottom w:val="single" w:sz="4" w:space="0" w:color="000000"/>
              <w:right w:val="single" w:sz="4" w:space="0" w:color="000000"/>
            </w:tcBorders>
            <w:shd w:val="clear" w:color="auto" w:fill="FFFFFF"/>
          </w:tcPr>
          <w:p w:rsidR="000F00BD" w:rsidRDefault="000F00BD"/>
        </w:tc>
        <w:tc>
          <w:tcPr>
            <w:tcW w:w="3561"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How: audit</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vMerge/>
            <w:tcBorders>
              <w:top w:val="single" w:sz="4" w:space="0" w:color="000000"/>
              <w:left w:val="single" w:sz="4" w:space="0" w:color="000000"/>
              <w:bottom w:val="single" w:sz="4" w:space="0" w:color="000000"/>
              <w:right w:val="single" w:sz="4" w:space="0" w:color="000000"/>
            </w:tcBorders>
            <w:shd w:val="clear" w:color="auto" w:fill="FFFFFF"/>
          </w:tcPr>
          <w:p w:rsidR="000F00BD" w:rsidRDefault="000F00BD"/>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0BD" w:rsidRDefault="00783A3A">
            <w:pPr>
              <w:spacing w:after="60"/>
            </w:pPr>
            <w:r>
              <w:rPr>
                <w:rStyle w:val="Aucun"/>
                <w:rFonts w:ascii="Verdana" w:hAnsi="Verdana"/>
                <w:sz w:val="18"/>
                <w:szCs w:val="18"/>
              </w:rPr>
              <w:t>How often: annual surveillance</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vMerge/>
            <w:tcBorders>
              <w:top w:val="single" w:sz="4" w:space="0" w:color="000000"/>
              <w:left w:val="single" w:sz="4" w:space="0" w:color="000000"/>
              <w:bottom w:val="single" w:sz="4" w:space="0" w:color="000000"/>
              <w:right w:val="single" w:sz="4" w:space="0" w:color="000000"/>
            </w:tcBorders>
            <w:shd w:val="clear" w:color="auto" w:fill="FFFFFF"/>
          </w:tcPr>
          <w:p w:rsidR="000F00BD" w:rsidRDefault="000F00BD"/>
        </w:tc>
        <w:tc>
          <w:tcPr>
            <w:tcW w:w="3561"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Who decides: certification body</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Accreditation</w:t>
            </w:r>
          </w:p>
        </w:tc>
        <w:tc>
          <w:tcPr>
            <w:tcW w:w="3561"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Fully independent accreditation</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18"/>
                <w:szCs w:val="18"/>
              </w:rPr>
              <w:t xml:space="preserve">Complaints </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0BD" w:rsidRDefault="00783A3A">
            <w:pPr>
              <w:spacing w:after="60"/>
            </w:pPr>
            <w:r>
              <w:rPr>
                <w:rStyle w:val="Aucun"/>
                <w:rFonts w:ascii="Verdana" w:hAnsi="Verdana"/>
                <w:sz w:val="18"/>
                <w:szCs w:val="18"/>
              </w:rPr>
              <w:t>Documented procedures available</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Transparency</w:t>
            </w:r>
          </w:p>
        </w:tc>
        <w:tc>
          <w:tcPr>
            <w:tcW w:w="3561"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Audit reports publicly available</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18"/>
                <w:szCs w:val="18"/>
              </w:rPr>
              <w:lastRenderedPageBreak/>
              <w:t>Claims</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0BD" w:rsidRDefault="00783A3A">
            <w:pPr>
              <w:spacing w:after="60"/>
            </w:pPr>
            <w:r>
              <w:rPr>
                <w:rStyle w:val="Aucun"/>
                <w:rFonts w:ascii="Verdana" w:hAnsi="Verdana"/>
                <w:sz w:val="18"/>
                <w:szCs w:val="18"/>
              </w:rPr>
              <w:t>Supply chain verification</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r>
    </w:tbl>
    <w:p w:rsidR="000F00BD" w:rsidRDefault="000F00BD">
      <w:pPr>
        <w:pStyle w:val="Caption"/>
        <w:widowControl w:val="0"/>
        <w:jc w:val="center"/>
      </w:pPr>
    </w:p>
    <w:p w:rsidR="000F00BD" w:rsidRDefault="00783A3A">
      <w:pPr>
        <w:spacing w:before="60"/>
        <w:rPr>
          <w:rStyle w:val="Aucun"/>
          <w:rFonts w:ascii="Verdana" w:eastAsia="Verdana" w:hAnsi="Verdana" w:cs="Verdana"/>
          <w:sz w:val="16"/>
          <w:szCs w:val="16"/>
        </w:rPr>
      </w:pPr>
      <w:r>
        <w:rPr>
          <w:rStyle w:val="Aucun"/>
          <w:rFonts w:ascii="Verdana" w:hAnsi="Verdana"/>
          <w:sz w:val="16"/>
          <w:szCs w:val="16"/>
        </w:rPr>
        <w:t>Note: Dark shading indicates that the process reaches best practice, pale shading indicates absence of the process; mid-shade implies an intermediate state.</w:t>
      </w:r>
    </w:p>
    <w:p w:rsidR="000F00BD" w:rsidRDefault="00783A3A">
      <w:pPr>
        <w:pStyle w:val="Style2"/>
      </w:pPr>
      <w:r>
        <w:t>The ISPO has third party independent audits with annual surveillance, but the ISPO Commission decides whether a certificate should be issued (rather than the certification body) and accredits the certification body (rather than an independent accreditation body). Documented complaints and grievance procedures are required (but complaints processes are not publicly available) and audit findings are not publicly available. The MSPO system includes most of the required elements, other than independent supply chain verification (though procedures for this are under development).</w:t>
      </w:r>
    </w:p>
    <w:p w:rsidR="000F00BD" w:rsidRDefault="00783A3A">
      <w:pPr>
        <w:pStyle w:val="Heading4"/>
        <w:numPr>
          <w:ilvl w:val="3"/>
          <w:numId w:val="28"/>
        </w:numPr>
        <w:rPr>
          <w:rFonts w:ascii="Verdana" w:eastAsia="Verdana" w:hAnsi="Verdana" w:cs="Verdana"/>
          <w:b/>
          <w:bCs/>
          <w:sz w:val="22"/>
          <w:szCs w:val="22"/>
        </w:rPr>
      </w:pPr>
      <w:r>
        <w:rPr>
          <w:rFonts w:ascii="Verdana" w:hAnsi="Verdana"/>
          <w:b/>
          <w:bCs/>
          <w:sz w:val="22"/>
          <w:szCs w:val="22"/>
        </w:rPr>
        <w:t xml:space="preserve">Content of the standards </w:t>
      </w:r>
    </w:p>
    <w:p w:rsidR="000F00BD" w:rsidRDefault="009717E4">
      <w:pPr>
        <w:pStyle w:val="Caption"/>
        <w:spacing w:after="240"/>
        <w:rPr>
          <w:rStyle w:val="Hyperlink4"/>
        </w:rPr>
      </w:pPr>
      <w:hyperlink w:anchor="bookmark6" w:history="1">
        <w:r w:rsidR="00783A3A">
          <w:t>Table 39</w:t>
        </w:r>
      </w:hyperlink>
      <w:r w:rsidR="00783A3A">
        <w:t xml:space="preserve"> </w:t>
      </w:r>
      <w:r w:rsidR="00783A3A">
        <w:rPr>
          <w:rStyle w:val="Hyperlink4"/>
        </w:rPr>
        <w:t>summarises the coverage of the environmental themes within the RSPO, ISCC (EU), ISPO and MSPO standards. There are significant differences between the requirements of the standards on most key environmental issues. The ISCC standard has requirements that restrict deforestation, peat land conversion and greenhouse gas emissions to a greater degree than the other standards, while conserving biodiversity. The RSPO standard contains the next most restrictive requirements on all aspects except biodiversity conservation and greenhouse gas emissions, with the requirements of the MSPO standard being similar or less restrictive than those of the RSPO. The ISPO is officially mandatory, and the MSPO will be mandatory from end-2019. RSPO and ISCC are voluntary schemes.</w:t>
      </w:r>
    </w:p>
    <w:p w:rsidR="000F00BD" w:rsidRDefault="00783A3A">
      <w:pPr>
        <w:pStyle w:val="Caption"/>
        <w:spacing w:after="240"/>
      </w:pPr>
      <w:r>
        <w:rPr>
          <w:rStyle w:val="Hyperlink4"/>
        </w:rPr>
        <w:t xml:space="preserve">The ISCC, RSPO and MSPO have similar degrees of restriction on the use of fire for land clearance. Regarding air pollution (other than GHG), the RSPO and MSPO standards have the greatest restrictions for plantation and mill operators. The ISPO standard is essentially based on existing Indonesian regulations governing palm oil cultivation and processing, whereas the RSPO and ISCC (and to a lesser degree the MSPO) standards go beyond existing legal requirements; therefore the ISPO standard typically has less restrictive requirements on environmental issues than the others. The MSPO has comprehensive requirements on the maintenance of the quality and availability of surface and ground water, which include assessment and monitoring of water resources, water use efficiency, water harvesting, protection of water courses, a prohibition on obstructions of rivers and streams, and measures to prevent and reduce soil erosion. The other three standards have broadly similar requirements regarding water resources. </w:t>
      </w:r>
    </w:p>
    <w:p w:rsidR="000F00BD" w:rsidRDefault="00783A3A">
      <w:pPr>
        <w:rPr>
          <w:rStyle w:val="Hyperlink1"/>
        </w:rPr>
      </w:pPr>
      <w:r>
        <w:rPr>
          <w:rStyle w:val="Hyperlink1"/>
        </w:rPr>
        <w:t>The standards of the four schemes differ markedly regarding deforestation. The ISCC in effect excludes production from primary forest, and forests of high biodiversity value (Criterion 1.1), and degraded forest (Criterion 1.3). Degraded forest is defined conservatively, with a high proportion of logged forest included in the restriction. These are both classed as ‘major’ criteria; thus compliance is necessary in order to achieve certification. The RSPO standard has the less exacting requirement that forest clearance is legal, but primary forest and High Conservation forest are not to be cleared for oil palm cultivation.</w:t>
      </w:r>
      <w:r>
        <w:rPr>
          <w:rStyle w:val="Aucun"/>
          <w:rFonts w:ascii="Verdana" w:eastAsia="Verdana" w:hAnsi="Verdana" w:cs="Verdana"/>
          <w:sz w:val="20"/>
          <w:szCs w:val="20"/>
          <w:vertAlign w:val="superscript"/>
        </w:rPr>
        <w:footnoteReference w:id="26"/>
      </w:r>
      <w:r>
        <w:rPr>
          <w:rStyle w:val="Hyperlink1"/>
        </w:rPr>
        <w:t xml:space="preserve"> However, this still provides significantly more safeguards that the </w:t>
      </w:r>
      <w:r>
        <w:rPr>
          <w:rStyle w:val="Hyperlink1"/>
        </w:rPr>
        <w:lastRenderedPageBreak/>
        <w:t xml:space="preserve">ISPO standard, which permits forest clearance provided it is zoned for agriculture; is allowed under the environmental impact assessment; and the government has given the necessary permits. The MSPO standard is broadly similar to ISPO, but with additional requirements on Environmentally Sensitive Areas and areas with high biodiversity value. </w:t>
      </w:r>
    </w:p>
    <w:p w:rsidR="000F00BD" w:rsidRDefault="00783A3A">
      <w:pPr>
        <w:pStyle w:val="Caption"/>
        <w:keepNext/>
        <w:keepLines/>
      </w:pPr>
      <w:r>
        <w:rPr>
          <w:rStyle w:val="Hyperlink4"/>
        </w:rPr>
        <w:t>The RSPO standard provides some of the most restrictive requirements on social issues, such as land use rights, forced labour, child labour, the terms and condition of employment, treatment of smallholders, and the rights and wellbeing of people affected by plantations (</w:t>
      </w:r>
      <w:hyperlink w:anchor="bookmark7" w:history="1">
        <w:r>
          <w:rPr>
            <w:rStyle w:val="Hyperlink4"/>
          </w:rPr>
          <w:t>Table 40</w:t>
        </w:r>
      </w:hyperlink>
      <w:r>
        <w:rPr>
          <w:rStyle w:val="Hyperlink4"/>
        </w:rPr>
        <w:t xml:space="preserve">). The ISCC has similar requirements for terms and conditions of labour and rights and wellbeing, and the MSPO is similar in terms of land use rights. It should be noted that neither the ISPO nor the MSPO standard has specific provision to exclude forced labour from palm oil production, instead requiring compliance with national labour laws in general. These results are summarised in </w:t>
      </w:r>
      <w:hyperlink w:anchor="Ref375327917" w:history="1">
        <w:r>
          <w:rPr>
            <w:rStyle w:val="Hyperlink4"/>
          </w:rPr>
          <w:t>Figure 31</w:t>
        </w:r>
      </w:hyperlink>
      <w:r>
        <w:rPr>
          <w:rStyle w:val="Hyperlink4"/>
        </w:rPr>
        <w:t>.</w:t>
      </w:r>
      <w:r>
        <w:t xml:space="preserve"> </w:t>
      </w:r>
    </w:p>
    <w:p w:rsidR="000F00BD" w:rsidRDefault="00783A3A">
      <w:pPr>
        <w:pStyle w:val="Caption"/>
        <w:keepNext/>
        <w:keepLines/>
      </w:pPr>
      <w:r>
        <w:t xml:space="preserve"> </w:t>
      </w:r>
    </w:p>
    <w:p w:rsidR="000F00BD" w:rsidRDefault="00783A3A">
      <w:pPr>
        <w:pStyle w:val="Caption"/>
        <w:keepNext/>
        <w:keepLines/>
      </w:pPr>
      <w:bookmarkStart w:id="4" w:name="_Ref3753279171"/>
      <w:r>
        <w:t>Figure 31</w:t>
      </w:r>
      <w:bookmarkEnd w:id="4"/>
      <w:r>
        <w:t>: Summary of provisions within four palm oil certification standards against environmental and social themes</w:t>
      </w:r>
      <w:r>
        <w:rPr>
          <w:rStyle w:val="Hyperlink4"/>
        </w:rPr>
        <w:t>.</w:t>
      </w:r>
    </w:p>
    <w:tbl>
      <w:tblPr>
        <w:tblW w:w="81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9"/>
        <w:gridCol w:w="1620"/>
        <w:gridCol w:w="1620"/>
        <w:gridCol w:w="1620"/>
        <w:gridCol w:w="1620"/>
      </w:tblGrid>
      <w:tr w:rsidR="000F00BD">
        <w:trPr>
          <w:trHeight w:val="270"/>
          <w:jc w:val="center"/>
        </w:trPr>
        <w:tc>
          <w:tcPr>
            <w:tcW w:w="4086" w:type="dxa"/>
            <w:tcBorders>
              <w:top w:val="nil"/>
              <w:left w:val="nil"/>
              <w:bottom w:val="nil"/>
              <w:right w:val="nil"/>
            </w:tcBorders>
            <w:shd w:val="clear" w:color="auto" w:fill="13289F"/>
            <w:tcMar>
              <w:top w:w="80" w:type="dxa"/>
              <w:left w:w="80" w:type="dxa"/>
              <w:bottom w:w="80" w:type="dxa"/>
              <w:right w:w="1520" w:type="dxa"/>
            </w:tcMar>
          </w:tcPr>
          <w:p w:rsidR="000F00BD" w:rsidRDefault="000F00BD"/>
        </w:tc>
        <w:tc>
          <w:tcPr>
            <w:tcW w:w="4093" w:type="dxa"/>
            <w:gridSpan w:val="4"/>
            <w:tcBorders>
              <w:top w:val="nil"/>
              <w:left w:val="nil"/>
              <w:bottom w:val="nil"/>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Standard</w:t>
            </w:r>
          </w:p>
        </w:tc>
      </w:tr>
      <w:tr w:rsidR="000F00BD">
        <w:trPr>
          <w:trHeight w:val="275"/>
          <w:jc w:val="center"/>
        </w:trPr>
        <w:tc>
          <w:tcPr>
            <w:tcW w:w="4086"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Theme</w:t>
            </w:r>
          </w:p>
        </w:tc>
        <w:tc>
          <w:tcPr>
            <w:tcW w:w="1024"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RSPO</w:t>
            </w:r>
          </w:p>
        </w:tc>
        <w:tc>
          <w:tcPr>
            <w:tcW w:w="1024"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ISCC</w:t>
            </w:r>
          </w:p>
        </w:tc>
        <w:tc>
          <w:tcPr>
            <w:tcW w:w="1024"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ISPO</w:t>
            </w:r>
          </w:p>
        </w:tc>
        <w:tc>
          <w:tcPr>
            <w:tcW w:w="1020"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MSPO</w:t>
            </w:r>
          </w:p>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Deforestation</w:t>
            </w:r>
            <w:r>
              <w:rPr>
                <w:rStyle w:val="Aucun"/>
                <w:rFonts w:ascii="Verdana" w:hAnsi="Verdana"/>
                <w:sz w:val="20"/>
                <w:szCs w:val="20"/>
                <w:lang w:val="nl-NL"/>
              </w:rPr>
              <w:tab/>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 xml:space="preserve">Biodiversity </w:t>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Peat land conversion</w:t>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GHG emissions</w:t>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Burning</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Air pollution</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Water pollution</w:t>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Rights &amp; Wellbeing</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Land use rights</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 xml:space="preserve">Treatment of </w:t>
            </w:r>
            <w:r>
              <w:rPr>
                <w:rStyle w:val="Aucun"/>
                <w:rFonts w:ascii="Verdana" w:hAnsi="Verdana"/>
                <w:sz w:val="20"/>
                <w:szCs w:val="20"/>
                <w:lang w:val="nl-NL"/>
              </w:rPr>
              <w:lastRenderedPageBreak/>
              <w:t>smallholders</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Forced and Child labour</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783A3A">
            <w:pPr>
              <w:spacing w:after="60"/>
            </w:pPr>
            <w:r>
              <w:rPr>
                <w:rStyle w:val="Aucun"/>
                <w:rFonts w:ascii="Verdana" w:hAnsi="Verdana"/>
                <w:sz w:val="18"/>
                <w:szCs w:val="18"/>
                <w:lang w:val="nl-NL"/>
              </w:rPr>
              <w:t xml:space="preserve"> </w:t>
            </w:r>
          </w:p>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rPr>
              <w:t>Terms and conditions of labour</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152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152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152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1520" w:type="dxa"/>
            </w:tcMar>
          </w:tcPr>
          <w:p w:rsidR="000F00BD" w:rsidRDefault="000F00BD"/>
        </w:tc>
      </w:tr>
    </w:tbl>
    <w:p w:rsidR="000F00BD" w:rsidRDefault="000F00BD">
      <w:pPr>
        <w:pStyle w:val="Caption"/>
        <w:keepNext/>
        <w:keepLines/>
        <w:widowControl w:val="0"/>
        <w:jc w:val="center"/>
      </w:pPr>
    </w:p>
    <w:p w:rsidR="000F00BD" w:rsidRDefault="00783A3A">
      <w:pPr>
        <w:spacing w:before="60"/>
        <w:rPr>
          <w:rStyle w:val="Aucun"/>
          <w:rFonts w:ascii="Verdana" w:eastAsia="Verdana" w:hAnsi="Verdana" w:cs="Verdana"/>
          <w:sz w:val="16"/>
          <w:szCs w:val="16"/>
        </w:rPr>
      </w:pPr>
      <w:r>
        <w:rPr>
          <w:rStyle w:val="Aucun"/>
          <w:rFonts w:ascii="Verdana" w:hAnsi="Verdana"/>
          <w:sz w:val="16"/>
          <w:szCs w:val="16"/>
        </w:rPr>
        <w:t>Note: Dark shading indicates that the standard provides the greatest restrictions on activities; pale shading indicates the fewest restrictions; mid-shade indicates an intermediate state.</w:t>
      </w:r>
    </w:p>
    <w:p w:rsidR="000F00BD" w:rsidRDefault="00783A3A">
      <w:pPr>
        <w:pStyle w:val="Heading4"/>
        <w:numPr>
          <w:ilvl w:val="3"/>
          <w:numId w:val="29"/>
        </w:numPr>
        <w:rPr>
          <w:rFonts w:ascii="Verdana" w:eastAsia="Verdana" w:hAnsi="Verdana" w:cs="Verdana"/>
          <w:b/>
          <w:bCs/>
          <w:sz w:val="22"/>
          <w:szCs w:val="22"/>
        </w:rPr>
      </w:pPr>
      <w:bookmarkStart w:id="5" w:name="_Ref370399742"/>
      <w:r>
        <w:rPr>
          <w:rFonts w:ascii="Verdana" w:hAnsi="Verdana"/>
          <w:b/>
          <w:bCs/>
          <w:sz w:val="22"/>
          <w:szCs w:val="22"/>
        </w:rPr>
        <w:t xml:space="preserve">Implementation </w:t>
      </w:r>
      <w:bookmarkEnd w:id="5"/>
      <w:r>
        <w:rPr>
          <w:rFonts w:ascii="Verdana" w:hAnsi="Verdana"/>
          <w:b/>
          <w:bCs/>
          <w:sz w:val="22"/>
          <w:szCs w:val="22"/>
        </w:rPr>
        <w:t>of schemes</w:t>
      </w:r>
    </w:p>
    <w:p w:rsidR="000F00BD" w:rsidRDefault="00783A3A">
      <w:pPr>
        <w:pStyle w:val="Text4"/>
        <w:ind w:left="0"/>
        <w:rPr>
          <w:rStyle w:val="Hyperlink1"/>
        </w:rPr>
      </w:pPr>
      <w:r>
        <w:rPr>
          <w:rStyle w:val="Hyperlink1"/>
        </w:rPr>
        <w:t>Limited independent research has been conducted on the implementation of schemes within the palm oil sector. The studies that do exist have largely been focused on the RSPO. These include concerns that it is not delivering significant environmental outcomes, such as reduced deforestation and biodiversity conservation,</w:t>
      </w:r>
      <w:r>
        <w:rPr>
          <w:rStyle w:val="Aucun"/>
          <w:rFonts w:ascii="Verdana" w:eastAsia="Verdana" w:hAnsi="Verdana" w:cs="Verdana"/>
          <w:sz w:val="20"/>
          <w:szCs w:val="20"/>
          <w:vertAlign w:val="superscript"/>
        </w:rPr>
        <w:footnoteReference w:id="27"/>
      </w:r>
      <w:r>
        <w:rPr>
          <w:rStyle w:val="Hyperlink1"/>
        </w:rPr>
        <w:t xml:space="preserve"> and that the auditing process is inadequate to detect (or in some cases colludes in) serious breaches of the standards on issues such as deforestation, land rights,</w:t>
      </w:r>
      <w:r>
        <w:rPr>
          <w:rStyle w:val="Aucun"/>
          <w:rFonts w:ascii="Verdana" w:eastAsia="Verdana" w:hAnsi="Verdana" w:cs="Verdana"/>
          <w:sz w:val="20"/>
          <w:szCs w:val="20"/>
          <w:vertAlign w:val="superscript"/>
        </w:rPr>
        <w:footnoteReference w:id="28"/>
      </w:r>
      <w:r>
        <w:rPr>
          <w:rStyle w:val="Hyperlink1"/>
        </w:rPr>
        <w:t xml:space="preserve"> forced and child labour, and terms and conditions of labour.</w:t>
      </w:r>
      <w:r>
        <w:rPr>
          <w:rStyle w:val="Aucun"/>
          <w:rFonts w:ascii="Verdana" w:eastAsia="Verdana" w:hAnsi="Verdana" w:cs="Verdana"/>
          <w:sz w:val="20"/>
          <w:szCs w:val="20"/>
          <w:vertAlign w:val="superscript"/>
        </w:rPr>
        <w:footnoteReference w:id="29"/>
      </w:r>
      <w:r>
        <w:rPr>
          <w:rStyle w:val="Aucun"/>
          <w:rFonts w:ascii="Verdana" w:hAnsi="Verdana"/>
          <w:sz w:val="20"/>
          <w:szCs w:val="20"/>
          <w:vertAlign w:val="superscript"/>
        </w:rPr>
        <w:t>,</w:t>
      </w:r>
      <w:r>
        <w:rPr>
          <w:rStyle w:val="Aucun"/>
          <w:rFonts w:ascii="Verdana" w:eastAsia="Verdana" w:hAnsi="Verdana" w:cs="Verdana"/>
          <w:sz w:val="20"/>
          <w:szCs w:val="20"/>
          <w:vertAlign w:val="superscript"/>
        </w:rPr>
        <w:footnoteReference w:id="30"/>
      </w:r>
      <w:r>
        <w:rPr>
          <w:rStyle w:val="Aucun"/>
          <w:rFonts w:ascii="Verdana" w:hAnsi="Verdana"/>
          <w:sz w:val="20"/>
          <w:szCs w:val="20"/>
          <w:vertAlign w:val="superscript"/>
        </w:rPr>
        <w:t>,</w:t>
      </w:r>
      <w:r>
        <w:rPr>
          <w:rStyle w:val="Aucun"/>
          <w:rFonts w:ascii="Verdana" w:eastAsia="Verdana" w:hAnsi="Verdana" w:cs="Verdana"/>
          <w:sz w:val="20"/>
          <w:szCs w:val="20"/>
          <w:vertAlign w:val="superscript"/>
        </w:rPr>
        <w:footnoteReference w:id="31"/>
      </w:r>
      <w:r>
        <w:rPr>
          <w:rStyle w:val="Hyperlink1"/>
        </w:rPr>
        <w:t xml:space="preserve"> Local communities and smallholders find it difficult to influence debate and decision within the RSPO, resulting in marginalisation of some viewpoints.</w:t>
      </w:r>
      <w:r>
        <w:rPr>
          <w:rStyle w:val="Aucun"/>
          <w:rFonts w:ascii="Verdana" w:eastAsia="Verdana" w:hAnsi="Verdana" w:cs="Verdana"/>
          <w:sz w:val="20"/>
          <w:szCs w:val="20"/>
          <w:vertAlign w:val="superscript"/>
        </w:rPr>
        <w:footnoteReference w:id="32"/>
      </w:r>
      <w:r>
        <w:rPr>
          <w:rStyle w:val="Hyperlink1"/>
        </w:rPr>
        <w:t xml:space="preserve"> This body of research neither covers a wide enough range of standards, nor a large enough sample of RSPO certified companies to draw overall conclusions on the implementation of the schemes within the sector, other than that the requirements of the standards are sometimes not met by certified organisations.</w:t>
      </w:r>
    </w:p>
    <w:p w:rsidR="000F00BD" w:rsidRDefault="00783A3A">
      <w:pPr>
        <w:pStyle w:val="Text4"/>
        <w:ind w:left="0"/>
        <w:rPr>
          <w:rStyle w:val="Hyperlink1"/>
        </w:rPr>
      </w:pPr>
      <w:r>
        <w:rPr>
          <w:rStyle w:val="Hyperlink1"/>
        </w:rPr>
        <w:t>It is increasingly recognised that voluntary schemes are not well equipped to resolve some of the issues found within the sector, such as land rights violations, for which national law (and legal reforms) are necessary.</w:t>
      </w:r>
      <w:r>
        <w:rPr>
          <w:rStyle w:val="Aucun"/>
          <w:rFonts w:ascii="Verdana" w:eastAsia="Verdana" w:hAnsi="Verdana" w:cs="Verdana"/>
          <w:sz w:val="20"/>
          <w:szCs w:val="20"/>
          <w:vertAlign w:val="superscript"/>
        </w:rPr>
        <w:footnoteReference w:id="33"/>
      </w:r>
      <w:r>
        <w:rPr>
          <w:rStyle w:val="Hyperlink1"/>
        </w:rPr>
        <w:t xml:space="preserve">  </w:t>
      </w:r>
    </w:p>
    <w:p w:rsidR="000F00BD" w:rsidRDefault="00783A3A">
      <w:pPr>
        <w:pStyle w:val="Heading4"/>
        <w:numPr>
          <w:ilvl w:val="3"/>
          <w:numId w:val="25"/>
        </w:numPr>
        <w:rPr>
          <w:rFonts w:ascii="Verdana" w:eastAsia="Verdana" w:hAnsi="Verdana" w:cs="Verdana"/>
          <w:b/>
          <w:bCs/>
          <w:sz w:val="22"/>
          <w:szCs w:val="22"/>
        </w:rPr>
      </w:pPr>
      <w:r>
        <w:rPr>
          <w:rFonts w:ascii="Verdana" w:hAnsi="Verdana"/>
          <w:b/>
          <w:bCs/>
          <w:sz w:val="22"/>
          <w:szCs w:val="22"/>
        </w:rPr>
        <w:lastRenderedPageBreak/>
        <w:t xml:space="preserve">Conclusions </w:t>
      </w:r>
    </w:p>
    <w:p w:rsidR="000F00BD" w:rsidRDefault="00783A3A">
      <w:pPr>
        <w:rPr>
          <w:rStyle w:val="Hyperlink1"/>
        </w:rPr>
      </w:pPr>
      <w:r>
        <w:rPr>
          <w:rStyle w:val="Hyperlink1"/>
        </w:rPr>
        <w:t xml:space="preserve">There are significant differences between certification schemes used in the palm oil sector (principally RSPO, RSPO, ISCC (EU), ISPO and MSPO, but also POIG, RSPO Next, and SAN). These differences include the processes underpinning certification as well as the requirements of the standards. </w:t>
      </w:r>
    </w:p>
    <w:p w:rsidR="000F00BD" w:rsidRDefault="00783A3A">
      <w:pPr>
        <w:rPr>
          <w:rStyle w:val="Hyperlink1"/>
        </w:rPr>
      </w:pPr>
      <w:r>
        <w:rPr>
          <w:rStyle w:val="Hyperlink1"/>
        </w:rPr>
        <w:t xml:space="preserve">Based on the methodology used in this study, the RSPO and ISCC schemes have the most robust processes around verification, certification, accreditation, and supply chain certification, ISPO the least, with MSPO intermediate. These processes should separate roles and responsibilities, and provide confidence in decisions and transparency. </w:t>
      </w:r>
    </w:p>
    <w:p w:rsidR="000F00BD" w:rsidRDefault="00783A3A">
      <w:pPr>
        <w:rPr>
          <w:rStyle w:val="Hyperlink1"/>
        </w:rPr>
      </w:pPr>
      <w:r>
        <w:rPr>
          <w:rStyle w:val="Hyperlink1"/>
        </w:rPr>
        <w:t xml:space="preserve">A high degree of transparency in certification is provided by making summaries of audit reports publicly available, as practiced by RSPO, MSPO and since October 2017, ISCC. Further transparency is given by stipulating that information should be public regarding complaints and grievance procedures, which can occur at all levels: plantation, certification body, accreditation body, and scheme owner. The RSPO is the only one of the major schemes that provides publicly available information of complaints at all these stages. </w:t>
      </w:r>
    </w:p>
    <w:p w:rsidR="000F00BD" w:rsidRDefault="00783A3A">
      <w:pPr>
        <w:rPr>
          <w:rStyle w:val="Hyperlink1"/>
        </w:rPr>
      </w:pPr>
      <w:r>
        <w:rPr>
          <w:rStyle w:val="Hyperlink1"/>
        </w:rPr>
        <w:t>The schemes also differ in how they handle environmental and social issues. This includes what is covered and how. For example, forced labour is explicitly prohibited in RSPO and ISCC, but is not referred to directly in ISPO or MSPO, and requirements on deforestation range from legal compliance (ISPO) to significant restrictions going well beyond the requirements of national legislation (ISCC).</w:t>
      </w:r>
    </w:p>
    <w:p w:rsidR="000F00BD" w:rsidRDefault="00783A3A">
      <w:pPr>
        <w:rPr>
          <w:rStyle w:val="Hyperlink1"/>
        </w:rPr>
      </w:pPr>
      <w:r>
        <w:rPr>
          <w:rStyle w:val="Hyperlink1"/>
        </w:rPr>
        <w:t xml:space="preserve">Whilst the content of the underlying standards and the process requirements of the certification system indicate what should happen on the ground, the actual practices may be quite different. This is illustrated by the claims of serious social and environmental issues within RSPO certificated plantations covering practices that are not compatible with the RSPO P&amp;Cs. However, there is almost no information available with which to compare the practices found in plantations certified by other schemes, and hence it is not possible to conclude whether any of the schemes results in more effective environmental and social practices on-the-ground than the others. </w:t>
      </w:r>
    </w:p>
    <w:p w:rsidR="000F00BD" w:rsidRDefault="000F00BD">
      <w:pPr>
        <w:spacing w:after="120"/>
        <w:sectPr w:rsidR="000F00BD">
          <w:headerReference w:type="default" r:id="rId7"/>
          <w:footerReference w:type="default" r:id="rId8"/>
          <w:pgSz w:w="11900" w:h="16820"/>
          <w:pgMar w:top="851" w:right="1418" w:bottom="567" w:left="1418" w:header="567" w:footer="510" w:gutter="0"/>
          <w:cols w:space="720"/>
        </w:sectPr>
      </w:pPr>
    </w:p>
    <w:p w:rsidR="000F00BD" w:rsidRDefault="00783A3A">
      <w:pPr>
        <w:pStyle w:val="Caption"/>
        <w:rPr>
          <w:rStyle w:val="Aucun"/>
          <w:sz w:val="22"/>
          <w:szCs w:val="22"/>
        </w:rPr>
      </w:pPr>
      <w:bookmarkStart w:id="6" w:name="_Ref3656378121"/>
      <w:r>
        <w:rPr>
          <w:rStyle w:val="Aucun"/>
          <w:sz w:val="22"/>
          <w:szCs w:val="22"/>
        </w:rPr>
        <w:lastRenderedPageBreak/>
        <w:t>Table 37</w:t>
      </w:r>
      <w:bookmarkEnd w:id="6"/>
      <w:r>
        <w:rPr>
          <w:rStyle w:val="Aucun"/>
          <w:sz w:val="22"/>
          <w:szCs w:val="22"/>
        </w:rPr>
        <w:t>: ISPO at a glance</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4"/>
        <w:gridCol w:w="1256"/>
        <w:gridCol w:w="954"/>
        <w:gridCol w:w="1343"/>
        <w:gridCol w:w="893"/>
        <w:gridCol w:w="160"/>
        <w:gridCol w:w="292"/>
        <w:gridCol w:w="1186"/>
        <w:gridCol w:w="165"/>
        <w:gridCol w:w="1341"/>
      </w:tblGrid>
      <w:tr w:rsidR="000F00BD">
        <w:trPr>
          <w:trHeight w:val="260"/>
        </w:trPr>
        <w:tc>
          <w:tcPr>
            <w:tcW w:w="3684" w:type="dxa"/>
            <w:gridSpan w:val="3"/>
            <w:tcBorders>
              <w:top w:val="nil"/>
              <w:left w:val="nil"/>
              <w:bottom w:val="nil"/>
              <w:right w:val="nil"/>
            </w:tcBorders>
            <w:shd w:val="clear" w:color="auto" w:fill="13289F"/>
            <w:tcMar>
              <w:top w:w="80" w:type="dxa"/>
              <w:left w:w="80" w:type="dxa"/>
              <w:bottom w:w="80" w:type="dxa"/>
              <w:right w:w="80" w:type="dxa"/>
            </w:tcMar>
          </w:tcPr>
          <w:p w:rsidR="000F00BD" w:rsidRDefault="00783A3A">
            <w:pPr>
              <w:spacing w:after="0"/>
            </w:pPr>
            <w:r>
              <w:rPr>
                <w:rStyle w:val="Aucun"/>
                <w:rFonts w:ascii="Verdana" w:hAnsi="Verdana"/>
                <w:b/>
                <w:bCs/>
                <w:color w:val="FFFFFF"/>
                <w:u w:color="FFFFFF"/>
              </w:rPr>
              <w:t>Theme</w:t>
            </w:r>
          </w:p>
        </w:tc>
        <w:tc>
          <w:tcPr>
            <w:tcW w:w="2236" w:type="dxa"/>
            <w:gridSpan w:val="2"/>
            <w:tcBorders>
              <w:top w:val="nil"/>
              <w:left w:val="nil"/>
              <w:bottom w:val="nil"/>
              <w:right w:val="nil"/>
            </w:tcBorders>
            <w:shd w:val="clear" w:color="auto" w:fill="13289F"/>
            <w:tcMar>
              <w:top w:w="80" w:type="dxa"/>
              <w:left w:w="80" w:type="dxa"/>
              <w:bottom w:w="80" w:type="dxa"/>
              <w:right w:w="80" w:type="dxa"/>
            </w:tcMar>
          </w:tcPr>
          <w:p w:rsidR="000F00BD" w:rsidRDefault="00783A3A">
            <w:pPr>
              <w:spacing w:after="0"/>
            </w:pPr>
            <w:r>
              <w:rPr>
                <w:rStyle w:val="Aucun"/>
                <w:rFonts w:ascii="Verdana" w:hAnsi="Verdana"/>
                <w:b/>
                <w:bCs/>
                <w:color w:val="FFFFFF"/>
                <w:u w:color="FFFFFF"/>
              </w:rPr>
              <w:t>Characteristics</w:t>
            </w:r>
          </w:p>
        </w:tc>
        <w:tc>
          <w:tcPr>
            <w:tcW w:w="3144" w:type="dxa"/>
            <w:gridSpan w:val="5"/>
            <w:tcBorders>
              <w:top w:val="nil"/>
              <w:left w:val="nil"/>
              <w:bottom w:val="nil"/>
              <w:right w:val="nil"/>
            </w:tcBorders>
            <w:shd w:val="clear" w:color="auto" w:fill="13289F"/>
            <w:tcMar>
              <w:top w:w="80" w:type="dxa"/>
              <w:left w:w="80" w:type="dxa"/>
              <w:bottom w:w="80" w:type="dxa"/>
              <w:right w:w="80" w:type="dxa"/>
            </w:tcMar>
          </w:tcPr>
          <w:p w:rsidR="000F00BD" w:rsidRDefault="000F00BD"/>
        </w:tc>
      </w:tr>
      <w:tr w:rsidR="000F00BD">
        <w:trPr>
          <w:trHeight w:val="240"/>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b/>
                <w:bCs/>
                <w:sz w:val="20"/>
                <w:szCs w:val="20"/>
              </w:rPr>
              <w:t>Overview</w:t>
            </w:r>
          </w:p>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 xml:space="preserve">Date initiated: </w:t>
            </w:r>
          </w:p>
        </w:tc>
        <w:tc>
          <w:tcPr>
            <w:tcW w:w="2396" w:type="dxa"/>
            <w:gridSpan w:val="3"/>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2011</w:t>
            </w:r>
          </w:p>
        </w:tc>
        <w:tc>
          <w:tcPr>
            <w:tcW w:w="1478" w:type="dxa"/>
            <w:gridSpan w:val="2"/>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1506" w:type="dxa"/>
            <w:gridSpan w:val="2"/>
            <w:tcBorders>
              <w:top w:val="nil"/>
              <w:left w:val="nil"/>
              <w:bottom w:val="nil"/>
              <w:right w:val="nil"/>
            </w:tcBorders>
            <w:shd w:val="clear" w:color="auto" w:fill="auto"/>
            <w:tcMar>
              <w:top w:w="80" w:type="dxa"/>
              <w:left w:w="80" w:type="dxa"/>
              <w:bottom w:w="80" w:type="dxa"/>
              <w:right w:w="80" w:type="dxa"/>
            </w:tcMar>
          </w:tcPr>
          <w:p w:rsidR="000F00BD" w:rsidRDefault="000F00BD"/>
        </w:tc>
      </w:tr>
      <w:tr w:rsidR="000F00BD">
        <w:trPr>
          <w:trHeight w:val="240"/>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Coverage:</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Indonesia</w:t>
            </w:r>
          </w:p>
        </w:tc>
      </w:tr>
      <w:tr w:rsidR="000F00BD">
        <w:trPr>
          <w:trHeight w:val="792"/>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 xml:space="preserve">Motivation: </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shd w:val="clear" w:color="auto" w:fill="FFFF00"/>
              </w:rPr>
              <w:t>Designed to ensure that all Indonesian oil palm growers, not just those exporting to foreign markets, conform to higher agricultural standards</w:t>
            </w:r>
          </w:p>
        </w:tc>
      </w:tr>
      <w:tr w:rsidR="000F00BD">
        <w:trPr>
          <w:trHeight w:val="516"/>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Oversight:</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Indonesian Ministry of Agriculture, ISPO Commission</w:t>
            </w:r>
          </w:p>
        </w:tc>
      </w:tr>
      <w:tr w:rsidR="000F00BD">
        <w:trPr>
          <w:trHeight w:val="1068"/>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 xml:space="preserve">Mandatory or voluntary: </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Mandatory for companies producing and/or processing crops. Voluntary for smallholders, and for plantation companies producing palm oil for renewable energy</w:t>
            </w:r>
          </w:p>
        </w:tc>
      </w:tr>
      <w:tr w:rsidR="000F00BD">
        <w:trPr>
          <w:trHeight w:val="792"/>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 xml:space="preserve">Market penetration: </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16.7% of Indonesian palm production, a slight increase on ISPO certified production of 4.85 million tonnes of CPO in mid-2015</w:t>
            </w:r>
          </w:p>
        </w:tc>
      </w:tr>
      <w:tr w:rsidR="000F00BD">
        <w:trPr>
          <w:trHeight w:val="1620"/>
        </w:trPr>
        <w:tc>
          <w:tcPr>
            <w:tcW w:w="1474" w:type="dxa"/>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Verdana" w:hAnsi="Verdana"/>
                <w:b/>
                <w:bCs/>
                <w:sz w:val="20"/>
                <w:szCs w:val="20"/>
              </w:rPr>
              <w:t>Standard</w:t>
            </w:r>
          </w:p>
        </w:tc>
        <w:tc>
          <w:tcPr>
            <w:tcW w:w="2210" w:type="dxa"/>
            <w:gridSpan w:val="2"/>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rPr>
                <w:rStyle w:val="Aucun"/>
                <w:rFonts w:ascii="Verdana" w:eastAsia="Verdana" w:hAnsi="Verdana" w:cs="Verdana"/>
                <w:sz w:val="20"/>
                <w:szCs w:val="20"/>
              </w:rPr>
            </w:pPr>
            <w:r>
              <w:rPr>
                <w:rStyle w:val="Aucun"/>
                <w:rFonts w:ascii="Verdana" w:hAnsi="Verdana"/>
                <w:sz w:val="20"/>
                <w:szCs w:val="20"/>
              </w:rPr>
              <w:t>Principles and Criteria:</w:t>
            </w:r>
          </w:p>
          <w:p w:rsidR="000F00BD" w:rsidRDefault="000F00BD">
            <w:pPr>
              <w:spacing w:after="0"/>
              <w:rPr>
                <w:rStyle w:val="Aucun"/>
                <w:rFonts w:ascii="Verdana" w:eastAsia="Verdana" w:hAnsi="Verdana" w:cs="Verdana"/>
                <w:sz w:val="20"/>
                <w:szCs w:val="20"/>
              </w:rPr>
            </w:pPr>
          </w:p>
          <w:p w:rsidR="000F00BD" w:rsidRDefault="00783A3A">
            <w:pPr>
              <w:spacing w:after="0"/>
            </w:pPr>
            <w:r>
              <w:rPr>
                <w:rStyle w:val="Aucun"/>
                <w:rFonts w:ascii="Verdana" w:hAnsi="Verdana"/>
                <w:sz w:val="20"/>
                <w:szCs w:val="20"/>
                <w:shd w:val="clear" w:color="auto" w:fill="FFFF00"/>
              </w:rPr>
              <w:t xml:space="preserve">Additional standards: </w:t>
            </w:r>
          </w:p>
        </w:tc>
        <w:tc>
          <w:tcPr>
            <w:tcW w:w="5380" w:type="dxa"/>
            <w:gridSpan w:val="7"/>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rPr>
                <w:rStyle w:val="Aucun"/>
                <w:rFonts w:ascii="Verdana" w:eastAsia="Verdana" w:hAnsi="Verdana" w:cs="Verdana"/>
                <w:sz w:val="20"/>
                <w:szCs w:val="20"/>
              </w:rPr>
            </w:pPr>
            <w:r>
              <w:rPr>
                <w:rStyle w:val="Aucun"/>
                <w:rFonts w:ascii="Verdana" w:hAnsi="Verdana"/>
                <w:sz w:val="20"/>
                <w:szCs w:val="20"/>
              </w:rPr>
              <w:t>7 principles &amp; 28 criteria for plantations, covering Indonesian laws and regulations</w:t>
            </w:r>
          </w:p>
          <w:p w:rsidR="000F00BD" w:rsidRDefault="00783A3A">
            <w:pPr>
              <w:spacing w:after="0"/>
            </w:pPr>
            <w:r>
              <w:rPr>
                <w:rStyle w:val="Aucun"/>
                <w:rFonts w:ascii="Verdana" w:hAnsi="Verdana"/>
                <w:sz w:val="20"/>
                <w:szCs w:val="20"/>
                <w:shd w:val="clear" w:color="auto" w:fill="FFFF00"/>
              </w:rPr>
              <w:t>Standards for integrated plantation and mills; integrated plantation and mills producing biofuels; plasma smallholdings; and independent smallholdings.</w:t>
            </w:r>
          </w:p>
        </w:tc>
      </w:tr>
      <w:tr w:rsidR="000F00BD">
        <w:trPr>
          <w:trHeight w:val="516"/>
        </w:trPr>
        <w:tc>
          <w:tcPr>
            <w:tcW w:w="1474" w:type="dxa"/>
            <w:vMerge w:val="restart"/>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b/>
                <w:bCs/>
                <w:sz w:val="20"/>
                <w:szCs w:val="20"/>
              </w:rPr>
              <w:t>Certification process</w:t>
            </w:r>
          </w:p>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Verification mechanism:</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3</w:t>
            </w:r>
            <w:r>
              <w:rPr>
                <w:rStyle w:val="Aucun"/>
                <w:rFonts w:ascii="Verdana" w:hAnsi="Verdana"/>
                <w:sz w:val="20"/>
                <w:szCs w:val="20"/>
                <w:vertAlign w:val="superscript"/>
              </w:rPr>
              <w:t>rd</w:t>
            </w:r>
            <w:r>
              <w:rPr>
                <w:rStyle w:val="Aucun"/>
                <w:rFonts w:ascii="Verdana" w:hAnsi="Verdana"/>
                <w:sz w:val="20"/>
                <w:szCs w:val="20"/>
              </w:rPr>
              <w:t xml:space="preserve"> party independent audits, annual surveillance</w:t>
            </w:r>
          </w:p>
        </w:tc>
      </w:tr>
      <w:tr w:rsidR="000F00BD">
        <w:trPr>
          <w:trHeight w:val="792"/>
        </w:trPr>
        <w:tc>
          <w:tcPr>
            <w:tcW w:w="1474" w:type="dxa"/>
            <w:vMerge/>
            <w:tcBorders>
              <w:top w:val="nil"/>
              <w:left w:val="nil"/>
              <w:bottom w:val="nil"/>
              <w:right w:val="nil"/>
            </w:tcBorders>
            <w:shd w:val="clear" w:color="auto" w:fill="auto"/>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Corrective action</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shd w:val="clear" w:color="auto" w:fill="FFFF00"/>
              </w:rPr>
              <w:t>ISPO is based on existing legislation, so if there is non-compliance there will be sanctions determined directly by the judiciary</w:t>
            </w:r>
          </w:p>
        </w:tc>
      </w:tr>
      <w:tr w:rsidR="000F00BD">
        <w:trPr>
          <w:trHeight w:val="516"/>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Certificate:</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Decision made by ISPO Commission, certificate issued by certification body</w:t>
            </w:r>
          </w:p>
        </w:tc>
      </w:tr>
      <w:tr w:rsidR="000F00BD">
        <w:trPr>
          <w:trHeight w:val="792"/>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Accreditation:</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Certification bodies accredited by national accreditation body and approved by the ISPO Commission (see above)</w:t>
            </w:r>
          </w:p>
        </w:tc>
      </w:tr>
      <w:tr w:rsidR="000F00BD">
        <w:trPr>
          <w:trHeight w:val="240"/>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Transparency:</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Audit reports not publicly available</w:t>
            </w:r>
          </w:p>
        </w:tc>
      </w:tr>
      <w:tr w:rsidR="000F00BD">
        <w:trPr>
          <w:trHeight w:val="792"/>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Complaints/grievance procedure:</w:t>
            </w:r>
          </w:p>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sz w:val="20"/>
                <w:szCs w:val="20"/>
              </w:rPr>
              <w:t>Yes, but no requirement for process to be publicly available</w:t>
            </w:r>
          </w:p>
        </w:tc>
      </w:tr>
      <w:tr w:rsidR="000F00BD">
        <w:trPr>
          <w:trHeight w:val="516"/>
        </w:trPr>
        <w:tc>
          <w:tcPr>
            <w:tcW w:w="1474" w:type="dxa"/>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Verdana" w:hAnsi="Verdana"/>
                <w:b/>
                <w:bCs/>
                <w:sz w:val="20"/>
                <w:szCs w:val="20"/>
              </w:rPr>
              <w:t>Supply chain</w:t>
            </w:r>
          </w:p>
        </w:tc>
        <w:tc>
          <w:tcPr>
            <w:tcW w:w="1256" w:type="dxa"/>
            <w:tcBorders>
              <w:top w:val="nil"/>
              <w:left w:val="nil"/>
              <w:bottom w:val="nil"/>
              <w:right w:val="nil"/>
            </w:tcBorders>
            <w:shd w:val="clear" w:color="auto" w:fill="B0BAC6"/>
            <w:tcMar>
              <w:top w:w="80" w:type="dxa"/>
              <w:left w:w="80" w:type="dxa"/>
              <w:bottom w:w="80" w:type="dxa"/>
              <w:right w:w="80" w:type="dxa"/>
            </w:tcMar>
          </w:tcPr>
          <w:p w:rsidR="000F00BD" w:rsidRDefault="000F00BD"/>
        </w:tc>
        <w:tc>
          <w:tcPr>
            <w:tcW w:w="954" w:type="dxa"/>
            <w:tcBorders>
              <w:top w:val="nil"/>
              <w:left w:val="nil"/>
              <w:bottom w:val="nil"/>
              <w:right w:val="nil"/>
            </w:tcBorders>
            <w:shd w:val="clear" w:color="auto" w:fill="B0BAC6"/>
            <w:tcMar>
              <w:top w:w="80" w:type="dxa"/>
              <w:left w:w="80" w:type="dxa"/>
              <w:bottom w:w="80" w:type="dxa"/>
              <w:right w:w="80" w:type="dxa"/>
            </w:tcMar>
          </w:tcPr>
          <w:p w:rsidR="000F00BD" w:rsidRDefault="000F00BD"/>
        </w:tc>
        <w:tc>
          <w:tcPr>
            <w:tcW w:w="1343" w:type="dxa"/>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Verdana" w:hAnsi="Verdana"/>
                <w:sz w:val="20"/>
                <w:szCs w:val="20"/>
              </w:rPr>
              <w:t>Identity Preserved</w:t>
            </w:r>
          </w:p>
        </w:tc>
        <w:tc>
          <w:tcPr>
            <w:tcW w:w="1345" w:type="dxa"/>
            <w:gridSpan w:val="3"/>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Verdana" w:hAnsi="Verdana"/>
                <w:sz w:val="20"/>
                <w:szCs w:val="20"/>
              </w:rPr>
              <w:t>Segregated</w:t>
            </w:r>
          </w:p>
        </w:tc>
        <w:tc>
          <w:tcPr>
            <w:tcW w:w="1351" w:type="dxa"/>
            <w:gridSpan w:val="2"/>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Verdana" w:hAnsi="Verdana"/>
                <w:sz w:val="20"/>
                <w:szCs w:val="20"/>
              </w:rPr>
              <w:t>Mass balance</w:t>
            </w:r>
          </w:p>
        </w:tc>
        <w:tc>
          <w:tcPr>
            <w:tcW w:w="1341" w:type="dxa"/>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Verdana" w:hAnsi="Verdana"/>
                <w:sz w:val="20"/>
                <w:szCs w:val="20"/>
              </w:rPr>
              <w:t>Book &amp; Claim</w:t>
            </w:r>
          </w:p>
        </w:tc>
      </w:tr>
      <w:tr w:rsidR="000F00BD">
        <w:trPr>
          <w:trHeight w:val="240"/>
        </w:trPr>
        <w:tc>
          <w:tcPr>
            <w:tcW w:w="1474" w:type="dxa"/>
            <w:tcBorders>
              <w:top w:val="nil"/>
              <w:left w:val="nil"/>
              <w:bottom w:val="nil"/>
              <w:right w:val="nil"/>
            </w:tcBorders>
            <w:shd w:val="clear" w:color="auto" w:fill="B0BAC6"/>
            <w:tcMar>
              <w:top w:w="80" w:type="dxa"/>
              <w:left w:w="80" w:type="dxa"/>
              <w:bottom w:w="80" w:type="dxa"/>
              <w:right w:w="80" w:type="dxa"/>
            </w:tcMar>
          </w:tcPr>
          <w:p w:rsidR="000F00BD" w:rsidRDefault="000F00BD"/>
        </w:tc>
        <w:tc>
          <w:tcPr>
            <w:tcW w:w="1256" w:type="dxa"/>
            <w:tcBorders>
              <w:top w:val="nil"/>
              <w:left w:val="nil"/>
              <w:bottom w:val="nil"/>
              <w:right w:val="nil"/>
            </w:tcBorders>
            <w:shd w:val="clear" w:color="auto" w:fill="B0BAC6"/>
            <w:tcMar>
              <w:top w:w="80" w:type="dxa"/>
              <w:left w:w="80" w:type="dxa"/>
              <w:bottom w:w="80" w:type="dxa"/>
              <w:right w:w="80" w:type="dxa"/>
            </w:tcMar>
          </w:tcPr>
          <w:p w:rsidR="000F00BD" w:rsidRDefault="000F00BD"/>
        </w:tc>
        <w:tc>
          <w:tcPr>
            <w:tcW w:w="954" w:type="dxa"/>
            <w:tcBorders>
              <w:top w:val="nil"/>
              <w:left w:val="nil"/>
              <w:bottom w:val="nil"/>
              <w:right w:val="nil"/>
            </w:tcBorders>
            <w:shd w:val="clear" w:color="auto" w:fill="B0BAC6"/>
            <w:tcMar>
              <w:top w:w="80" w:type="dxa"/>
              <w:left w:w="80" w:type="dxa"/>
              <w:bottom w:w="80" w:type="dxa"/>
              <w:right w:w="80" w:type="dxa"/>
            </w:tcMar>
          </w:tcPr>
          <w:p w:rsidR="000F00BD" w:rsidRDefault="000F00BD"/>
        </w:tc>
        <w:tc>
          <w:tcPr>
            <w:tcW w:w="1343" w:type="dxa"/>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Verdana" w:hAnsi="Verdana"/>
                <w:sz w:val="20"/>
                <w:szCs w:val="20"/>
              </w:rPr>
              <w:t>No</w:t>
            </w:r>
          </w:p>
        </w:tc>
        <w:tc>
          <w:tcPr>
            <w:tcW w:w="1345" w:type="dxa"/>
            <w:gridSpan w:val="3"/>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Arial Unicode MS" w:eastAsia="Arial Unicode MS" w:hAnsi="Arial Unicode MS" w:cs="Arial Unicode MS"/>
                <w:sz w:val="20"/>
                <w:szCs w:val="20"/>
              </w:rPr>
              <w:t>✓</w:t>
            </w:r>
          </w:p>
        </w:tc>
        <w:tc>
          <w:tcPr>
            <w:tcW w:w="1351" w:type="dxa"/>
            <w:gridSpan w:val="2"/>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Arial Unicode MS" w:eastAsia="Arial Unicode MS" w:hAnsi="Arial Unicode MS" w:cs="Arial Unicode MS"/>
                <w:sz w:val="20"/>
                <w:szCs w:val="20"/>
              </w:rPr>
              <w:t>✓</w:t>
            </w:r>
          </w:p>
        </w:tc>
        <w:tc>
          <w:tcPr>
            <w:tcW w:w="1341" w:type="dxa"/>
            <w:tcBorders>
              <w:top w:val="nil"/>
              <w:left w:val="nil"/>
              <w:bottom w:val="nil"/>
              <w:right w:val="nil"/>
            </w:tcBorders>
            <w:shd w:val="clear" w:color="auto" w:fill="B0BAC6"/>
            <w:tcMar>
              <w:top w:w="80" w:type="dxa"/>
              <w:left w:w="80" w:type="dxa"/>
              <w:bottom w:w="80" w:type="dxa"/>
              <w:right w:w="80" w:type="dxa"/>
            </w:tcMar>
          </w:tcPr>
          <w:p w:rsidR="000F00BD" w:rsidRDefault="00783A3A">
            <w:pPr>
              <w:spacing w:after="0"/>
            </w:pPr>
            <w:r>
              <w:rPr>
                <w:rStyle w:val="Aucun"/>
                <w:rFonts w:ascii="Arial Unicode MS" w:eastAsia="Arial Unicode MS" w:hAnsi="Arial Unicode MS" w:cs="Arial Unicode MS"/>
                <w:sz w:val="20"/>
                <w:szCs w:val="20"/>
              </w:rPr>
              <w:t>✓</w:t>
            </w:r>
          </w:p>
        </w:tc>
      </w:tr>
      <w:tr w:rsidR="000F00BD">
        <w:trPr>
          <w:trHeight w:val="792"/>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b/>
                <w:bCs/>
                <w:sz w:val="20"/>
                <w:szCs w:val="20"/>
              </w:rPr>
              <w:lastRenderedPageBreak/>
              <w:t>Further information</w:t>
            </w:r>
          </w:p>
        </w:tc>
        <w:tc>
          <w:tcPr>
            <w:tcW w:w="2210" w:type="dxa"/>
            <w:gridSpan w:val="2"/>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5380" w:type="dxa"/>
            <w:gridSpan w:val="7"/>
            <w:tcBorders>
              <w:top w:val="nil"/>
              <w:left w:val="nil"/>
              <w:bottom w:val="nil"/>
              <w:right w:val="nil"/>
            </w:tcBorders>
            <w:shd w:val="clear" w:color="auto" w:fill="auto"/>
            <w:tcMar>
              <w:top w:w="80" w:type="dxa"/>
              <w:left w:w="80" w:type="dxa"/>
              <w:bottom w:w="80" w:type="dxa"/>
              <w:right w:w="80" w:type="dxa"/>
            </w:tcMar>
          </w:tcPr>
          <w:p w:rsidR="000F00BD" w:rsidRDefault="00783A3A">
            <w:pPr>
              <w:spacing w:after="0"/>
            </w:pPr>
            <w:r>
              <w:rPr>
                <w:rStyle w:val="Aucun"/>
                <w:rFonts w:ascii="Verdana" w:hAnsi="Verdana"/>
                <w:b/>
                <w:bCs/>
                <w:sz w:val="20"/>
                <w:szCs w:val="20"/>
              </w:rPr>
              <w:t xml:space="preserve"> </w:t>
            </w:r>
            <w:hyperlink r:id="rId9" w:history="1">
              <w:r>
                <w:rPr>
                  <w:rStyle w:val="Hyperlink5"/>
                  <w:sz w:val="20"/>
                  <w:szCs w:val="20"/>
                </w:rPr>
                <w:t>http://ispo-org.or.id/index.php?lang=ina</w:t>
              </w:r>
            </w:hyperlink>
          </w:p>
        </w:tc>
      </w:tr>
    </w:tbl>
    <w:p w:rsidR="000F00BD" w:rsidRDefault="000F00BD">
      <w:pPr>
        <w:pStyle w:val="Caption"/>
        <w:widowControl w:val="0"/>
      </w:pPr>
    </w:p>
    <w:sectPr w:rsidR="000F00BD">
      <w:headerReference w:type="default" r:id="rId10"/>
      <w:footerReference w:type="default" r:id="rId11"/>
      <w:pgSz w:w="11900" w:h="16820"/>
      <w:pgMar w:top="851" w:right="1418" w:bottom="567" w:left="1418" w:header="567"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84" w:rsidRDefault="00FD4E84">
      <w:pPr>
        <w:spacing w:after="0" w:line="240" w:lineRule="auto"/>
      </w:pPr>
      <w:r>
        <w:separator/>
      </w:r>
    </w:p>
  </w:endnote>
  <w:endnote w:type="continuationSeparator" w:id="0">
    <w:p w:rsidR="00FD4E84" w:rsidRDefault="00FD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84" w:rsidRDefault="00FD4E84">
    <w:pPr>
      <w:widowControl w:val="0"/>
      <w:tabs>
        <w:tab w:val="center" w:pos="4536"/>
        <w:tab w:val="right" w:pos="9072"/>
      </w:tabs>
      <w:spacing w:before="240" w:after="0"/>
      <w:jc w:val="center"/>
      <w:rPr>
        <w:rStyle w:val="Aucun"/>
        <w:rFonts w:ascii="Verdana" w:eastAsia="Verdana" w:hAnsi="Verdana" w:cs="Verdana"/>
        <w:sz w:val="18"/>
        <w:szCs w:val="18"/>
      </w:rPr>
    </w:pPr>
    <w:r>
      <w:rPr>
        <w:rStyle w:val="Aucun"/>
      </w:rPr>
      <w:t>2017</w:t>
    </w:r>
    <w:r>
      <w:rPr>
        <w:rStyle w:val="Aucun"/>
      </w:rPr>
      <w:tab/>
    </w:r>
    <w:r>
      <w:rPr>
        <w:rStyle w:val="Aucun"/>
        <w:rFonts w:ascii="Verdana" w:hAnsi="Verdana"/>
        <w:sz w:val="18"/>
        <w:szCs w:val="18"/>
      </w:rPr>
      <w:t>Directorate-General for Environment</w:t>
    </w:r>
  </w:p>
  <w:p w:rsidR="00FD4E84" w:rsidRDefault="00FD4E84">
    <w:pPr>
      <w:widowControl w:val="0"/>
      <w:spacing w:after="0"/>
      <w:jc w:val="right"/>
      <w:rPr>
        <w:rStyle w:val="Aucun"/>
        <w:rFonts w:ascii="Verdana" w:eastAsia="Verdana" w:hAnsi="Verdana" w:cs="Verdana"/>
        <w:sz w:val="16"/>
        <w:szCs w:val="16"/>
      </w:rPr>
    </w:pPr>
    <w:r>
      <w:rPr>
        <w:rStyle w:val="Aucun"/>
        <w:sz w:val="18"/>
        <w:szCs w:val="18"/>
      </w:rPr>
      <w:t>8. Task 2: Certification standards, legislation and voluntary initiatives</w:t>
    </w:r>
    <w:r>
      <w:rPr>
        <w:rStyle w:val="Aucun"/>
        <w:sz w:val="18"/>
        <w:szCs w:val="18"/>
      </w:rPr>
      <w:tab/>
    </w:r>
    <w:r>
      <w:rPr>
        <w:rStyle w:val="Aucun"/>
        <w:rFonts w:ascii="Verdana" w:hAnsi="Verdana"/>
        <w:sz w:val="16"/>
        <w:szCs w:val="16"/>
      </w:rPr>
      <w:t>EUR</w:t>
    </w:r>
    <w:r>
      <w:rPr>
        <w:rStyle w:val="Aucun"/>
        <w:rFonts w:ascii="Verdana" w:hAnsi="Verdana"/>
        <w:sz w:val="18"/>
        <w:szCs w:val="18"/>
      </w:rPr>
      <w:t xml:space="preserve"> </w:t>
    </w:r>
    <w:r>
      <w:rPr>
        <w:rStyle w:val="Aucun"/>
        <w:rFonts w:ascii="Verdana" w:eastAsia="Verdana" w:hAnsi="Verdana" w:cs="Verdana"/>
        <w:sz w:val="16"/>
        <w:szCs w:val="16"/>
      </w:rPr>
      <w:fldChar w:fldCharType="begin"/>
    </w:r>
    <w:r>
      <w:rPr>
        <w:rStyle w:val="Aucun"/>
        <w:rFonts w:ascii="Verdana" w:eastAsia="Verdana" w:hAnsi="Verdana" w:cs="Verdana"/>
        <w:sz w:val="16"/>
        <w:szCs w:val="16"/>
      </w:rPr>
      <w:instrText xml:space="preserve"> PAGE </w:instrText>
    </w:r>
    <w:r>
      <w:rPr>
        <w:rStyle w:val="Aucun"/>
        <w:rFonts w:ascii="Verdana" w:eastAsia="Verdana" w:hAnsi="Verdana" w:cs="Verdana"/>
        <w:sz w:val="16"/>
        <w:szCs w:val="16"/>
      </w:rPr>
      <w:fldChar w:fldCharType="separate"/>
    </w:r>
    <w:r w:rsidR="009717E4">
      <w:rPr>
        <w:rStyle w:val="Aucun"/>
        <w:rFonts w:ascii="Verdana" w:eastAsia="Verdana" w:hAnsi="Verdana" w:cs="Verdana"/>
        <w:noProof/>
        <w:sz w:val="16"/>
        <w:szCs w:val="16"/>
      </w:rPr>
      <w:t>1</w:t>
    </w:r>
    <w:r>
      <w:rPr>
        <w:rStyle w:val="Aucun"/>
        <w:rFonts w:ascii="Verdana" w:eastAsia="Verdana" w:hAnsi="Verdana" w:cs="Verdana"/>
        <w:sz w:val="16"/>
        <w:szCs w:val="16"/>
      </w:rPr>
      <w:fldChar w:fldCharType="end"/>
    </w:r>
    <w:r>
      <w:rPr>
        <w:rStyle w:val="Aucun"/>
        <w:rFonts w:ascii="Verdana" w:hAnsi="Verdana"/>
        <w:sz w:val="16"/>
        <w:szCs w:val="16"/>
      </w:rPr>
      <w:t xml:space="preserve"> 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84" w:rsidRDefault="00FD4E84">
    <w:pPr>
      <w:pStyle w:val="Footer"/>
      <w:tabs>
        <w:tab w:val="clear" w:pos="9072"/>
        <w:tab w:val="right" w:pos="9044"/>
      </w:tabs>
      <w:jc w:val="center"/>
    </w:pPr>
    <w:r>
      <w:fldChar w:fldCharType="begin"/>
    </w:r>
    <w:r>
      <w:instrText xml:space="preserve"> PAGE </w:instrText>
    </w:r>
    <w:r>
      <w:fldChar w:fldCharType="separate"/>
    </w:r>
    <w:r w:rsidR="009717E4">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84" w:rsidRDefault="00FD4E84">
      <w:r>
        <w:separator/>
      </w:r>
    </w:p>
  </w:footnote>
  <w:footnote w:type="continuationSeparator" w:id="0">
    <w:p w:rsidR="00FD4E84" w:rsidRDefault="00FD4E84">
      <w:r>
        <w:continuationSeparator/>
      </w:r>
    </w:p>
  </w:footnote>
  <w:footnote w:type="continuationNotice" w:id="1">
    <w:p w:rsidR="00FD4E84" w:rsidRDefault="00FD4E84"/>
  </w:footnote>
  <w:footnote w:id="2">
    <w:p w:rsidR="00FD4E84" w:rsidRDefault="00FD4E84">
      <w:pPr>
        <w:spacing w:after="80"/>
        <w:ind w:left="425" w:hanging="425"/>
      </w:pPr>
      <w:r>
        <w:rPr>
          <w:rStyle w:val="Aucun"/>
          <w:rFonts w:ascii="Verdana" w:eastAsia="Verdana" w:hAnsi="Verdana" w:cs="Verdana"/>
          <w:sz w:val="20"/>
          <w:szCs w:val="20"/>
          <w:vertAlign w:val="superscript"/>
        </w:rPr>
        <w:footnoteRef/>
      </w:r>
      <w:r>
        <w:rPr>
          <w:rStyle w:val="Aucun"/>
          <w:rFonts w:ascii="Verdana" w:hAnsi="Verdana"/>
          <w:sz w:val="18"/>
          <w:szCs w:val="18"/>
        </w:rPr>
        <w:t xml:space="preserve"> </w:t>
      </w:r>
      <w:r>
        <w:rPr>
          <w:rStyle w:val="Aucun"/>
          <w:rFonts w:ascii="Verdana" w:hAnsi="Verdana"/>
          <w:sz w:val="18"/>
          <w:szCs w:val="18"/>
        </w:rPr>
        <w:tab/>
        <w:t>PROPER is the programme for pollution control, evaluation and rating, which requires that every company submit annual reports. Failure to meet standards for pollution control results in the company being downgraded. Below the blue rating, banks may no longer provide credit to these companies. http://www.menlh.go.id/proper/</w:t>
      </w:r>
    </w:p>
  </w:footnote>
  <w:footnote w:id="3">
    <w:p w:rsidR="00FD4E84" w:rsidRDefault="00FD4E84">
      <w:pPr>
        <w:spacing w:after="80"/>
        <w:ind w:left="425" w:hanging="425"/>
      </w:pPr>
      <w:r>
        <w:rPr>
          <w:rStyle w:val="Aucun"/>
          <w:rFonts w:ascii="Verdana" w:eastAsia="Verdana" w:hAnsi="Verdana" w:cs="Verdana"/>
          <w:sz w:val="20"/>
          <w:szCs w:val="20"/>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Menteri Agrari Dan Tata Ruang, Surat Edaran No. 10/SE/VII/2015 </w:t>
      </w:r>
      <w:r>
        <w:rPr>
          <w:rStyle w:val="Aucun"/>
          <w:rFonts w:ascii="Verdana" w:hAnsi="Verdana"/>
          <w:i/>
          <w:iCs/>
          <w:sz w:val="18"/>
          <w:szCs w:val="18"/>
        </w:rPr>
        <w:t>Penerbitan Izin Pada Areal Hutan Konservasi Bernilai Tinggi (High Conservation Value Forest)</w:t>
      </w:r>
    </w:p>
  </w:footnote>
  <w:footnote w:id="4">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 xml:space="preserve">Jakarta Globe (2013), 'Riau Governor Rusli Still in Office Despite Arrest' Jakarta Globe, 17 Jun 2013, </w:t>
      </w:r>
      <w:hyperlink r:id="rId1" w:history="1">
        <w:r>
          <w:rPr>
            <w:rStyle w:val="Hyperlink0"/>
          </w:rPr>
          <w:t>http://jakartaglobe.id/news/rusli-still-in-office-despite-arrest-2/</w:t>
        </w:r>
      </w:hyperlink>
      <w:r>
        <w:rPr>
          <w:rStyle w:val="Aucun"/>
          <w:rFonts w:ascii="Verdana" w:hAnsi="Verdana"/>
          <w:sz w:val="18"/>
          <w:szCs w:val="18"/>
        </w:rPr>
        <w:t>, accessed 21 June 2017.</w:t>
      </w:r>
    </w:p>
  </w:footnote>
  <w:footnote w:id="5">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 xml:space="preserve">Jakarta Globe (2014), 'KPK Arrests Riau Governor in Raid', Jakarta Globe, 26 Sep 2014, </w:t>
      </w:r>
      <w:hyperlink r:id="rId2" w:history="1">
        <w:r>
          <w:rPr>
            <w:rStyle w:val="Hyperlink0"/>
          </w:rPr>
          <w:t>http://www.jakartaglobe.beritasatu.com/news/kpk-arrests-riau-governor-raid/</w:t>
        </w:r>
      </w:hyperlink>
      <w:r>
        <w:rPr>
          <w:rStyle w:val="Aucun"/>
          <w:rFonts w:ascii="Verdana" w:hAnsi="Verdana"/>
          <w:sz w:val="18"/>
          <w:szCs w:val="18"/>
        </w:rPr>
        <w:t>.</w:t>
      </w:r>
    </w:p>
  </w:footnote>
  <w:footnote w:id="6">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eastAsia="Verdana" w:hAnsi="Verdana" w:cs="Verdana"/>
          <w:sz w:val="18"/>
          <w:szCs w:val="18"/>
        </w:rPr>
        <w:tab/>
        <w:t>Constitutional Court Decision No. 35/2012 on the recognition and protection of customary forests (hutan adat / tanah ulayat) acknowledges the ownership and the right of local communities in Indonesia to access their customary forests</w:t>
      </w:r>
    </w:p>
  </w:footnote>
  <w:footnote w:id="7">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 xml:space="preserve">Gunawan, Apriadi  (2017), 'Acknowledgment of customary forests shows govt support for indigenous people', The Jakarta Post, 17 March 2017, </w:t>
      </w:r>
      <w:hyperlink r:id="rId3" w:history="1">
        <w:r>
          <w:rPr>
            <w:rStyle w:val="Hyperlink0"/>
          </w:rPr>
          <w:t>http://www.thejakartapost.com/news/2017/03/17/acknowledgment-of-customary-forests-shows-govt-support-for-indigenous-people.html</w:t>
        </w:r>
      </w:hyperlink>
      <w:r>
        <w:rPr>
          <w:rStyle w:val="Aucun"/>
          <w:rFonts w:ascii="Verdana" w:hAnsi="Verdana"/>
          <w:sz w:val="18"/>
          <w:szCs w:val="18"/>
        </w:rPr>
        <w:t>, accessed 21 June 2017.</w:t>
      </w:r>
    </w:p>
  </w:footnote>
  <w:footnote w:id="8">
    <w:p w:rsidR="00FD4E84" w:rsidRDefault="00FD4E84">
      <w:pPr>
        <w:spacing w:after="80"/>
        <w:ind w:left="425" w:hanging="425"/>
      </w:pPr>
      <w:r>
        <w:rPr>
          <w:rStyle w:val="Aucun"/>
          <w:rFonts w:ascii="Verdana" w:eastAsia="Verdana" w:hAnsi="Verdana" w:cs="Verdana"/>
          <w:sz w:val="20"/>
          <w:szCs w:val="20"/>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Suksuwan et al. (2015), ‘Consulting Study 10: Overview of existing regulatory mechanisms and relevant actors A. Institutional framework governing the palm oil sector in Cameroon: A report on laws, regulations and practices B. Community rights and environmental protection in the laws and regulations of Indonesia, High Carbon Stock (HCS) Science Study’, Surin Suksuwan, David Hoyle, Pavithra Ramani, Mike Senior and Rebecca Smalley, December 2015, </w:t>
      </w:r>
      <w:hyperlink r:id="rId4" w:history="1">
        <w:r>
          <w:rPr>
            <w:rStyle w:val="Hyperlink0"/>
          </w:rPr>
          <w:t>http://www.simedarby.com/sustainability/clients/simedarby_sustainability/assets/contentMS/img/template/editor/HCSReports/Consulting%20Report%2010.pdf</w:t>
        </w:r>
      </w:hyperlink>
      <w:r>
        <w:rPr>
          <w:rStyle w:val="Aucun"/>
          <w:rFonts w:ascii="Verdana" w:hAnsi="Verdana"/>
          <w:sz w:val="18"/>
          <w:szCs w:val="18"/>
        </w:rPr>
        <w:t>, accessed 15 June 2017.</w:t>
      </w:r>
    </w:p>
  </w:footnote>
  <w:footnote w:id="9">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Personal communication with EU Delegation in Jakarta (2018): While smaller ASEAN Member States exceed 4 million hectares of forest under social forestry (or community-based) programmes, Indonesia only has about 1 million hectares most of which has been achieved in the last 10 years. Although countries may have varying definitions for forest and social forestry, Indonesia has less than 1% of its total state forest land area under such schemes, as compared to Vietnam, which has about 30%, and the Philippines, which has 50%.</w:t>
      </w:r>
    </w:p>
  </w:footnote>
  <w:footnote w:id="10">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Jong, Hans Nicholas (2015), 'Record fine against plantation company upheld', The Jakarta Post, 13 Sep 2015, </w:t>
      </w:r>
      <w:hyperlink r:id="rId5" w:history="1">
        <w:r>
          <w:rPr>
            <w:rStyle w:val="Hyperlink0"/>
          </w:rPr>
          <w:t>http://www.thejakartapost.com/news/2015/09/13/record-fine-against-plantation-company-upheld.html</w:t>
        </w:r>
      </w:hyperlink>
      <w:r>
        <w:rPr>
          <w:rStyle w:val="Aucun"/>
          <w:rFonts w:ascii="Verdana" w:hAnsi="Verdana"/>
          <w:sz w:val="18"/>
          <w:szCs w:val="18"/>
        </w:rPr>
        <w:t>, accessed 21 June 2017.</w:t>
      </w:r>
    </w:p>
  </w:footnote>
  <w:footnote w:id="11">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Jong, Hans Nicholas (2016), 'Landmark court ruling expected to serve as deterrent'. The Jakarta Post, 18 Nov 2016, </w:t>
      </w:r>
      <w:hyperlink r:id="rId6" w:history="1">
        <w:r>
          <w:rPr>
            <w:rStyle w:val="Hyperlink0"/>
          </w:rPr>
          <w:t>http://www.thejakartapost.com/news/2016/11/18/landmark-court-ruling-expected-to-serve-as-deterrent.html</w:t>
        </w:r>
      </w:hyperlink>
      <w:r>
        <w:rPr>
          <w:rStyle w:val="Aucun"/>
          <w:rFonts w:ascii="Verdana" w:hAnsi="Verdana"/>
          <w:sz w:val="18"/>
          <w:szCs w:val="18"/>
        </w:rPr>
        <w:t>, accessed 21 June 2017.</w:t>
      </w:r>
    </w:p>
  </w:footnote>
  <w:footnote w:id="12">
    <w:p w:rsidR="00FD4E84" w:rsidRDefault="00FD4E84">
      <w:pPr>
        <w:spacing w:after="80"/>
        <w:ind w:left="426" w:hanging="426"/>
      </w:pPr>
      <w:r>
        <w:rPr>
          <w:rStyle w:val="Aucun"/>
          <w:rFonts w:ascii="Verdana" w:eastAsia="Verdana" w:hAnsi="Verdana" w:cs="Verdana"/>
          <w:sz w:val="20"/>
          <w:szCs w:val="20"/>
          <w:vertAlign w:val="superscript"/>
        </w:rPr>
        <w:footnoteRef/>
      </w:r>
      <w:r>
        <w:rPr>
          <w:rStyle w:val="Aucun"/>
          <w:rFonts w:ascii="Verdana" w:eastAsia="Verdana" w:hAnsi="Verdana" w:cs="Verdana"/>
          <w:sz w:val="18"/>
          <w:szCs w:val="18"/>
        </w:rPr>
        <w:tab/>
        <w:t>Indonesia Investments (2017), 'Only 16.7% OF Indonesia</w:t>
      </w:r>
      <w:r>
        <w:rPr>
          <w:rStyle w:val="Aucun"/>
          <w:rFonts w:ascii="Verdana" w:hAnsi="Verdana"/>
          <w:sz w:val="18"/>
          <w:szCs w:val="18"/>
        </w:rPr>
        <w:t>’s Oil Palm Plantations ISPO Certified’</w:t>
      </w:r>
      <w:r>
        <w:rPr>
          <w:rStyle w:val="Aucun"/>
          <w:rFonts w:ascii="Arial Unicode MS" w:eastAsia="Arial Unicode MS" w:hAnsi="Arial Unicode MS" w:cs="Arial Unicode MS"/>
          <w:sz w:val="18"/>
          <w:szCs w:val="18"/>
        </w:rPr>
        <w:br/>
      </w:r>
      <w:r>
        <w:rPr>
          <w:rStyle w:val="Aucun"/>
          <w:rFonts w:ascii="Verdana" w:hAnsi="Verdana"/>
          <w:sz w:val="18"/>
          <w:szCs w:val="18"/>
        </w:rPr>
        <w:t>https://www.indonesia-investments.com/news/todays-headlines/only-16.7-of-indonesia-s-oil-palm-plantations-ispo-certified/item8143?, accessed, 18 December 2017.</w:t>
      </w:r>
    </w:p>
  </w:footnote>
  <w:footnote w:id="13">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Pacheco P, Gnych S, Dermawan A, Komarudin H and Okarda B. 2017. ‘</w:t>
      </w:r>
      <w:r>
        <w:rPr>
          <w:rStyle w:val="Aucun"/>
          <w:rFonts w:ascii="Verdana" w:hAnsi="Verdana"/>
          <w:i/>
          <w:iCs/>
          <w:sz w:val="18"/>
          <w:szCs w:val="18"/>
        </w:rPr>
        <w:t>The palm oil global value chain: Implications for economic growth and social and environmental sustainability</w:t>
      </w:r>
      <w:r>
        <w:rPr>
          <w:rStyle w:val="Aucun"/>
          <w:rFonts w:ascii="Verdana" w:hAnsi="Verdana"/>
          <w:sz w:val="18"/>
          <w:szCs w:val="18"/>
        </w:rPr>
        <w:t>.’ Working Paper 220. Bogor, Indonesia: CIFOR</w:t>
      </w:r>
    </w:p>
  </w:footnote>
  <w:footnote w:id="14">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http://redd.unfccc.int/files/frel_submission_by__indonesia_final.pdf</w:t>
      </w:r>
    </w:p>
  </w:footnote>
  <w:footnote w:id="15">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At the time of finalising this report, the Indonesian officials in charge of consolidating and revamping the ISPO standard, principles and criteria were not in a position to provide detailed information on the content of the new standard, but indicated it would be made available in 2018.</w:t>
      </w:r>
    </w:p>
  </w:footnote>
  <w:footnote w:id="16">
    <w:p w:rsidR="00FD4E84" w:rsidRDefault="00FD4E84">
      <w:pPr>
        <w:spacing w:after="80"/>
        <w:ind w:left="425" w:hanging="425"/>
      </w:pPr>
      <w:r>
        <w:rPr>
          <w:rStyle w:val="Aucun"/>
          <w:rFonts w:ascii="Verdana" w:eastAsia="Verdana" w:hAnsi="Verdana" w:cs="Verdana"/>
          <w:sz w:val="20"/>
          <w:szCs w:val="20"/>
          <w:vertAlign w:val="superscript"/>
        </w:rPr>
        <w:footnoteRef/>
      </w:r>
      <w:r>
        <w:rPr>
          <w:rStyle w:val="Aucun"/>
          <w:rFonts w:ascii="Verdana" w:eastAsia="Verdana" w:hAnsi="Verdana" w:cs="Verdana"/>
          <w:sz w:val="18"/>
          <w:szCs w:val="18"/>
        </w:rPr>
        <w:tab/>
        <w:t xml:space="preserve">ISPO </w:t>
      </w:r>
      <w:r>
        <w:rPr>
          <w:rStyle w:val="Aucun"/>
          <w:rFonts w:ascii="Verdana" w:hAnsi="Verdana"/>
          <w:sz w:val="18"/>
          <w:szCs w:val="18"/>
        </w:rPr>
        <w:t>‘</w:t>
      </w:r>
      <w:r>
        <w:rPr>
          <w:rStyle w:val="Aucun"/>
          <w:rFonts w:ascii="Verdana" w:hAnsi="Verdana"/>
          <w:i/>
          <w:iCs/>
          <w:sz w:val="18"/>
          <w:szCs w:val="18"/>
        </w:rPr>
        <w:t>Sertifikasi</w:t>
      </w:r>
      <w:r>
        <w:rPr>
          <w:rStyle w:val="Aucun"/>
          <w:rFonts w:ascii="Verdana" w:hAnsi="Verdana"/>
          <w:sz w:val="18"/>
          <w:szCs w:val="18"/>
        </w:rPr>
        <w:t xml:space="preserve">’. Last accessed 29 June 2017 at </w:t>
      </w:r>
      <w:hyperlink r:id="rId7" w:history="1">
        <w:r>
          <w:rPr>
            <w:rStyle w:val="Hyperlink3"/>
          </w:rPr>
          <w:t>http://www.ispo-org.or.id/index.php?option=com_content&amp;view=article&amp;id=79&amp;Itemid=225&amp;lang=ina</w:t>
        </w:r>
      </w:hyperlink>
      <w:r>
        <w:rPr>
          <w:rStyle w:val="Aucun"/>
          <w:rFonts w:ascii="Verdana" w:hAnsi="Verdana"/>
          <w:sz w:val="18"/>
          <w:szCs w:val="18"/>
        </w:rPr>
        <w:t xml:space="preserve"> </w:t>
      </w:r>
    </w:p>
  </w:footnote>
  <w:footnote w:id="17">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http://redd.unfccc.int/files/frel_submission_by__indonesia_final.pdf</w:t>
      </w:r>
    </w:p>
  </w:footnote>
  <w:footnote w:id="18">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Ministry of Agriculture, Roundtable on Sustainable Oil Palm, Indonesian Sustainable Palm Oil, Mutuagung Lestari and United Nations Development Programme. ‘</w:t>
      </w:r>
      <w:r>
        <w:rPr>
          <w:rStyle w:val="Aucun"/>
          <w:rFonts w:ascii="Verdana" w:hAnsi="Verdana"/>
          <w:i/>
          <w:iCs/>
          <w:sz w:val="18"/>
          <w:szCs w:val="18"/>
        </w:rPr>
        <w:t>Joint study on the similarities and differences on the ISPO and the RSPO certification systems</w:t>
      </w:r>
      <w:r>
        <w:rPr>
          <w:rStyle w:val="Aucun"/>
          <w:rFonts w:ascii="Verdana" w:hAnsi="Verdana"/>
          <w:sz w:val="18"/>
          <w:szCs w:val="18"/>
        </w:rPr>
        <w:t>.’ RSPO, ISPO, UNDP (2015), Bogor, Indonesia.</w:t>
      </w:r>
    </w:p>
  </w:footnote>
  <w:footnote w:id="19">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RSPO (2013). RSPO Principles and Criteria for the Production of Sustainable Palm Oil.</w:t>
      </w:r>
    </w:p>
  </w:footnote>
  <w:footnote w:id="20">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ISCC (2016). ISCC EU 202. Sustainability requirements, Version 3.0. </w:t>
      </w:r>
    </w:p>
  </w:footnote>
  <w:footnote w:id="21">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Ministry of Agriculture of the Republic of Indonesia (2015). Principles and criteria of Indonesian sustainable palm oil/ISPO for plantation company operating cultivation. Regulation Number  11/Permentan/OT.140/3/2015</w:t>
      </w:r>
    </w:p>
  </w:footnote>
  <w:footnote w:id="22">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MSPO (2013). Malaysian Sustainable Palm Oil (MSPO) Part 3: General principles for oil palm plantations and organised smallholders . MS 2530-3:2013</w:t>
      </w:r>
      <w:r>
        <w:rPr>
          <w:rStyle w:val="Aucun"/>
        </w:rPr>
        <w:t xml:space="preserve"> </w:t>
      </w:r>
    </w:p>
  </w:footnote>
  <w:footnote w:id="23">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Nussbaum, R., Jennings S., &amp; Garforth M. ‘</w:t>
      </w:r>
      <w:r>
        <w:rPr>
          <w:rStyle w:val="Aucun"/>
          <w:rFonts w:ascii="Verdana" w:hAnsi="Verdana"/>
          <w:i/>
          <w:iCs/>
          <w:sz w:val="18"/>
          <w:szCs w:val="18"/>
        </w:rPr>
        <w:t>Assessing Forest Certification Schemes: A Practical Guide</w:t>
      </w:r>
      <w:r>
        <w:rPr>
          <w:rStyle w:val="Aucun"/>
          <w:rFonts w:ascii="Verdana" w:hAnsi="Verdana"/>
          <w:sz w:val="18"/>
          <w:szCs w:val="18"/>
        </w:rPr>
        <w:t>.’ ProForest (2002), UK.</w:t>
      </w:r>
    </w:p>
  </w:footnote>
  <w:footnote w:id="24">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Nussbaum </w:t>
      </w:r>
      <w:r>
        <w:rPr>
          <w:rStyle w:val="Aucun"/>
          <w:rFonts w:ascii="Verdana" w:hAnsi="Verdana"/>
          <w:i/>
          <w:iCs/>
          <w:sz w:val="18"/>
          <w:szCs w:val="18"/>
        </w:rPr>
        <w:t xml:space="preserve">et al. </w:t>
      </w:r>
      <w:r>
        <w:rPr>
          <w:rStyle w:val="Aucun"/>
          <w:rFonts w:ascii="Verdana" w:hAnsi="Verdana"/>
          <w:sz w:val="18"/>
          <w:szCs w:val="18"/>
        </w:rPr>
        <w:t xml:space="preserve">(2002). </w:t>
      </w:r>
      <w:r>
        <w:rPr>
          <w:rStyle w:val="Aucun"/>
          <w:rFonts w:ascii="Verdana" w:hAnsi="Verdana"/>
          <w:i/>
          <w:iCs/>
          <w:sz w:val="18"/>
          <w:szCs w:val="18"/>
        </w:rPr>
        <w:t>Op. cit.</w:t>
      </w:r>
    </w:p>
  </w:footnote>
  <w:footnote w:id="25">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Nussbaum </w:t>
      </w:r>
      <w:r>
        <w:rPr>
          <w:rStyle w:val="Aucun"/>
          <w:rFonts w:ascii="Verdana" w:hAnsi="Verdana"/>
          <w:i/>
          <w:iCs/>
          <w:sz w:val="18"/>
          <w:szCs w:val="18"/>
        </w:rPr>
        <w:t xml:space="preserve">et al. </w:t>
      </w:r>
      <w:r>
        <w:rPr>
          <w:rStyle w:val="Aucun"/>
          <w:rFonts w:ascii="Verdana" w:hAnsi="Verdana"/>
          <w:sz w:val="18"/>
          <w:szCs w:val="18"/>
        </w:rPr>
        <w:t xml:space="preserve">(2002). </w:t>
      </w:r>
      <w:r>
        <w:rPr>
          <w:rStyle w:val="Aucun"/>
          <w:rFonts w:ascii="Verdana" w:hAnsi="Verdana"/>
          <w:i/>
          <w:iCs/>
          <w:sz w:val="18"/>
          <w:szCs w:val="18"/>
        </w:rPr>
        <w:t>ibid.</w:t>
      </w:r>
    </w:p>
  </w:footnote>
  <w:footnote w:id="26">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‘High Conservation Value’ was first articulated in the Forest Stewardship Council’s Principles and Criteria to define and maintain the world’s most important forests for biodiversity, ecosystem services, culture and society. The notion has been extended to include other, non-forest ecosystems, and within other sectors, such as oil palm. </w:t>
      </w:r>
    </w:p>
  </w:footnote>
  <w:footnote w:id="27">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Ruysschaert, D. &amp; Salles, D. ‘</w:t>
      </w:r>
      <w:r>
        <w:rPr>
          <w:rStyle w:val="Aucun"/>
          <w:rFonts w:ascii="Verdana" w:hAnsi="Verdana"/>
          <w:i/>
          <w:iCs/>
          <w:sz w:val="18"/>
          <w:szCs w:val="18"/>
        </w:rPr>
        <w:t>Towards global voluntary standards: Questioning the effectiveness in attaining conservation goals: The case of the Roundtable on Sustainable Palm Oil (RSPO)</w:t>
      </w:r>
      <w:r>
        <w:rPr>
          <w:rStyle w:val="Aucun"/>
          <w:rFonts w:ascii="Verdana" w:hAnsi="Verdana"/>
          <w:sz w:val="18"/>
          <w:szCs w:val="18"/>
        </w:rPr>
        <w:t>’. Ecological Economics, Volume 107, 2014, Pp. 438–446</w:t>
      </w:r>
    </w:p>
  </w:footnote>
  <w:footnote w:id="28">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EIA. ‘</w:t>
      </w:r>
      <w:r>
        <w:rPr>
          <w:rStyle w:val="Aucun"/>
          <w:rFonts w:ascii="Verdana" w:hAnsi="Verdana"/>
          <w:i/>
          <w:iCs/>
          <w:sz w:val="18"/>
          <w:szCs w:val="18"/>
        </w:rPr>
        <w:t>Who Watches the Watchmen. Auditors and the Breakdown of Oversight in the RSPO</w:t>
      </w:r>
      <w:r>
        <w:rPr>
          <w:rStyle w:val="Aucun"/>
          <w:rFonts w:ascii="Verdana" w:hAnsi="Verdana"/>
          <w:sz w:val="18"/>
          <w:szCs w:val="18"/>
        </w:rPr>
        <w:t>’. Enviromental Investication Agency International, 2014, London.</w:t>
      </w:r>
    </w:p>
  </w:footnote>
  <w:footnote w:id="29">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Amnesty International ‘</w:t>
      </w:r>
      <w:r>
        <w:rPr>
          <w:rStyle w:val="Aucun"/>
          <w:rFonts w:ascii="Verdana" w:hAnsi="Verdana"/>
          <w:i/>
          <w:iCs/>
          <w:sz w:val="18"/>
          <w:szCs w:val="18"/>
        </w:rPr>
        <w:t>The Great Palm Oil Scandal: Labour Abuses Behind Big Brand Names</w:t>
      </w:r>
      <w:r>
        <w:rPr>
          <w:rStyle w:val="Aucun"/>
          <w:rFonts w:ascii="Verdana" w:hAnsi="Verdana"/>
          <w:sz w:val="18"/>
          <w:szCs w:val="18"/>
        </w:rPr>
        <w:t xml:space="preserve">’. Amnesty International, 2016, London </w:t>
      </w:r>
      <w:hyperlink r:id="rId8" w:history="1">
        <w:r>
          <w:rPr>
            <w:rStyle w:val="Hyperlink0"/>
          </w:rPr>
          <w:t>https://www.amnesty.org/en/documents/asa21/5184/2016/en/</w:t>
        </w:r>
      </w:hyperlink>
      <w:r>
        <w:rPr>
          <w:rStyle w:val="Aucun"/>
          <w:rFonts w:ascii="Verdana" w:hAnsi="Verdana"/>
          <w:sz w:val="18"/>
          <w:szCs w:val="18"/>
        </w:rPr>
        <w:t>.</w:t>
      </w:r>
    </w:p>
  </w:footnote>
  <w:footnote w:id="30">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 xml:space="preserve">Amnesty International (2016), </w:t>
      </w:r>
      <w:r>
        <w:rPr>
          <w:rStyle w:val="Aucun"/>
          <w:rFonts w:ascii="Verdana" w:hAnsi="Verdana"/>
          <w:i/>
          <w:iCs/>
          <w:sz w:val="18"/>
          <w:szCs w:val="18"/>
        </w:rPr>
        <w:t>The Great Palm Oil Scandal: Labour Abuses Behind Big Brand Names</w:t>
      </w:r>
      <w:r>
        <w:rPr>
          <w:rStyle w:val="Aucun"/>
          <w:rFonts w:ascii="Verdana" w:hAnsi="Verdana"/>
          <w:sz w:val="18"/>
          <w:szCs w:val="18"/>
        </w:rPr>
        <w:t xml:space="preserve"> (London: Amnesty International, 7 Dec. 2016), </w:t>
      </w:r>
      <w:hyperlink r:id="rId9" w:history="1">
        <w:r>
          <w:rPr>
            <w:rStyle w:val="Hyperlink0"/>
          </w:rPr>
          <w:t>https://www.amnesty.org/en/documents/asa21/5184/2016/en/</w:t>
        </w:r>
      </w:hyperlink>
      <w:r>
        <w:rPr>
          <w:rStyle w:val="Aucun"/>
          <w:rFonts w:ascii="Verdana" w:hAnsi="Verdana"/>
          <w:sz w:val="18"/>
          <w:szCs w:val="18"/>
        </w:rPr>
        <w:t>, accessed 1 Feb. 2017.</w:t>
      </w:r>
    </w:p>
  </w:footnote>
  <w:footnote w:id="31">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International Labour Rights Forum &amp; Sawit Watch. Empty Assurances: RSPO Labor Case Studies. International Labour Rights Forum &amp; Sawit Watch (2013), Washington D.C. &amp; Bogor.</w:t>
      </w:r>
    </w:p>
  </w:footnote>
  <w:footnote w:id="32">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Cheyns, E. (2014). Making “minority voices” heard in transnational roundtables: The role of local NGOs in reintroducing justice and attachments. Agriculture and Human Values, 31(3), 439-453.</w:t>
      </w:r>
    </w:p>
  </w:footnote>
  <w:footnote w:id="33">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r>
      <w:r>
        <w:rPr>
          <w:rStyle w:val="Aucun"/>
          <w:rFonts w:ascii="Verdana" w:hAnsi="Verdana"/>
          <w:sz w:val="18"/>
          <w:szCs w:val="18"/>
          <w:shd w:val="clear" w:color="auto" w:fill="FFFFFF"/>
        </w:rPr>
        <w:t>Colchester, Marcus, Wee Aik Pang, Wong Meng Chuo and Thomas Jalong (2007) </w:t>
      </w:r>
      <w:r>
        <w:rPr>
          <w:rStyle w:val="Aucun"/>
          <w:rFonts w:ascii="Verdana" w:hAnsi="Verdana"/>
          <w:i/>
          <w:iCs/>
          <w:sz w:val="18"/>
          <w:szCs w:val="18"/>
          <w:shd w:val="clear" w:color="auto" w:fill="FFFFFF"/>
        </w:rPr>
        <w:t>Land is Life: Land Rights and Palm Oil Development in Sarawak. </w:t>
      </w:r>
      <w:r>
        <w:rPr>
          <w:rStyle w:val="Aucun"/>
          <w:rFonts w:ascii="Verdana" w:hAnsi="Verdana"/>
          <w:sz w:val="18"/>
          <w:szCs w:val="18"/>
          <w:shd w:val="clear" w:color="auto" w:fill="FFFFFF"/>
        </w:rPr>
        <w:t>Forest Peoples Programme and SawitWatch, Bogor.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84" w:rsidRDefault="00FD4E84">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84" w:rsidRDefault="00FD4E84">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29E"/>
    <w:multiLevelType w:val="multilevel"/>
    <w:tmpl w:val="431ABCC0"/>
    <w:numStyleLink w:val="Style1import"/>
  </w:abstractNum>
  <w:abstractNum w:abstractNumId="1" w15:restartNumberingAfterBreak="0">
    <w:nsid w:val="0BBA0EF8"/>
    <w:multiLevelType w:val="hybridMultilevel"/>
    <w:tmpl w:val="24CAD77E"/>
    <w:numStyleLink w:val="Style12import"/>
  </w:abstractNum>
  <w:abstractNum w:abstractNumId="2" w15:restartNumberingAfterBreak="0">
    <w:nsid w:val="0EF85FB1"/>
    <w:multiLevelType w:val="hybridMultilevel"/>
    <w:tmpl w:val="52562BD2"/>
    <w:numStyleLink w:val="Style6import"/>
  </w:abstractNum>
  <w:abstractNum w:abstractNumId="3" w15:restartNumberingAfterBreak="0">
    <w:nsid w:val="122B222B"/>
    <w:multiLevelType w:val="hybridMultilevel"/>
    <w:tmpl w:val="EAA8DFCE"/>
    <w:styleLink w:val="Style3import"/>
    <w:lvl w:ilvl="0" w:tplc="A18CF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50080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E0FE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82F2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B0715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A46AD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064A1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DE829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FABC98">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E0119C"/>
    <w:multiLevelType w:val="hybridMultilevel"/>
    <w:tmpl w:val="870EA5E8"/>
    <w:styleLink w:val="Style5import"/>
    <w:lvl w:ilvl="0" w:tplc="3874191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8229C">
      <w:start w:val="1"/>
      <w:numFmt w:val="bullet"/>
      <w:lvlText w:val="·"/>
      <w:lvlJc w:val="left"/>
      <w:pPr>
        <w:ind w:left="144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86C6C6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366B6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A8C31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127A4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7C024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12E5E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CAE12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7973E1"/>
    <w:multiLevelType w:val="hybridMultilevel"/>
    <w:tmpl w:val="EAA8DFCE"/>
    <w:numStyleLink w:val="Style3import"/>
  </w:abstractNum>
  <w:abstractNum w:abstractNumId="6" w15:restartNumberingAfterBreak="0">
    <w:nsid w:val="1E083D34"/>
    <w:multiLevelType w:val="hybridMultilevel"/>
    <w:tmpl w:val="5106D868"/>
    <w:styleLink w:val="Style7import"/>
    <w:lvl w:ilvl="0" w:tplc="97B2E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46C6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22C55B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1E44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EA5D5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7CBD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945B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7EBA2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DE13DB"/>
    <w:multiLevelType w:val="hybridMultilevel"/>
    <w:tmpl w:val="91A026C6"/>
    <w:numStyleLink w:val="Style9import"/>
  </w:abstractNum>
  <w:abstractNum w:abstractNumId="8" w15:restartNumberingAfterBreak="0">
    <w:nsid w:val="27BE555A"/>
    <w:multiLevelType w:val="hybridMultilevel"/>
    <w:tmpl w:val="F56A9BEA"/>
    <w:numStyleLink w:val="Style2import"/>
  </w:abstractNum>
  <w:abstractNum w:abstractNumId="9" w15:restartNumberingAfterBreak="0">
    <w:nsid w:val="2A693065"/>
    <w:multiLevelType w:val="hybridMultilevel"/>
    <w:tmpl w:val="91A026C6"/>
    <w:styleLink w:val="Style9import"/>
    <w:lvl w:ilvl="0" w:tplc="E4A4E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1C03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0CC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DC95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8AD1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496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2A3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67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7E3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ED4365"/>
    <w:multiLevelType w:val="hybridMultilevel"/>
    <w:tmpl w:val="52562BD2"/>
    <w:styleLink w:val="Style6import"/>
    <w:lvl w:ilvl="0" w:tplc="60CABAD4">
      <w:start w:val="1"/>
      <w:numFmt w:val="bullet"/>
      <w:lvlText w:val="·"/>
      <w:lvlJc w:val="left"/>
      <w:pPr>
        <w:ind w:left="7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52FCFE">
      <w:start w:val="1"/>
      <w:numFmt w:val="bullet"/>
      <w:lvlText w:val="o"/>
      <w:lvlJc w:val="left"/>
      <w:pPr>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4673C">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064AE">
      <w:start w:val="1"/>
      <w:numFmt w:val="bullet"/>
      <w:lvlText w:val="·"/>
      <w:lvlJc w:val="left"/>
      <w:pPr>
        <w:ind w:left="28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6090A">
      <w:start w:val="1"/>
      <w:numFmt w:val="bullet"/>
      <w:lvlText w:val="o"/>
      <w:lvlJc w:val="left"/>
      <w:pPr>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E3054">
      <w:start w:val="1"/>
      <w:numFmt w:val="bullet"/>
      <w:lvlText w:val="▪"/>
      <w:lvlJc w:val="left"/>
      <w:pPr>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047D32">
      <w:start w:val="1"/>
      <w:numFmt w:val="bullet"/>
      <w:lvlText w:val="·"/>
      <w:lvlJc w:val="left"/>
      <w:pPr>
        <w:ind w:left="50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9888F8">
      <w:start w:val="1"/>
      <w:numFmt w:val="bullet"/>
      <w:lvlText w:val="o"/>
      <w:lvlJc w:val="left"/>
      <w:pPr>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0266BA">
      <w:start w:val="1"/>
      <w:numFmt w:val="bullet"/>
      <w:lvlText w:val="▪"/>
      <w:lvlJc w:val="left"/>
      <w:pPr>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BC559E"/>
    <w:multiLevelType w:val="hybridMultilevel"/>
    <w:tmpl w:val="5106D868"/>
    <w:numStyleLink w:val="Style7import"/>
  </w:abstractNum>
  <w:abstractNum w:abstractNumId="12" w15:restartNumberingAfterBreak="0">
    <w:nsid w:val="4D492E39"/>
    <w:multiLevelType w:val="hybridMultilevel"/>
    <w:tmpl w:val="EBFEFD26"/>
    <w:styleLink w:val="Style11import"/>
    <w:lvl w:ilvl="0" w:tplc="575E232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EFC7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A257D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EAD45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1A927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26773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4D8A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549A0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70B08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C935D5"/>
    <w:multiLevelType w:val="hybridMultilevel"/>
    <w:tmpl w:val="B978E992"/>
    <w:numStyleLink w:val="Style4import"/>
  </w:abstractNum>
  <w:abstractNum w:abstractNumId="14" w15:restartNumberingAfterBreak="0">
    <w:nsid w:val="548B22A6"/>
    <w:multiLevelType w:val="multilevel"/>
    <w:tmpl w:val="431ABCC0"/>
    <w:styleLink w:val="Style1import"/>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6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tabs>
          <w:tab w:val="num" w:pos="1363"/>
        </w:tabs>
        <w:ind w:left="191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27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3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99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35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3C188F"/>
    <w:multiLevelType w:val="hybridMultilevel"/>
    <w:tmpl w:val="5A20D480"/>
    <w:numStyleLink w:val="Style8import"/>
  </w:abstractNum>
  <w:abstractNum w:abstractNumId="16" w15:restartNumberingAfterBreak="0">
    <w:nsid w:val="642813CC"/>
    <w:multiLevelType w:val="hybridMultilevel"/>
    <w:tmpl w:val="EBFEFD26"/>
    <w:numStyleLink w:val="Style11import"/>
  </w:abstractNum>
  <w:abstractNum w:abstractNumId="17" w15:restartNumberingAfterBreak="0">
    <w:nsid w:val="67A56735"/>
    <w:multiLevelType w:val="hybridMultilevel"/>
    <w:tmpl w:val="5A20D480"/>
    <w:styleLink w:val="Style8import"/>
    <w:lvl w:ilvl="0" w:tplc="AA0AB8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709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F4C9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0A2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046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0D4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4895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FE5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07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9570538"/>
    <w:multiLevelType w:val="hybridMultilevel"/>
    <w:tmpl w:val="B978E992"/>
    <w:styleLink w:val="Style4import"/>
    <w:lvl w:ilvl="0" w:tplc="08D2B4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C5C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A69F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6EF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FC3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92CE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424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A22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844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B183593"/>
    <w:multiLevelType w:val="hybridMultilevel"/>
    <w:tmpl w:val="F56A9BEA"/>
    <w:styleLink w:val="Style2import"/>
    <w:lvl w:ilvl="0" w:tplc="E910C6D8">
      <w:start w:val="1"/>
      <w:numFmt w:val="upperRoman"/>
      <w:lvlText w:val="%1."/>
      <w:lvlJc w:val="left"/>
      <w:pPr>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CDE2CB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4F01F70">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5CF472B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3CBD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8EA7CC">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A9AA61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B4FF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F63E1C">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651B16"/>
    <w:multiLevelType w:val="hybridMultilevel"/>
    <w:tmpl w:val="870EA5E8"/>
    <w:numStyleLink w:val="Style5import"/>
  </w:abstractNum>
  <w:abstractNum w:abstractNumId="21" w15:restartNumberingAfterBreak="0">
    <w:nsid w:val="7B693E63"/>
    <w:multiLevelType w:val="hybridMultilevel"/>
    <w:tmpl w:val="24CAD77E"/>
    <w:styleLink w:val="Style12import"/>
    <w:lvl w:ilvl="0" w:tplc="7EF601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BC2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185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E212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5A4C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969C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24B2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00F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28F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1624A9"/>
    <w:multiLevelType w:val="hybridMultilevel"/>
    <w:tmpl w:val="6254AD16"/>
    <w:lvl w:ilvl="0" w:tplc="D7A454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427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1895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6499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C7C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B615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CCEA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8F1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74C1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8"/>
  </w:num>
  <w:num w:numId="3">
    <w:abstractNumId w:val="3"/>
  </w:num>
  <w:num w:numId="4">
    <w:abstractNumId w:val="5"/>
  </w:num>
  <w:num w:numId="5">
    <w:abstractNumId w:val="18"/>
  </w:num>
  <w:num w:numId="6">
    <w:abstractNumId w:val="13"/>
  </w:num>
  <w:num w:numId="7">
    <w:abstractNumId w:val="13"/>
    <w:lvlOverride w:ilvl="0">
      <w:lvl w:ilvl="0" w:tplc="751E9C6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4ED35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CA9B1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D8D32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3E300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2C4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48995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1C826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7AA7BE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0"/>
  </w:num>
  <w:num w:numId="10">
    <w:abstractNumId w:val="20"/>
    <w:lvlOverride w:ilvl="0">
      <w:lvl w:ilvl="0" w:tplc="364C8B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00572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BE2A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8482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6A8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626B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C015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06B1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92F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0"/>
  </w:num>
  <w:num w:numId="12">
    <w:abstractNumId w:val="2"/>
  </w:num>
  <w:num w:numId="13">
    <w:abstractNumId w:val="6"/>
  </w:num>
  <w:num w:numId="14">
    <w:abstractNumId w:val="11"/>
  </w:num>
  <w:num w:numId="15">
    <w:abstractNumId w:val="17"/>
  </w:num>
  <w:num w:numId="16">
    <w:abstractNumId w:val="15"/>
  </w:num>
  <w:num w:numId="17">
    <w:abstractNumId w:val="9"/>
  </w:num>
  <w:num w:numId="18">
    <w:abstractNumId w:val="7"/>
  </w:num>
  <w:num w:numId="19">
    <w:abstractNumId w:val="14"/>
  </w:num>
  <w:num w:numId="20">
    <w:abstractNumId w:val="0"/>
  </w:num>
  <w:num w:numId="21">
    <w:abstractNumId w:val="22"/>
  </w:num>
  <w:num w:numId="22">
    <w:abstractNumId w:val="22"/>
    <w:lvlOverride w:ilvl="0">
      <w:lvl w:ilvl="0" w:tplc="D7A4548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4274C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18953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4997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2C7C3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B6156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CCEA0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A8F1F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74C1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16"/>
  </w:num>
  <w:num w:numId="25">
    <w:abstractNumId w:val="0"/>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tabs>
            <w:tab w:val="num" w:pos="861"/>
          </w:tabs>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num" w:pos="1363"/>
          </w:tabs>
          <w:ind w:left="191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27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63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99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35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1"/>
  </w:num>
  <w:num w:numId="27">
    <w:abstractNumId w:val="1"/>
  </w:num>
  <w:num w:numId="28">
    <w:abstractNumId w:val="0"/>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861"/>
          </w:tabs>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num" w:pos="1363"/>
          </w:tabs>
          <w:ind w:left="191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27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63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99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35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861"/>
          </w:tabs>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num" w:pos="1363"/>
          </w:tabs>
          <w:ind w:left="191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27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63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99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35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LW_DocType" w:val="NORMAL"/>
  </w:docVars>
  <w:rsids>
    <w:rsidRoot w:val="000F00BD"/>
    <w:rsid w:val="000F00BD"/>
    <w:rsid w:val="001C7286"/>
    <w:rsid w:val="002D770E"/>
    <w:rsid w:val="003136BE"/>
    <w:rsid w:val="00355E19"/>
    <w:rsid w:val="00484299"/>
    <w:rsid w:val="00783A3A"/>
    <w:rsid w:val="008F618F"/>
    <w:rsid w:val="009717E4"/>
    <w:rsid w:val="00EC328B"/>
    <w:rsid w:val="00F15A11"/>
    <w:rsid w:val="00FD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1875-2F5D-4FE8-82CC-73F4DDDE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next w:val="Normal"/>
    <w:pPr>
      <w:keepNext/>
      <w:tabs>
        <w:tab w:val="left" w:pos="480"/>
      </w:tabs>
      <w:spacing w:before="240" w:after="240"/>
      <w:jc w:val="both"/>
      <w:outlineLvl w:val="0"/>
    </w:pPr>
    <w:rPr>
      <w:rFonts w:cs="Arial Unicode MS"/>
      <w:b/>
      <w:bCs/>
      <w:smallCaps/>
      <w:color w:val="000000"/>
      <w:sz w:val="24"/>
      <w:szCs w:val="24"/>
      <w:u w:color="000000"/>
      <w:lang w:val="en-US"/>
    </w:rPr>
  </w:style>
  <w:style w:type="paragraph" w:styleId="Heading2">
    <w:name w:val="heading 2"/>
    <w:next w:val="Normal"/>
    <w:pPr>
      <w:keepNext/>
      <w:tabs>
        <w:tab w:val="left" w:pos="720"/>
      </w:tabs>
      <w:spacing w:after="240"/>
      <w:jc w:val="both"/>
      <w:outlineLvl w:val="1"/>
    </w:pPr>
    <w:rPr>
      <w:rFonts w:eastAsia="Times New Roman"/>
      <w:b/>
      <w:bCs/>
      <w:color w:val="000000"/>
      <w:sz w:val="24"/>
      <w:szCs w:val="24"/>
      <w:u w:color="000000"/>
      <w:lang w:val="en-US"/>
    </w:rPr>
  </w:style>
  <w:style w:type="paragraph" w:styleId="Heading3">
    <w:name w:val="heading 3"/>
    <w:next w:val="Normal"/>
    <w:pPr>
      <w:keepNext/>
      <w:tabs>
        <w:tab w:val="left" w:pos="861"/>
      </w:tabs>
      <w:spacing w:after="240"/>
      <w:jc w:val="both"/>
      <w:outlineLvl w:val="2"/>
    </w:pPr>
    <w:rPr>
      <w:rFonts w:cs="Arial Unicode MS"/>
      <w:i/>
      <w:iCs/>
      <w:color w:val="000000"/>
      <w:sz w:val="24"/>
      <w:szCs w:val="24"/>
      <w:u w:color="000000"/>
      <w:lang w:val="en-US"/>
    </w:rPr>
  </w:style>
  <w:style w:type="paragraph" w:styleId="Heading4">
    <w:name w:val="heading 4"/>
    <w:next w:val="Normal"/>
    <w:pPr>
      <w:keepNext/>
      <w:tabs>
        <w:tab w:val="left" w:pos="7100"/>
      </w:tabs>
      <w:spacing w:after="240"/>
      <w:jc w:val="both"/>
      <w:outlineLvl w:val="3"/>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character" w:customStyle="1" w:styleId="Aucun">
    <w:name w:val="Aucun"/>
    <w:rPr>
      <w:lang w:val="en-US"/>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4import">
    <w:name w:val="Style 4 importé"/>
    <w:pPr>
      <w:numPr>
        <w:numId w:val="5"/>
      </w:numPr>
    </w:pPr>
  </w:style>
  <w:style w:type="numbering" w:customStyle="1" w:styleId="Style5import">
    <w:name w:val="Style 5 importé"/>
    <w:pPr>
      <w:numPr>
        <w:numId w:val="8"/>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paragraph" w:styleId="FootnoteText">
    <w:name w:val="footnote text"/>
    <w:pPr>
      <w:spacing w:after="240"/>
      <w:ind w:left="357" w:hanging="357"/>
      <w:jc w:val="both"/>
    </w:pPr>
    <w:rPr>
      <w:rFonts w:eastAsia="Times New Roman"/>
      <w:color w:val="000000"/>
      <w:u w:color="000000"/>
      <w:lang w:val="en-US"/>
    </w:rPr>
  </w:style>
  <w:style w:type="character" w:customStyle="1" w:styleId="Lien">
    <w:name w:val="Lien"/>
    <w:rPr>
      <w:color w:val="0000FF"/>
      <w:u w:val="single" w:color="0000FF"/>
    </w:rPr>
  </w:style>
  <w:style w:type="character" w:customStyle="1" w:styleId="Hyperlink0">
    <w:name w:val="Hyperlink.0"/>
    <w:basedOn w:val="Lien"/>
    <w:rPr>
      <w:rFonts w:ascii="Verdana" w:eastAsia="Verdana" w:hAnsi="Verdana" w:cs="Verdana"/>
      <w:color w:val="0000FF"/>
      <w:sz w:val="18"/>
      <w:szCs w:val="18"/>
      <w:u w:val="single" w:color="0000FF"/>
    </w:rPr>
  </w:style>
  <w:style w:type="numbering" w:customStyle="1" w:styleId="Style1import">
    <w:name w:val="Style 1 importé"/>
    <w:pPr>
      <w:numPr>
        <w:numId w:val="19"/>
      </w:numPr>
    </w:pPr>
  </w:style>
  <w:style w:type="character" w:customStyle="1" w:styleId="Hyperlink1">
    <w:name w:val="Hyperlink.1"/>
    <w:basedOn w:val="Aucun"/>
    <w:rPr>
      <w:rFonts w:ascii="Verdana" w:eastAsia="Verdana" w:hAnsi="Verdana" w:cs="Verdana"/>
      <w:sz w:val="20"/>
      <w:szCs w:val="20"/>
      <w:lang w:val="en-US"/>
    </w:rPr>
  </w:style>
  <w:style w:type="character" w:customStyle="1" w:styleId="Hyperlink2">
    <w:name w:val="Hyperlink.2"/>
    <w:basedOn w:val="Aucun"/>
    <w:rPr>
      <w:rFonts w:ascii="Verdana" w:eastAsia="Verdana" w:hAnsi="Verdana" w:cs="Verdana"/>
      <w:b/>
      <w:bCs/>
      <w:sz w:val="20"/>
      <w:szCs w:val="20"/>
      <w:lang w:val="en-US"/>
    </w:rPr>
  </w:style>
  <w:style w:type="paragraph" w:styleId="Caption">
    <w:name w:val="caption"/>
    <w:next w:val="Normal"/>
    <w:pPr>
      <w:spacing w:before="120" w:after="120"/>
      <w:jc w:val="both"/>
    </w:pPr>
    <w:rPr>
      <w:rFonts w:ascii="Verdana" w:hAnsi="Verdana" w:cs="Arial Unicode MS"/>
      <w:b/>
      <w:bCs/>
      <w:color w:val="000000"/>
      <w:u w:color="000000"/>
      <w:lang w:val="en-US"/>
    </w:rPr>
  </w:style>
  <w:style w:type="character" w:customStyle="1" w:styleId="Hyperlink3">
    <w:name w:val="Hyperlink.3"/>
    <w:basedOn w:val="Lien"/>
    <w:rPr>
      <w:rFonts w:ascii="Verdana" w:eastAsia="Verdana" w:hAnsi="Verdana" w:cs="Verdana"/>
      <w:color w:val="0000FF"/>
      <w:sz w:val="18"/>
      <w:szCs w:val="18"/>
      <w:u w:val="single" w:color="0000FF"/>
      <w:lang w:val="en-US"/>
    </w:rPr>
  </w:style>
  <w:style w:type="numbering" w:customStyle="1" w:styleId="Style11import">
    <w:name w:val="Style 11 importé"/>
    <w:pPr>
      <w:numPr>
        <w:numId w:val="23"/>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Style12import">
    <w:name w:val="Style 12 importé"/>
    <w:pPr>
      <w:numPr>
        <w:numId w:val="26"/>
      </w:numPr>
    </w:pPr>
  </w:style>
  <w:style w:type="character" w:customStyle="1" w:styleId="Hyperlink4">
    <w:name w:val="Hyperlink.4"/>
    <w:basedOn w:val="Aucun"/>
    <w:rPr>
      <w:rFonts w:ascii="Verdana" w:eastAsia="Verdana" w:hAnsi="Verdana" w:cs="Verdana"/>
      <w:lang w:val="en-US"/>
    </w:rPr>
  </w:style>
  <w:style w:type="paragraph" w:customStyle="1" w:styleId="Style2">
    <w:name w:val="Style2"/>
    <w:pPr>
      <w:spacing w:after="240"/>
      <w:jc w:val="both"/>
    </w:pPr>
    <w:rPr>
      <w:rFonts w:ascii="Verdana" w:hAnsi="Verdana" w:cs="Arial Unicode MS"/>
      <w:color w:val="000000"/>
      <w:u w:color="000000"/>
      <w:lang w:val="en-US"/>
    </w:rPr>
  </w:style>
  <w:style w:type="paragraph" w:customStyle="1" w:styleId="Text4">
    <w:name w:val="Text 4"/>
    <w:pPr>
      <w:tabs>
        <w:tab w:val="left" w:pos="2302"/>
      </w:tabs>
      <w:spacing w:after="240"/>
      <w:ind w:left="1202"/>
      <w:jc w:val="both"/>
    </w:pPr>
    <w:rPr>
      <w:rFonts w:cs="Arial Unicode MS"/>
      <w:color w:val="000000"/>
      <w:sz w:val="24"/>
      <w:szCs w:val="24"/>
      <w:u w:color="000000"/>
      <w:lang w:val="en-US"/>
    </w:rPr>
  </w:style>
  <w:style w:type="paragraph" w:styleId="Footer">
    <w:name w:val="foot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character" w:customStyle="1" w:styleId="Hyperlink5">
    <w:name w:val="Hyperlink.5"/>
    <w:basedOn w:val="Lien"/>
    <w:rPr>
      <w:rFonts w:ascii="Verdana" w:eastAsia="Verdana" w:hAnsi="Verdana" w:cs="Verdana"/>
      <w:color w:val="0000FF"/>
      <w:u w:val="single" w:color="0000FF"/>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8F"/>
    <w:rPr>
      <w:rFonts w:ascii="Tahoma" w:eastAsia="Calibri"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2D770E"/>
    <w:rPr>
      <w:b/>
      <w:bCs/>
    </w:rPr>
  </w:style>
  <w:style w:type="character" w:customStyle="1" w:styleId="CommentSubjectChar">
    <w:name w:val="Comment Subject Char"/>
    <w:basedOn w:val="CommentTextChar"/>
    <w:link w:val="CommentSubject"/>
    <w:uiPriority w:val="99"/>
    <w:semiHidden/>
    <w:rsid w:val="002D770E"/>
    <w:rPr>
      <w:rFonts w:ascii="Calibri" w:eastAsia="Calibri" w:hAnsi="Calibri" w:cs="Calibri"/>
      <w:b/>
      <w:bCs/>
      <w:color w:val="000000"/>
      <w:u w:color="000000"/>
      <w:lang w:val="en-US"/>
    </w:rPr>
  </w:style>
  <w:style w:type="paragraph" w:styleId="NormalWeb">
    <w:name w:val="Normal (Web)"/>
    <w:basedOn w:val="Normal"/>
    <w:uiPriority w:val="99"/>
    <w:unhideWhenUsed/>
    <w:rsid w:val="004842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cs="Times New Roman"/>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spo-org.or.id/index.php?lang=i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sa21/5184/2016/en/" TargetMode="External"/><Relationship Id="rId3" Type="http://schemas.openxmlformats.org/officeDocument/2006/relationships/hyperlink" Target="http://www.thejakartapost.com/news/2017/03/17/acknowledgment-of-customary-forests-shows-govt-support-for-indigenous-people.html" TargetMode="External"/><Relationship Id="rId7" Type="http://schemas.openxmlformats.org/officeDocument/2006/relationships/hyperlink" Target="http://www.ispo-org.or.id/index.php?option=com_content&amp;view=article&amp;id=79&amp;Itemid=225&amp;lang=ina" TargetMode="External"/><Relationship Id="rId2" Type="http://schemas.openxmlformats.org/officeDocument/2006/relationships/hyperlink" Target="http://www.jakartaglobe.beritasatu.com/news/kpk-arrests-riau-governor-raid/" TargetMode="External"/><Relationship Id="rId1" Type="http://schemas.openxmlformats.org/officeDocument/2006/relationships/hyperlink" Target="http://jakartaglobe.id/news/rusli-still-in-office-despite-arrest-2/" TargetMode="External"/><Relationship Id="rId6" Type="http://schemas.openxmlformats.org/officeDocument/2006/relationships/hyperlink" Target="http://www.thejakartapost.com/news/2016/11/18/landmark-court-ruling-expected-to-serve-as-deterrent.html" TargetMode="External"/><Relationship Id="rId5" Type="http://schemas.openxmlformats.org/officeDocument/2006/relationships/hyperlink" Target="http://www.thejakartapost.com/news/2015/09/13/record-fine-against-plantation-company-upheld.html" TargetMode="External"/><Relationship Id="rId4" Type="http://schemas.openxmlformats.org/officeDocument/2006/relationships/hyperlink" Target="http://www.simedarby.com/sustainability/clients/simedarby_sustainability/assets/contentMS/img/template/editor/HCSReports/Consulting%2520Report%252010.pdf" TargetMode="External"/><Relationship Id="rId9" Type="http://schemas.openxmlformats.org/officeDocument/2006/relationships/hyperlink" Target="https://www.amnesty.org/en/documents/asa21/5184/2016/e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just" defTabSz="457200" rtl="0" fontAlgn="auto" latinLnBrk="0" hangingPunct="0">
          <a:lnSpc>
            <a:spcPct val="100000"/>
          </a:lnSpc>
          <a:spcBef>
            <a:spcPts val="600"/>
          </a:spcBef>
          <a:spcAft>
            <a:spcPts val="0"/>
          </a:spcAft>
          <a:buClrTx/>
          <a:buSzTx/>
          <a:buFontTx/>
          <a:buNone/>
          <a:tabLst/>
          <a:defRPr kumimoji="0" sz="1000" b="1"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11334</Words>
  <Characters>62340</Characters>
  <Application>Microsoft Office Word</Application>
  <DocSecurity>4</DocSecurity>
  <Lines>519</Lines>
  <Paragraphs>147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BRUNET-POSSENTI Jerome (EEAS-JAKARTA)</dc:creator>
  <cp:lastModifiedBy>ALQUEZAR SABADIE Jesus Maria (ENV)</cp:lastModifiedBy>
  <cp:revision>2</cp:revision>
  <dcterms:created xsi:type="dcterms:W3CDTF">2019-05-21T11:21:00Z</dcterms:created>
  <dcterms:modified xsi:type="dcterms:W3CDTF">2019-05-21T11:21:00Z</dcterms:modified>
</cp:coreProperties>
</file>