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7AB4547F" w:rsidR="00D172CF" w:rsidRDefault="00A73DB6" w:rsidP="00297D8C">
      <w:pPr>
        <w:pBdr>
          <w:top w:val="single" w:sz="4" w:space="1" w:color="auto"/>
          <w:left w:val="single" w:sz="4" w:space="0" w:color="auto"/>
          <w:bottom w:val="single" w:sz="4" w:space="1" w:color="auto"/>
          <w:right w:val="single" w:sz="4" w:space="4" w:color="auto"/>
        </w:pBdr>
        <w:ind w:left="709"/>
      </w:pPr>
      <w:r>
        <w:t>No.</w:t>
      </w:r>
    </w:p>
    <w:p w14:paraId="22AFB3D3" w14:textId="77777777" w:rsidR="00297D8C" w:rsidRDefault="00297D8C" w:rsidP="00297D8C">
      <w:pPr>
        <w:pBdr>
          <w:top w:val="single" w:sz="4" w:space="1" w:color="auto"/>
          <w:left w:val="single" w:sz="4" w:space="0" w:color="auto"/>
          <w:bottom w:val="single" w:sz="4" w:space="1" w:color="auto"/>
          <w:right w:val="single" w:sz="4" w:space="4" w:color="auto"/>
        </w:pBdr>
        <w:ind w:left="709"/>
      </w:pP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0DA493D9" w:rsidR="0018788E" w:rsidRDefault="0018788E" w:rsidP="0018788E">
      <w:pPr>
        <w:pStyle w:val="ListParagraph"/>
        <w:jc w:val="both"/>
      </w:pPr>
      <w:r>
        <w:rPr>
          <w:rFonts w:ascii="Segoe UI Symbol" w:hAnsi="Segoe UI Symbol" w:cs="Segoe UI Symbol"/>
        </w:rPr>
        <w:t>☐</w:t>
      </w:r>
      <w:r>
        <w:t xml:space="preserve"> Yes (Please describe </w:t>
      </w:r>
      <w:r w:rsidR="00180425">
        <w:t xml:space="preserve">below (box 2a) </w:t>
      </w:r>
      <w:r>
        <w:t>the named aspects)</w:t>
      </w:r>
    </w:p>
    <w:p w14:paraId="2C52ED73" w14:textId="38101448" w:rsidR="0018788E" w:rsidRPr="00DD58D5" w:rsidRDefault="00F532F2" w:rsidP="0018788E">
      <w:pPr>
        <w:pStyle w:val="ListParagraph"/>
        <w:jc w:val="both"/>
      </w:pPr>
      <w:sdt>
        <w:sdtPr>
          <w:id w:val="372585522"/>
          <w14:checkbox>
            <w14:checked w14:val="1"/>
            <w14:checkedState w14:val="2612" w14:font="MS Gothic"/>
            <w14:uncheckedState w14:val="2610" w14:font="MS Gothic"/>
          </w14:checkbox>
        </w:sdtPr>
        <w:sdtEndPr/>
        <w:sdtContent>
          <w:r w:rsidR="00F3140B">
            <w:rPr>
              <w:rFonts w:ascii="MS Gothic" w:eastAsia="MS Gothic" w:hAnsi="MS Gothic" w:hint="eastAsia"/>
            </w:rPr>
            <w:t>☒</w:t>
          </w:r>
        </w:sdtContent>
      </w:sdt>
      <w:r w:rsidR="0018788E">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F532F2"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F532F2"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1008C355" w:rsidR="00545749" w:rsidRDefault="00F532F2" w:rsidP="00545749">
      <w:pPr>
        <w:pStyle w:val="ListParagraph"/>
        <w:jc w:val="both"/>
      </w:pPr>
      <w:sdt>
        <w:sdtPr>
          <w:id w:val="-521945190"/>
          <w14:checkbox>
            <w14:checked w14:val="1"/>
            <w14:checkedState w14:val="2612" w14:font="MS Gothic"/>
            <w14:uncheckedState w14:val="2610" w14:font="MS Gothic"/>
          </w14:checkbox>
        </w:sdtPr>
        <w:sdtEndPr/>
        <w:sdtContent>
          <w:r w:rsidR="00C26622">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1783066E"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77F5E53D" w14:textId="423B22FC" w:rsidR="003C4D93" w:rsidRDefault="007D3FDA" w:rsidP="003C4D93">
      <w:pPr>
        <w:pStyle w:val="ListParagraph"/>
        <w:pBdr>
          <w:top w:val="single" w:sz="4" w:space="1" w:color="auto"/>
          <w:left w:val="single" w:sz="4" w:space="4" w:color="auto"/>
          <w:bottom w:val="single" w:sz="4" w:space="1" w:color="auto"/>
          <w:right w:val="single" w:sz="4" w:space="4" w:color="auto"/>
        </w:pBdr>
        <w:jc w:val="both"/>
      </w:pPr>
      <w:r>
        <w:t>The Bulgarian National Bank has not carried out such reviews.</w:t>
      </w: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F532F2"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77777777" w:rsidR="002C00C2" w:rsidRDefault="00F532F2" w:rsidP="00D062DC">
      <w:pPr>
        <w:ind w:left="360"/>
      </w:pPr>
      <w:sdt>
        <w:sdtPr>
          <w:id w:val="-4044342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F532F2"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2FBD5654" w:rsidR="002C00C2" w:rsidRDefault="00F532F2" w:rsidP="002C00C2">
      <w:pPr>
        <w:ind w:firstLine="360"/>
      </w:pPr>
      <w:sdt>
        <w:sdtPr>
          <w:id w:val="-1966809042"/>
          <w14:checkbox>
            <w14:checked w14:val="1"/>
            <w14:checkedState w14:val="2612" w14:font="MS Gothic"/>
            <w14:uncheckedState w14:val="2610" w14:font="MS Gothic"/>
          </w14:checkbox>
        </w:sdtPr>
        <w:sdtEndPr/>
        <w:sdtContent>
          <w:r w:rsidR="007D3FDA">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51F250DA" w:rsidR="002C00C2" w:rsidRDefault="002714F1" w:rsidP="002C00C2">
      <w:pPr>
        <w:pBdr>
          <w:top w:val="single" w:sz="4" w:space="1" w:color="auto"/>
          <w:left w:val="single" w:sz="4" w:space="4" w:color="auto"/>
          <w:bottom w:val="single" w:sz="4" w:space="1" w:color="auto"/>
          <w:right w:val="single" w:sz="4" w:space="4" w:color="auto"/>
        </w:pBdr>
        <w:ind w:left="426" w:hanging="66"/>
      </w:pPr>
      <w:r>
        <w:t>So far, the BNB has not cooperated with other competent authorities in the cum-ex context.</w:t>
      </w: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06942" w14:textId="77777777" w:rsidR="00F1596B" w:rsidRDefault="00F1596B" w:rsidP="00A00E34">
      <w:r>
        <w:separator/>
      </w:r>
    </w:p>
    <w:p w14:paraId="6BC2E68F" w14:textId="77777777" w:rsidR="00F1596B" w:rsidRDefault="00F1596B"/>
  </w:endnote>
  <w:endnote w:type="continuationSeparator" w:id="0">
    <w:p w14:paraId="2BFC9E82" w14:textId="77777777" w:rsidR="00F1596B" w:rsidRDefault="00F1596B" w:rsidP="00A00E34">
      <w:r>
        <w:continuationSeparator/>
      </w:r>
    </w:p>
    <w:p w14:paraId="15599BD3" w14:textId="77777777" w:rsidR="00F1596B" w:rsidRDefault="00F15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607E65BC"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2F2">
      <w:rPr>
        <w:rStyle w:val="PageNumber"/>
        <w:noProof/>
      </w:rPr>
      <w:t>4</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66117EFB"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2F2">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D927" w14:textId="77777777" w:rsidR="00F1596B" w:rsidRPr="00DB5E8F" w:rsidRDefault="00F1596B">
      <w:pPr>
        <w:rPr>
          <w:sz w:val="12"/>
          <w:szCs w:val="12"/>
        </w:rPr>
      </w:pPr>
      <w:r w:rsidRPr="00DB5E8F">
        <w:rPr>
          <w:sz w:val="12"/>
          <w:szCs w:val="12"/>
        </w:rPr>
        <w:separator/>
      </w:r>
    </w:p>
  </w:footnote>
  <w:footnote w:type="continuationSeparator" w:id="0">
    <w:p w14:paraId="1961B012" w14:textId="77777777" w:rsidR="00F1596B" w:rsidRDefault="00F1596B" w:rsidP="00A00E34">
      <w:r>
        <w:continuationSeparator/>
      </w:r>
    </w:p>
    <w:p w14:paraId="53AC5A23" w14:textId="77777777" w:rsidR="00F1596B" w:rsidRDefault="00F1596B"/>
  </w:footnote>
  <w:footnote w:type="continuationNotice" w:id="1">
    <w:p w14:paraId="35C1CA00" w14:textId="77777777" w:rsidR="00F1596B" w:rsidRDefault="00F1596B"/>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F532F2">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626CE"/>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14F1"/>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1DB1"/>
    <w:rsid w:val="004E405B"/>
    <w:rsid w:val="004E49C6"/>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7D3FDA"/>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73DB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26622"/>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7B8"/>
    <w:rsid w:val="00EA1807"/>
    <w:rsid w:val="00EA4947"/>
    <w:rsid w:val="00EB49E9"/>
    <w:rsid w:val="00EC0C41"/>
    <w:rsid w:val="00EC0F39"/>
    <w:rsid w:val="00EC1594"/>
    <w:rsid w:val="00EC2C7B"/>
    <w:rsid w:val="00ED0F9C"/>
    <w:rsid w:val="00EE0036"/>
    <w:rsid w:val="00EE456B"/>
    <w:rsid w:val="00EF2821"/>
    <w:rsid w:val="00F00C37"/>
    <w:rsid w:val="00F034AC"/>
    <w:rsid w:val="00F045E9"/>
    <w:rsid w:val="00F10ADA"/>
    <w:rsid w:val="00F12F1A"/>
    <w:rsid w:val="00F1596B"/>
    <w:rsid w:val="00F160D2"/>
    <w:rsid w:val="00F21135"/>
    <w:rsid w:val="00F3140B"/>
    <w:rsid w:val="00F33020"/>
    <w:rsid w:val="00F4392B"/>
    <w:rsid w:val="00F4748D"/>
    <w:rsid w:val="00F477D6"/>
    <w:rsid w:val="00F532F2"/>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2F76-0992-4946-A555-6C18392B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DH</cp:lastModifiedBy>
  <cp:revision>2</cp:revision>
  <cp:lastPrinted>2019-07-22T07:22:00Z</cp:lastPrinted>
  <dcterms:created xsi:type="dcterms:W3CDTF">2020-07-23T08:34:00Z</dcterms:created>
  <dcterms:modified xsi:type="dcterms:W3CDTF">2020-07-23T08:34:00Z</dcterms:modified>
</cp:coreProperties>
</file>